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ascii="宋体" w:hAnsi="宋体" w:cs="宋体"/>
          <w:sz w:val="24"/>
          <w:szCs w:val="24"/>
        </w:rPr>
      </w:pPr>
      <w:r>
        <w:rPr>
          <w:rFonts w:hint="eastAsia" w:ascii="宋体" w:hAnsi="宋体" w:cs="宋体"/>
          <w:sz w:val="24"/>
          <w:szCs w:val="24"/>
        </w:rPr>
        <w:t>如有建议或意见，请以书面形式并加盖公章、注明联系人、联系方式，于202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28</w:t>
      </w:r>
      <w:r>
        <w:rPr>
          <w:rFonts w:hint="eastAsia" w:ascii="宋体" w:hAnsi="宋体" w:cs="宋体"/>
          <w:sz w:val="24"/>
          <w:szCs w:val="24"/>
        </w:rPr>
        <w:t>日17:00之前送至我单位，逾期不受理（如邮寄，202</w:t>
      </w:r>
      <w:r>
        <w:rPr>
          <w:rFonts w:hint="eastAsia" w:ascii="宋体" w:hAnsi="宋体" w:cs="宋体"/>
          <w:sz w:val="24"/>
          <w:szCs w:val="24"/>
          <w:lang w:val="en-US" w:eastAsia="zh-CN"/>
        </w:rPr>
        <w:t>5</w:t>
      </w:r>
      <w:r>
        <w:rPr>
          <w:rFonts w:hint="eastAsia" w:ascii="宋体" w:hAnsi="宋体" w:cs="宋体"/>
          <w:sz w:val="24"/>
          <w:szCs w:val="24"/>
        </w:rPr>
        <w:t>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28</w:t>
      </w:r>
      <w:r>
        <w:rPr>
          <w:rFonts w:hint="eastAsia" w:ascii="宋体" w:hAnsi="宋体" w:cs="宋体"/>
          <w:sz w:val="24"/>
          <w:szCs w:val="24"/>
        </w:rPr>
        <w:t>日17:00之后到达本公司的邮件将不再受理）。</w:t>
      </w:r>
    </w:p>
    <w:p>
      <w:pPr>
        <w:jc w:val="center"/>
        <w:rPr>
          <w:rFonts w:hint="eastAsia" w:ascii="仿宋" w:hAnsi="仿宋" w:eastAsia="仿宋" w:cs="仿宋"/>
          <w:color w:val="auto"/>
          <w:sz w:val="30"/>
          <w:szCs w:val="30"/>
        </w:rPr>
        <w:sectPr>
          <w:headerReference r:id="rId3" w:type="default"/>
          <w:footerReference r:id="rId4" w:type="default"/>
          <w:pgSz w:w="11906" w:h="16838"/>
          <w:pgMar w:top="1440" w:right="1134" w:bottom="1440" w:left="1134" w:header="851" w:footer="992" w:gutter="0"/>
          <w:cols w:space="1701" w:num="1"/>
          <w:docGrid w:linePitch="360" w:charSpace="0"/>
        </w:sectPr>
      </w:pPr>
      <w:bookmarkStart w:id="2" w:name="_GoBack"/>
      <w:bookmarkEnd w:id="2"/>
    </w:p>
    <w:p>
      <w:pPr>
        <w:jc w:val="center"/>
        <w:rPr>
          <w:rFonts w:ascii="仿宋" w:hAnsi="仿宋" w:eastAsia="仿宋" w:cs="仿宋"/>
          <w:color w:val="auto"/>
          <w:sz w:val="30"/>
          <w:szCs w:val="30"/>
        </w:rPr>
      </w:pPr>
      <w:r>
        <w:rPr>
          <w:rFonts w:hint="eastAsia" w:ascii="仿宋" w:hAnsi="仿宋" w:eastAsia="仿宋" w:cs="仿宋"/>
          <w:color w:val="auto"/>
          <w:sz w:val="30"/>
          <w:szCs w:val="30"/>
        </w:rPr>
        <w:t>采购需求</w:t>
      </w:r>
    </w:p>
    <w:p>
      <w:pPr>
        <w:widowControl w:val="0"/>
        <w:spacing w:line="360" w:lineRule="auto"/>
        <w:rPr>
          <w:rFonts w:ascii="仿宋" w:hAnsi="仿宋" w:eastAsia="仿宋" w:cs="仿宋"/>
          <w:color w:val="auto"/>
          <w:sz w:val="24"/>
        </w:rPr>
      </w:pPr>
    </w:p>
    <w:p>
      <w:pPr>
        <w:widowControl w:val="0"/>
        <w:spacing w:line="440" w:lineRule="exact"/>
        <w:rPr>
          <w:rFonts w:ascii="仿宋" w:hAnsi="仿宋" w:eastAsia="仿宋" w:cs="仿宋"/>
          <w:color w:val="auto"/>
          <w:sz w:val="24"/>
          <w:szCs w:val="24"/>
        </w:rPr>
      </w:pPr>
      <w:r>
        <w:rPr>
          <w:rFonts w:hint="eastAsia" w:ascii="仿宋" w:hAnsi="仿宋" w:eastAsia="仿宋" w:cs="仿宋"/>
          <w:b/>
          <w:bCs/>
          <w:color w:val="auto"/>
          <w:sz w:val="24"/>
          <w:szCs w:val="24"/>
        </w:rPr>
        <w:t>一、本项目不接受超过</w:t>
      </w:r>
      <w:r>
        <w:rPr>
          <w:rFonts w:hint="eastAsia" w:ascii="仿宋" w:hAnsi="仿宋" w:eastAsia="仿宋" w:cs="仿宋"/>
          <w:b/>
          <w:bCs/>
          <w:color w:val="auto"/>
          <w:sz w:val="24"/>
          <w:szCs w:val="24"/>
          <w:lang w:val="en-US" w:eastAsia="zh-CN"/>
        </w:rPr>
        <w:t>268</w:t>
      </w:r>
      <w:r>
        <w:rPr>
          <w:rFonts w:hint="eastAsia" w:ascii="仿宋" w:hAnsi="仿宋" w:eastAsia="仿宋" w:cs="仿宋"/>
          <w:b/>
          <w:bCs/>
          <w:color w:val="auto"/>
          <w:sz w:val="24"/>
          <w:szCs w:val="24"/>
        </w:rPr>
        <w:t>万元（采购项目预算金额）的报价</w:t>
      </w:r>
      <w:r>
        <w:rPr>
          <w:rFonts w:hint="eastAsia" w:ascii="仿宋" w:hAnsi="仿宋" w:eastAsia="仿宋" w:cs="仿宋"/>
          <w:color w:val="auto"/>
          <w:sz w:val="24"/>
          <w:szCs w:val="24"/>
        </w:rPr>
        <w:t>。</w:t>
      </w:r>
    </w:p>
    <w:p>
      <w:pPr>
        <w:widowControl w:val="0"/>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总价包括完成本项目所需的全部费用，采购人不再支付报价以外的任何费用。</w:t>
      </w:r>
    </w:p>
    <w:p>
      <w:pPr>
        <w:widowControl w:val="0"/>
        <w:spacing w:line="440" w:lineRule="exact"/>
        <w:rPr>
          <w:rFonts w:ascii="仿宋" w:hAnsi="仿宋" w:eastAsia="仿宋" w:cs="仿宋"/>
          <w:color w:val="auto"/>
          <w:sz w:val="24"/>
          <w:szCs w:val="24"/>
        </w:rPr>
      </w:pPr>
      <w:r>
        <w:rPr>
          <w:rFonts w:hint="eastAsia" w:ascii="仿宋" w:hAnsi="仿宋" w:eastAsia="仿宋" w:cs="仿宋"/>
          <w:b/>
          <w:bCs/>
          <w:color w:val="auto"/>
          <w:sz w:val="24"/>
          <w:szCs w:val="24"/>
        </w:rPr>
        <w:t>二、项目名称</w:t>
      </w:r>
      <w:r>
        <w:rPr>
          <w:rFonts w:hint="eastAsia" w:ascii="仿宋" w:hAnsi="仿宋" w:eastAsia="仿宋" w:cs="仿宋"/>
          <w:color w:val="auto"/>
          <w:sz w:val="24"/>
          <w:szCs w:val="24"/>
        </w:rPr>
        <w:t>：泉山区图书馆2025年服务运营项目</w:t>
      </w:r>
    </w:p>
    <w:p>
      <w:pPr>
        <w:widowControl w:val="0"/>
        <w:spacing w:line="440" w:lineRule="exact"/>
        <w:rPr>
          <w:rFonts w:ascii="仿宋" w:hAnsi="仿宋" w:eastAsia="仿宋" w:cs="仿宋"/>
          <w:color w:val="auto"/>
          <w:sz w:val="24"/>
          <w:szCs w:val="24"/>
        </w:rPr>
      </w:pPr>
      <w:r>
        <w:rPr>
          <w:rFonts w:hint="eastAsia" w:ascii="仿宋" w:hAnsi="仿宋" w:eastAsia="仿宋" w:cs="仿宋"/>
          <w:b/>
          <w:bCs/>
          <w:color w:val="auto"/>
          <w:sz w:val="24"/>
          <w:szCs w:val="24"/>
        </w:rPr>
        <w:t>三、服务期限</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年。</w:t>
      </w:r>
    </w:p>
    <w:p>
      <w:pPr>
        <w:widowControl w:val="0"/>
        <w:spacing w:line="440" w:lineRule="exact"/>
        <w:rPr>
          <w:rFonts w:ascii="仿宋" w:hAnsi="仿宋" w:eastAsia="仿宋" w:cs="仿宋"/>
          <w:color w:val="auto"/>
          <w:sz w:val="24"/>
          <w:szCs w:val="24"/>
        </w:rPr>
      </w:pPr>
      <w:r>
        <w:rPr>
          <w:rFonts w:hint="eastAsia" w:ascii="仿宋" w:hAnsi="仿宋" w:eastAsia="仿宋" w:cs="仿宋"/>
          <w:b/>
          <w:bCs/>
          <w:color w:val="auto"/>
          <w:sz w:val="24"/>
          <w:szCs w:val="24"/>
        </w:rPr>
        <w:t>四、</w:t>
      </w:r>
      <w:r>
        <w:rPr>
          <w:rFonts w:hint="eastAsia" w:ascii="仿宋" w:hAnsi="仿宋" w:eastAsia="仿宋" w:cs="仿宋"/>
          <w:color w:val="auto"/>
          <w:sz w:val="24"/>
          <w:szCs w:val="24"/>
        </w:rPr>
        <w:t>项目要求（服务范围及内容）</w:t>
      </w:r>
    </w:p>
    <w:p>
      <w:pPr>
        <w:widowControl w:val="0"/>
        <w:spacing w:line="440" w:lineRule="exact"/>
        <w:jc w:val="center"/>
        <w:rPr>
          <w:rFonts w:ascii="仿宋" w:hAnsi="仿宋" w:eastAsia="仿宋" w:cs="仿宋"/>
          <w:b/>
          <w:bCs/>
          <w:color w:val="auto"/>
          <w:sz w:val="32"/>
          <w:szCs w:val="32"/>
        </w:rPr>
      </w:pPr>
      <w:r>
        <w:rPr>
          <w:rFonts w:hint="eastAsia" w:ascii="仿宋" w:hAnsi="仿宋" w:eastAsia="仿宋" w:cs="仿宋"/>
          <w:b/>
          <w:bCs/>
          <w:color w:val="auto"/>
          <w:sz w:val="28"/>
          <w:szCs w:val="28"/>
        </w:rPr>
        <w:t>泉山区图书馆服务要求清单</w:t>
      </w:r>
    </w:p>
    <w:tbl>
      <w:tblPr>
        <w:tblStyle w:val="5"/>
        <w:tblW w:w="8741" w:type="dxa"/>
        <w:jc w:val="center"/>
        <w:tblInd w:w="0" w:type="dxa"/>
        <w:tblLayout w:type="fixed"/>
        <w:tblCellMar>
          <w:top w:w="0" w:type="dxa"/>
          <w:left w:w="108" w:type="dxa"/>
          <w:bottom w:w="0" w:type="dxa"/>
          <w:right w:w="108" w:type="dxa"/>
        </w:tblCellMar>
      </w:tblPr>
      <w:tblGrid>
        <w:gridCol w:w="791"/>
        <w:gridCol w:w="1507"/>
        <w:gridCol w:w="794"/>
        <w:gridCol w:w="5649"/>
      </w:tblGrid>
      <w:tr>
        <w:tblPrEx>
          <w:tblLayout w:type="fixed"/>
          <w:tblCellMar>
            <w:top w:w="0" w:type="dxa"/>
            <w:left w:w="108" w:type="dxa"/>
            <w:bottom w:w="0" w:type="dxa"/>
            <w:right w:w="108" w:type="dxa"/>
          </w:tblCellMar>
        </w:tblPrEx>
        <w:trPr>
          <w:trHeight w:val="1215" w:hRule="atLeast"/>
          <w:jc w:val="center"/>
        </w:trPr>
        <w:tc>
          <w:tcPr>
            <w:tcW w:w="791" w:type="dxa"/>
            <w:tcBorders>
              <w:top w:val="single" w:color="auto" w:sz="8" w:space="0"/>
              <w:left w:val="single" w:color="auto" w:sz="8" w:space="0"/>
              <w:bottom w:val="single" w:color="auto" w:sz="8" w:space="0"/>
              <w:right w:val="single" w:color="auto" w:sz="8" w:space="0"/>
            </w:tcBorders>
            <w:vAlign w:val="center"/>
          </w:tcPr>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1507" w:type="dxa"/>
            <w:tcBorders>
              <w:top w:val="single" w:color="auto" w:sz="8" w:space="0"/>
              <w:left w:val="nil"/>
              <w:bottom w:val="single" w:color="auto" w:sz="8" w:space="0"/>
              <w:right w:val="single" w:color="auto" w:sz="8" w:space="0"/>
            </w:tcBorders>
            <w:vAlign w:val="center"/>
          </w:tcPr>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内容</w:t>
            </w:r>
          </w:p>
        </w:tc>
        <w:tc>
          <w:tcPr>
            <w:tcW w:w="794" w:type="dxa"/>
            <w:tcBorders>
              <w:top w:val="single" w:color="auto" w:sz="8" w:space="0"/>
              <w:left w:val="nil"/>
              <w:bottom w:val="single" w:color="auto" w:sz="8" w:space="0"/>
              <w:right w:val="single" w:color="auto" w:sz="8" w:space="0"/>
            </w:tcBorders>
            <w:vAlign w:val="center"/>
          </w:tcPr>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数量</w:t>
            </w:r>
          </w:p>
        </w:tc>
        <w:tc>
          <w:tcPr>
            <w:tcW w:w="5649" w:type="dxa"/>
            <w:tcBorders>
              <w:top w:val="single" w:color="auto" w:sz="8" w:space="0"/>
              <w:left w:val="nil"/>
              <w:bottom w:val="single" w:color="auto" w:sz="8" w:space="0"/>
              <w:right w:val="single" w:color="auto" w:sz="8" w:space="0"/>
            </w:tcBorders>
            <w:vAlign w:val="center"/>
          </w:tcPr>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备注</w:t>
            </w:r>
          </w:p>
        </w:tc>
      </w:tr>
      <w:tr>
        <w:tblPrEx>
          <w:tblLayout w:type="fixed"/>
        </w:tblPrEx>
        <w:trPr>
          <w:trHeight w:val="1265" w:hRule="atLeast"/>
          <w:jc w:val="center"/>
        </w:trPr>
        <w:tc>
          <w:tcPr>
            <w:tcW w:w="791" w:type="dxa"/>
            <w:tcBorders>
              <w:top w:val="nil"/>
              <w:left w:val="single" w:color="auto" w:sz="8" w:space="0"/>
              <w:bottom w:val="single" w:color="auto" w:sz="8" w:space="0"/>
              <w:right w:val="single" w:color="auto" w:sz="8" w:space="0"/>
            </w:tcBorders>
            <w:vAlign w:val="center"/>
          </w:tcPr>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一</w:t>
            </w:r>
          </w:p>
        </w:tc>
        <w:tc>
          <w:tcPr>
            <w:tcW w:w="1507" w:type="dxa"/>
            <w:tcBorders>
              <w:top w:val="nil"/>
              <w:left w:val="nil"/>
              <w:bottom w:val="single" w:color="auto" w:sz="8" w:space="0"/>
              <w:right w:val="single" w:color="auto" w:sz="8" w:space="0"/>
            </w:tcBorders>
            <w:vAlign w:val="center"/>
          </w:tcPr>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人员</w:t>
            </w:r>
          </w:p>
        </w:tc>
        <w:tc>
          <w:tcPr>
            <w:tcW w:w="794" w:type="dxa"/>
            <w:tcBorders>
              <w:top w:val="nil"/>
              <w:left w:val="nil"/>
              <w:bottom w:val="single" w:color="auto" w:sz="8" w:space="0"/>
              <w:right w:val="single" w:color="auto" w:sz="8" w:space="0"/>
            </w:tcBorders>
            <w:vAlign w:val="center"/>
          </w:tcPr>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22名</w:t>
            </w:r>
          </w:p>
        </w:tc>
        <w:tc>
          <w:tcPr>
            <w:tcW w:w="5649" w:type="dxa"/>
            <w:tcBorders>
              <w:top w:val="nil"/>
              <w:left w:val="nil"/>
              <w:bottom w:val="single" w:color="auto" w:sz="8" w:space="0"/>
              <w:right w:val="single" w:color="auto" w:sz="8" w:space="0"/>
            </w:tcBorders>
            <w:vAlign w:val="center"/>
          </w:tcPr>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含负责人、管理岗位、专业岗位、采编岗位及一般岗位等</w:t>
            </w:r>
          </w:p>
        </w:tc>
      </w:tr>
      <w:tr>
        <w:tblPrEx>
          <w:tblLayout w:type="fixed"/>
          <w:tblCellMar>
            <w:top w:w="0" w:type="dxa"/>
            <w:left w:w="108" w:type="dxa"/>
            <w:bottom w:w="0" w:type="dxa"/>
            <w:right w:w="108" w:type="dxa"/>
          </w:tblCellMar>
        </w:tblPrEx>
        <w:trPr>
          <w:trHeight w:val="2550" w:hRule="atLeast"/>
          <w:jc w:val="center"/>
        </w:trPr>
        <w:tc>
          <w:tcPr>
            <w:tcW w:w="791" w:type="dxa"/>
            <w:tcBorders>
              <w:top w:val="nil"/>
              <w:left w:val="single" w:color="auto" w:sz="8" w:space="0"/>
              <w:bottom w:val="single" w:color="auto" w:sz="8" w:space="0"/>
              <w:right w:val="single" w:color="auto" w:sz="8" w:space="0"/>
            </w:tcBorders>
            <w:vAlign w:val="center"/>
          </w:tcPr>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二</w:t>
            </w:r>
          </w:p>
        </w:tc>
        <w:tc>
          <w:tcPr>
            <w:tcW w:w="1507" w:type="dxa"/>
            <w:tcBorders>
              <w:top w:val="nil"/>
              <w:left w:val="nil"/>
              <w:bottom w:val="single" w:color="auto" w:sz="8" w:space="0"/>
              <w:right w:val="single" w:color="auto" w:sz="8" w:space="0"/>
            </w:tcBorders>
            <w:vAlign w:val="center"/>
          </w:tcPr>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活动&amp;推广</w:t>
            </w:r>
          </w:p>
        </w:tc>
        <w:tc>
          <w:tcPr>
            <w:tcW w:w="794" w:type="dxa"/>
            <w:tcBorders>
              <w:top w:val="nil"/>
              <w:left w:val="nil"/>
              <w:bottom w:val="single" w:color="auto" w:sz="8" w:space="0"/>
              <w:right w:val="single" w:color="auto" w:sz="8" w:space="0"/>
            </w:tcBorders>
            <w:vAlign w:val="center"/>
          </w:tcPr>
          <w:p>
            <w:pPr>
              <w:widowControl w:val="0"/>
              <w:spacing w:line="440" w:lineRule="exact"/>
              <w:rPr>
                <w:rFonts w:ascii="仿宋" w:hAnsi="仿宋" w:eastAsia="仿宋" w:cs="仿宋"/>
                <w:color w:val="auto"/>
                <w:sz w:val="24"/>
                <w:szCs w:val="24"/>
              </w:rPr>
            </w:pPr>
          </w:p>
        </w:tc>
        <w:tc>
          <w:tcPr>
            <w:tcW w:w="5649" w:type="dxa"/>
            <w:tcBorders>
              <w:top w:val="nil"/>
              <w:left w:val="nil"/>
              <w:bottom w:val="single" w:color="auto" w:sz="8" w:space="0"/>
              <w:right w:val="single" w:color="auto" w:sz="8" w:space="0"/>
            </w:tcBorders>
            <w:vAlign w:val="center"/>
          </w:tcPr>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每年书刊宣传；阅读推广活动；讲座、培训合计不少于50次；展览、为特殊群体服务不少于30次</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打造文化特色活动品牌不少于1个，</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组织馆员培训工作学时不少于100小时，</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加强媒体报道宣传，报道量不少于100篇，</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费用包含：志愿者服务费，资源对接费用、物料采购费用、宣传推广费用等。</w:t>
            </w:r>
          </w:p>
        </w:tc>
      </w:tr>
      <w:tr>
        <w:tblPrEx>
          <w:tblLayout w:type="fixed"/>
          <w:tblCellMar>
            <w:top w:w="0" w:type="dxa"/>
            <w:left w:w="108" w:type="dxa"/>
            <w:bottom w:w="0" w:type="dxa"/>
            <w:right w:w="108" w:type="dxa"/>
          </w:tblCellMar>
        </w:tblPrEx>
        <w:trPr>
          <w:trHeight w:val="1396" w:hRule="atLeast"/>
          <w:jc w:val="center"/>
        </w:trPr>
        <w:tc>
          <w:tcPr>
            <w:tcW w:w="791" w:type="dxa"/>
            <w:tcBorders>
              <w:top w:val="nil"/>
              <w:left w:val="single" w:color="auto" w:sz="8" w:space="0"/>
              <w:bottom w:val="single" w:color="auto" w:sz="8" w:space="0"/>
              <w:right w:val="single" w:color="auto" w:sz="8" w:space="0"/>
            </w:tcBorders>
            <w:vAlign w:val="center"/>
          </w:tcPr>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三</w:t>
            </w:r>
          </w:p>
        </w:tc>
        <w:tc>
          <w:tcPr>
            <w:tcW w:w="1507" w:type="dxa"/>
            <w:tcBorders>
              <w:top w:val="nil"/>
              <w:left w:val="nil"/>
              <w:bottom w:val="single" w:color="auto" w:sz="8" w:space="0"/>
              <w:right w:val="single" w:color="auto" w:sz="8" w:space="0"/>
            </w:tcBorders>
            <w:vAlign w:val="center"/>
          </w:tcPr>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行政办公</w:t>
            </w:r>
          </w:p>
        </w:tc>
        <w:tc>
          <w:tcPr>
            <w:tcW w:w="794" w:type="dxa"/>
            <w:tcBorders>
              <w:top w:val="nil"/>
              <w:left w:val="nil"/>
              <w:bottom w:val="single" w:color="auto" w:sz="8" w:space="0"/>
              <w:right w:val="single" w:color="auto" w:sz="8" w:space="0"/>
            </w:tcBorders>
            <w:vAlign w:val="center"/>
          </w:tcPr>
          <w:p>
            <w:pPr>
              <w:widowControl w:val="0"/>
              <w:spacing w:line="440" w:lineRule="exact"/>
              <w:rPr>
                <w:rFonts w:ascii="仿宋" w:hAnsi="仿宋" w:eastAsia="仿宋" w:cs="仿宋"/>
                <w:color w:val="auto"/>
                <w:sz w:val="24"/>
                <w:szCs w:val="24"/>
              </w:rPr>
            </w:pPr>
          </w:p>
        </w:tc>
        <w:tc>
          <w:tcPr>
            <w:tcW w:w="5649" w:type="dxa"/>
            <w:tcBorders>
              <w:top w:val="nil"/>
              <w:left w:val="nil"/>
              <w:bottom w:val="single" w:color="auto" w:sz="8" w:space="0"/>
              <w:right w:val="single" w:color="auto" w:sz="8" w:space="0"/>
            </w:tcBorders>
            <w:vAlign w:val="center"/>
          </w:tcPr>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包括图书馆服务日常办公、纸张、打印耗材、员工饮水等。</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不含（各类固定资产采购费、物业水电网讯费、设施设备维修费以及项目以外的未知费用）。</w:t>
            </w:r>
          </w:p>
        </w:tc>
      </w:tr>
    </w:tbl>
    <w:p>
      <w:pPr>
        <w:widowControl w:val="0"/>
        <w:spacing w:line="440" w:lineRule="exact"/>
        <w:rPr>
          <w:rFonts w:ascii="仿宋" w:hAnsi="仿宋" w:eastAsia="仿宋" w:cs="仿宋"/>
          <w:color w:val="auto"/>
          <w:sz w:val="24"/>
          <w:szCs w:val="24"/>
        </w:rPr>
      </w:pPr>
    </w:p>
    <w:p>
      <w:pPr>
        <w:widowControl w:val="0"/>
        <w:spacing w:line="44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1.服务要求（按照国家一级图书馆管理要求）</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1.1日常管理和运行服务</w:t>
      </w:r>
    </w:p>
    <w:p>
      <w:pPr>
        <w:widowControl w:val="0"/>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图书馆财产和安全管理；档案材料收集整理、工作目标任务的管理；免费开放各项服务、读者服务、馆内安全卫生等环境管理和维护以及专业服务等全部服务性工作。</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1.2.图书馆服务宣传推广</w:t>
      </w:r>
    </w:p>
    <w:p>
      <w:pPr>
        <w:widowControl w:val="0"/>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宣传和推广图书馆服务，扩大图书馆知晓率和认知度。开展与读者之间的互动交流活动；发布信息，完成外宣及各项信息目标任务。</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1.3.策划组织开展特色服务活动</w:t>
      </w:r>
    </w:p>
    <w:p>
      <w:pPr>
        <w:widowControl w:val="0"/>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开展讲座、培训、展览、演讲、沙龙等社会教育活动和全民阅读推广活动。同时，针对残疾人、进城务工人员、未成年人和老年人等特殊群体开展各种服务活动。完成年度目标任务。</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1.4.品牌建设</w:t>
      </w:r>
    </w:p>
    <w:p>
      <w:pPr>
        <w:widowControl w:val="0"/>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创造图书馆文化品牌，打造品牌活动，完成品牌建设，提高图书馆的社会关注度与支持。</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1.5.员工培训</w:t>
      </w:r>
    </w:p>
    <w:p>
      <w:pPr>
        <w:widowControl w:val="0"/>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对馆员进行服务意识的培训和考核；招纳优秀人才并进行培训教育、考评考核和录用；鼓励要求员工参与图书馆相关技术职称评定；竞聘上岗，完成组织机构的建立。</w:t>
      </w:r>
    </w:p>
    <w:p>
      <w:pPr>
        <w:widowControl w:val="0"/>
        <w:spacing w:line="44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2.人员配置</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2.1运营商派驻人员部室设置</w:t>
      </w:r>
    </w:p>
    <w:p>
      <w:pPr>
        <w:widowControl w:val="0"/>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办公室、读者服务组、读者活动组。</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2.2人员岗位职责明细</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（1）项目总负责人</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工作内容：</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2.2.1.1</w:t>
      </w:r>
      <w:r>
        <w:rPr>
          <w:rFonts w:hint="eastAsia" w:ascii="仿宋" w:hAnsi="仿宋" w:eastAsia="仿宋" w:cs="仿宋"/>
          <w:color w:val="auto"/>
          <w:sz w:val="24"/>
          <w:szCs w:val="24"/>
        </w:rPr>
        <w:t>贯彻执行党的路线、方针、政策，执行国家有关文化事业和公共图书馆的法规，配合政府方馆长主持全面工作。</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2.2.1.</w:t>
      </w:r>
      <w:r>
        <w:rPr>
          <w:rFonts w:hint="eastAsia" w:ascii="仿宋" w:hAnsi="仿宋" w:eastAsia="仿宋" w:cs="仿宋"/>
          <w:color w:val="auto"/>
          <w:sz w:val="24"/>
          <w:szCs w:val="24"/>
        </w:rPr>
        <w:t xml:space="preserve">2制定本馆年度工作责任目标，组织、布置、督促、检查馆内各个部门目标任务的完成；   </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2.2.1.</w:t>
      </w:r>
      <w:r>
        <w:rPr>
          <w:rFonts w:hint="eastAsia" w:ascii="仿宋" w:hAnsi="仿宋" w:eastAsia="仿宋" w:cs="仿宋"/>
          <w:color w:val="auto"/>
          <w:sz w:val="24"/>
          <w:szCs w:val="24"/>
        </w:rPr>
        <w:t xml:space="preserve">3负责安排和管理好本馆的人事安排和经费管理。 </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2.2.1.</w:t>
      </w:r>
      <w:r>
        <w:rPr>
          <w:rFonts w:hint="eastAsia" w:ascii="仿宋" w:hAnsi="仿宋" w:eastAsia="仿宋" w:cs="仿宋"/>
          <w:color w:val="auto"/>
          <w:sz w:val="24"/>
          <w:szCs w:val="24"/>
        </w:rPr>
        <w:t xml:space="preserve">4开展各项工作，督促检查，总结计划实施情况，保证全馆工作目标任务的完成。  </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2.2.1.</w:t>
      </w:r>
      <w:r>
        <w:rPr>
          <w:rFonts w:hint="eastAsia" w:ascii="仿宋" w:hAnsi="仿宋" w:eastAsia="仿宋" w:cs="仿宋"/>
          <w:color w:val="auto"/>
          <w:sz w:val="24"/>
          <w:szCs w:val="24"/>
        </w:rPr>
        <w:t>5完成上级领导交办的其他工作任务。</w:t>
      </w:r>
    </w:p>
    <w:p>
      <w:pPr>
        <w:widowControl w:val="0"/>
        <w:spacing w:line="440" w:lineRule="exact"/>
        <w:rPr>
          <w:rFonts w:ascii="仿宋" w:hAnsi="仿宋" w:eastAsia="仿宋" w:cs="仿宋"/>
          <w:color w:val="auto"/>
          <w:sz w:val="24"/>
          <w:szCs w:val="24"/>
        </w:rPr>
      </w:pP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（2）办公室</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人事行政培训</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工作内容：</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2.2.2.1.1</w:t>
      </w:r>
      <w:r>
        <w:rPr>
          <w:rFonts w:hint="eastAsia" w:ascii="仿宋" w:hAnsi="仿宋" w:eastAsia="仿宋" w:cs="仿宋"/>
          <w:color w:val="auto"/>
          <w:sz w:val="24"/>
          <w:szCs w:val="24"/>
        </w:rPr>
        <w:t>负责图书馆的宣传、文书和档案工作。</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2.2.2.1.2</w:t>
      </w:r>
      <w:r>
        <w:rPr>
          <w:rFonts w:hint="eastAsia" w:ascii="仿宋" w:hAnsi="仿宋" w:eastAsia="仿宋" w:cs="仿宋"/>
          <w:color w:val="auto"/>
          <w:sz w:val="24"/>
          <w:szCs w:val="24"/>
        </w:rPr>
        <w:t>负责图书馆各类固定资产的管理工作。</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2.2.2.1.</w:t>
      </w:r>
      <w:r>
        <w:rPr>
          <w:rFonts w:hint="eastAsia" w:ascii="仿宋" w:hAnsi="仿宋" w:eastAsia="仿宋" w:cs="仿宋"/>
          <w:color w:val="auto"/>
          <w:sz w:val="24"/>
          <w:szCs w:val="24"/>
        </w:rPr>
        <w:t>3负责图书馆员工培训，入离职的管理工作</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2.2.2.1.</w:t>
      </w:r>
      <w:r>
        <w:rPr>
          <w:rFonts w:hint="eastAsia" w:ascii="仿宋" w:hAnsi="仿宋" w:eastAsia="仿宋" w:cs="仿宋"/>
          <w:color w:val="auto"/>
          <w:sz w:val="24"/>
          <w:szCs w:val="24"/>
        </w:rPr>
        <w:t>4负责图书馆办公用品的申报和领用、</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2.2.2.1.</w:t>
      </w:r>
      <w:r>
        <w:rPr>
          <w:rFonts w:hint="eastAsia" w:ascii="仿宋" w:hAnsi="仿宋" w:eastAsia="仿宋" w:cs="仿宋"/>
          <w:color w:val="auto"/>
          <w:sz w:val="24"/>
          <w:szCs w:val="24"/>
        </w:rPr>
        <w:t>5负责全馆的考勤及各类报表的填报工作。</w:t>
      </w:r>
    </w:p>
    <w:p>
      <w:pPr>
        <w:widowControl w:val="0"/>
        <w:spacing w:line="440" w:lineRule="exact"/>
        <w:rPr>
          <w:rFonts w:ascii="仿宋" w:hAnsi="仿宋" w:eastAsia="仿宋" w:cs="仿宋"/>
          <w:color w:val="auto"/>
          <w:sz w:val="24"/>
          <w:szCs w:val="24"/>
        </w:rPr>
      </w:pP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技术工程师</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工作内容：</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2.2.2.2.</w:t>
      </w:r>
      <w:r>
        <w:rPr>
          <w:rFonts w:hint="eastAsia" w:ascii="仿宋" w:hAnsi="仿宋" w:eastAsia="仿宋" w:cs="仿宋"/>
          <w:color w:val="auto"/>
          <w:sz w:val="24"/>
          <w:szCs w:val="24"/>
        </w:rPr>
        <w:t>1负责图书馆局域网的建设和安全管理工作。</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2.2.2.2.</w:t>
      </w:r>
      <w:r>
        <w:rPr>
          <w:rFonts w:hint="eastAsia" w:ascii="仿宋" w:hAnsi="仿宋" w:eastAsia="仿宋" w:cs="仿宋"/>
          <w:color w:val="auto"/>
          <w:sz w:val="24"/>
          <w:szCs w:val="24"/>
        </w:rPr>
        <w:t>2负责馆内计算机硬件及辅助设备的选型、安装、调试和维护管理工作。</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2.2.2.2.</w:t>
      </w:r>
      <w:r>
        <w:rPr>
          <w:rFonts w:hint="eastAsia" w:ascii="仿宋" w:hAnsi="仿宋" w:eastAsia="仿宋" w:cs="仿宋"/>
          <w:color w:val="auto"/>
          <w:sz w:val="24"/>
          <w:szCs w:val="24"/>
        </w:rPr>
        <w:t>3积极协助各业务部门熟练掌握利用图书馆集成管理系统，负责电子资源及各种重要数据库的正常运行和维护及开发利用工作，妥善保管应用软件并及时进行数据备份。</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2.2.2.2.</w:t>
      </w:r>
      <w:r>
        <w:rPr>
          <w:rFonts w:hint="eastAsia" w:ascii="仿宋" w:hAnsi="仿宋" w:eastAsia="仿宋" w:cs="仿宋"/>
          <w:color w:val="auto"/>
          <w:sz w:val="24"/>
          <w:szCs w:val="24"/>
        </w:rPr>
        <w:t>4承担计算机应用软件的调试和对使用人员的指导培训工作。</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2.2.2.2.</w:t>
      </w:r>
      <w:r>
        <w:rPr>
          <w:rFonts w:hint="eastAsia" w:ascii="仿宋" w:hAnsi="仿宋" w:eastAsia="仿宋" w:cs="仿宋"/>
          <w:color w:val="auto"/>
          <w:sz w:val="24"/>
          <w:szCs w:val="24"/>
        </w:rPr>
        <w:t>5严格管理各类账户的网络地址，登陆权限，确保本馆各类系统安全可靠稳定运行。</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2.2.2.2.</w:t>
      </w:r>
      <w:r>
        <w:rPr>
          <w:rFonts w:hint="eastAsia" w:ascii="仿宋" w:hAnsi="仿宋" w:eastAsia="仿宋" w:cs="仿宋"/>
          <w:color w:val="auto"/>
          <w:sz w:val="24"/>
          <w:szCs w:val="24"/>
        </w:rPr>
        <w:t>6负责对读者进行文献信息查询和相关数据库检索的指导工作，并主动向读者提供有关的信息服务。</w:t>
      </w:r>
    </w:p>
    <w:p>
      <w:pPr>
        <w:widowControl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2.2.2.2.</w:t>
      </w:r>
      <w:r>
        <w:rPr>
          <w:rFonts w:hint="eastAsia" w:ascii="仿宋" w:hAnsi="仿宋" w:eastAsia="仿宋" w:cs="仿宋"/>
          <w:color w:val="auto"/>
          <w:sz w:val="24"/>
          <w:szCs w:val="24"/>
        </w:rPr>
        <w:t>7提供电子资源的咨询服务，为培训工作提供场所。</w:t>
      </w:r>
    </w:p>
    <w:p>
      <w:pPr>
        <w:pStyle w:val="6"/>
        <w:rPr>
          <w:color w:val="auto"/>
        </w:rPr>
      </w:pP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新媒体小编</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2.2.2.3.</w:t>
      </w:r>
      <w:r>
        <w:rPr>
          <w:rFonts w:hint="eastAsia" w:ascii="仿宋" w:hAnsi="仿宋" w:eastAsia="仿宋" w:cs="仿宋"/>
          <w:color w:val="auto"/>
          <w:sz w:val="24"/>
          <w:szCs w:val="24"/>
        </w:rPr>
        <w:t>1负责每月线上活动策划</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2.2.2.2.</w:t>
      </w:r>
      <w:r>
        <w:rPr>
          <w:rFonts w:hint="eastAsia" w:ascii="仿宋" w:hAnsi="仿宋" w:eastAsia="仿宋" w:cs="仿宋"/>
          <w:color w:val="auto"/>
          <w:sz w:val="24"/>
          <w:szCs w:val="24"/>
        </w:rPr>
        <w:t>2 新媒体数据统计</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2.2.2.2.</w:t>
      </w:r>
      <w:r>
        <w:rPr>
          <w:rFonts w:hint="eastAsia" w:ascii="仿宋" w:hAnsi="仿宋" w:eastAsia="仿宋" w:cs="仿宋"/>
          <w:color w:val="auto"/>
          <w:sz w:val="24"/>
          <w:szCs w:val="24"/>
        </w:rPr>
        <w:t>3 媒体报道整理</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2.2.2.2.</w:t>
      </w:r>
      <w:r>
        <w:rPr>
          <w:rFonts w:hint="eastAsia" w:ascii="仿宋" w:hAnsi="仿宋" w:eastAsia="仿宋" w:cs="仿宋"/>
          <w:color w:val="auto"/>
          <w:sz w:val="24"/>
          <w:szCs w:val="24"/>
        </w:rPr>
        <w:t>4下个月的活动总览</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2.2.2.2.</w:t>
      </w:r>
      <w:r>
        <w:rPr>
          <w:rFonts w:hint="eastAsia" w:ascii="仿宋" w:hAnsi="仿宋" w:eastAsia="仿宋" w:cs="仿宋"/>
          <w:color w:val="auto"/>
          <w:sz w:val="24"/>
          <w:szCs w:val="24"/>
        </w:rPr>
        <w:t>5邮箱管理</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2.2.2.2.</w:t>
      </w:r>
      <w:r>
        <w:rPr>
          <w:rFonts w:hint="eastAsia" w:ascii="仿宋" w:hAnsi="仿宋" w:eastAsia="仿宋" w:cs="仿宋"/>
          <w:color w:val="auto"/>
          <w:sz w:val="24"/>
          <w:szCs w:val="24"/>
        </w:rPr>
        <w:t>6微博更新</w:t>
      </w:r>
    </w:p>
    <w:p>
      <w:pPr>
        <w:widowControl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2.2.2.2.</w:t>
      </w:r>
      <w:r>
        <w:rPr>
          <w:rFonts w:hint="eastAsia" w:ascii="仿宋" w:hAnsi="仿宋" w:eastAsia="仿宋" w:cs="仿宋"/>
          <w:color w:val="auto"/>
          <w:sz w:val="24"/>
          <w:szCs w:val="24"/>
        </w:rPr>
        <w:t>7微信订阅号、服务号认证</w:t>
      </w:r>
    </w:p>
    <w:p>
      <w:pPr>
        <w:pStyle w:val="6"/>
        <w:rPr>
          <w:color w:val="auto"/>
        </w:rPr>
      </w:pP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（3）读者服务组</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工作内容：</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2.2.3.1</w:t>
      </w:r>
      <w:r>
        <w:rPr>
          <w:rFonts w:hint="eastAsia" w:ascii="仿宋" w:hAnsi="仿宋" w:eastAsia="仿宋" w:cs="仿宋"/>
          <w:color w:val="auto"/>
          <w:sz w:val="24"/>
          <w:szCs w:val="24"/>
        </w:rPr>
        <w:t>向读者提供图书借还、阅览服务。</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2.2.3.</w:t>
      </w:r>
      <w:r>
        <w:rPr>
          <w:rFonts w:hint="eastAsia" w:ascii="仿宋" w:hAnsi="仿宋" w:eastAsia="仿宋" w:cs="仿宋"/>
          <w:color w:val="auto"/>
          <w:sz w:val="24"/>
          <w:szCs w:val="24"/>
        </w:rPr>
        <w:t>2负责读者证的办理、发放、退证及补证等相关工作。</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2.2.3.</w:t>
      </w:r>
      <w:r>
        <w:rPr>
          <w:rFonts w:hint="eastAsia" w:ascii="仿宋" w:hAnsi="仿宋" w:eastAsia="仿宋" w:cs="仿宋"/>
          <w:color w:val="auto"/>
          <w:sz w:val="24"/>
          <w:szCs w:val="24"/>
        </w:rPr>
        <w:t>3按工作管理规范接受新到图书。按要求对图书进行管理和排架，采取措施保证图书的完好。</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2.2.3.</w:t>
      </w:r>
      <w:r>
        <w:rPr>
          <w:rFonts w:hint="eastAsia" w:ascii="仿宋" w:hAnsi="仿宋" w:eastAsia="仿宋" w:cs="仿宋"/>
          <w:color w:val="auto"/>
          <w:sz w:val="24"/>
          <w:szCs w:val="24"/>
        </w:rPr>
        <w:t>4进行图书、期刊利用的宣传工作，进一步提高图书的利用率。</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2.2.3.</w:t>
      </w:r>
      <w:r>
        <w:rPr>
          <w:rFonts w:hint="eastAsia" w:ascii="仿宋" w:hAnsi="仿宋" w:eastAsia="仿宋" w:cs="仿宋"/>
          <w:color w:val="auto"/>
          <w:sz w:val="24"/>
          <w:szCs w:val="24"/>
        </w:rPr>
        <w:t>5熟悉馆藏，协助读者利用馆藏文献，开展咨询工作。</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2.2.3.</w:t>
      </w:r>
      <w:r>
        <w:rPr>
          <w:rFonts w:hint="eastAsia" w:ascii="仿宋" w:hAnsi="仿宋" w:eastAsia="仿宋" w:cs="仿宋"/>
          <w:color w:val="auto"/>
          <w:sz w:val="24"/>
          <w:szCs w:val="24"/>
        </w:rPr>
        <w:t>6参与文献保障体系建设，开展馆际互借工作。</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2.2.3.</w:t>
      </w:r>
      <w:r>
        <w:rPr>
          <w:rFonts w:hint="eastAsia" w:ascii="仿宋" w:hAnsi="仿宋" w:eastAsia="仿宋" w:cs="仿宋"/>
          <w:color w:val="auto"/>
          <w:sz w:val="24"/>
          <w:szCs w:val="24"/>
        </w:rPr>
        <w:t>7收集读者的意见和建议，不断提高流通阅览服务的水平和质量。</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2.2.3.</w:t>
      </w:r>
      <w:r>
        <w:rPr>
          <w:rFonts w:hint="eastAsia" w:ascii="仿宋" w:hAnsi="仿宋" w:eastAsia="仿宋" w:cs="仿宋"/>
          <w:color w:val="auto"/>
          <w:sz w:val="24"/>
          <w:szCs w:val="24"/>
        </w:rPr>
        <w:t>8负责图书采购、图书分类和图书编目的工作。</w:t>
      </w:r>
    </w:p>
    <w:p>
      <w:pPr>
        <w:widowControl w:val="0"/>
        <w:spacing w:line="44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2.2.3.</w:t>
      </w:r>
      <w:r>
        <w:rPr>
          <w:rFonts w:hint="eastAsia" w:ascii="仿宋" w:hAnsi="仿宋" w:eastAsia="仿宋" w:cs="仿宋"/>
          <w:color w:val="auto"/>
          <w:sz w:val="24"/>
          <w:szCs w:val="24"/>
        </w:rPr>
        <w:t>9及时总结图书采购、分类和编目工作中的经验，不断提高图书的采编质量。</w:t>
      </w:r>
    </w:p>
    <w:p>
      <w:pPr>
        <w:pStyle w:val="6"/>
      </w:pP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（4）读者活动组</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工作内容：</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2.2.4.</w:t>
      </w:r>
      <w:r>
        <w:rPr>
          <w:rFonts w:hint="eastAsia" w:ascii="仿宋" w:hAnsi="仿宋" w:eastAsia="仿宋" w:cs="仿宋"/>
          <w:color w:val="auto"/>
          <w:sz w:val="24"/>
          <w:szCs w:val="24"/>
        </w:rPr>
        <w:t>1组织开展各类活动，推广策略案、资源渠道合作案、品牌策划案等文案的创意、策划、内容及执行。</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2.2.4.</w:t>
      </w:r>
      <w:r>
        <w:rPr>
          <w:rFonts w:hint="eastAsia" w:ascii="仿宋" w:hAnsi="仿宋" w:eastAsia="仿宋" w:cs="仿宋"/>
          <w:color w:val="auto"/>
          <w:sz w:val="24"/>
          <w:szCs w:val="24"/>
        </w:rPr>
        <w:t>2官网、微博、微信、抖音等自媒体平台内容的创意、选题、内容、执行与维护更新。</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2.2.4.</w:t>
      </w:r>
      <w:r>
        <w:rPr>
          <w:rFonts w:hint="eastAsia" w:ascii="仿宋" w:hAnsi="仿宋" w:eastAsia="仿宋" w:cs="仿宋"/>
          <w:color w:val="auto"/>
          <w:sz w:val="24"/>
          <w:szCs w:val="24"/>
        </w:rPr>
        <w:t>3协助完成各类调研、统计报告的信息采集和文案采编。</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2.2.4.</w:t>
      </w:r>
      <w:r>
        <w:rPr>
          <w:rFonts w:hint="eastAsia" w:ascii="仿宋" w:hAnsi="仿宋" w:eastAsia="仿宋" w:cs="仿宋"/>
          <w:color w:val="auto"/>
          <w:sz w:val="24"/>
          <w:szCs w:val="24"/>
        </w:rPr>
        <w:t>4读者建设、志愿者队伍建设、活动绩效评定系统建设。</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lang w:val="en-US" w:eastAsia="zh-CN"/>
        </w:rPr>
        <w:t>2.2.4.</w:t>
      </w:r>
      <w:r>
        <w:rPr>
          <w:rFonts w:hint="eastAsia" w:ascii="仿宋" w:hAnsi="仿宋" w:eastAsia="仿宋" w:cs="仿宋"/>
          <w:color w:val="auto"/>
          <w:sz w:val="24"/>
          <w:szCs w:val="24"/>
        </w:rPr>
        <w:t>.5外部资源协调，活动资源建立，阅读点业务指导。</w:t>
      </w:r>
    </w:p>
    <w:p>
      <w:pPr>
        <w:widowControl w:val="0"/>
        <w:spacing w:line="440" w:lineRule="exact"/>
        <w:rPr>
          <w:rFonts w:ascii="仿宋" w:hAnsi="仿宋" w:eastAsia="仿宋" w:cs="仿宋"/>
          <w:color w:val="auto"/>
          <w:sz w:val="24"/>
          <w:szCs w:val="24"/>
        </w:rPr>
      </w:pPr>
    </w:p>
    <w:p>
      <w:pPr>
        <w:widowControl w:val="0"/>
        <w:spacing w:line="44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3.考评方式</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3.1考评对象</w:t>
      </w:r>
    </w:p>
    <w:p>
      <w:pPr>
        <w:widowControl w:val="0"/>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服务商招聘的人员接受甲方对图书馆的业务监管和绩效考核。</w:t>
      </w:r>
    </w:p>
    <w:p>
      <w:pPr>
        <w:widowControl w:val="0"/>
        <w:spacing w:line="440" w:lineRule="exact"/>
        <w:rPr>
          <w:rFonts w:ascii="仿宋" w:hAnsi="仿宋" w:eastAsia="仿宋" w:cs="仿宋"/>
          <w:color w:val="auto"/>
          <w:sz w:val="24"/>
          <w:szCs w:val="24"/>
        </w:rPr>
      </w:pPr>
      <w:r>
        <w:rPr>
          <w:rFonts w:hint="eastAsia" w:ascii="仿宋" w:hAnsi="仿宋" w:eastAsia="仿宋" w:cs="仿宋"/>
          <w:color w:val="auto"/>
          <w:sz w:val="24"/>
          <w:szCs w:val="24"/>
        </w:rPr>
        <w:t>3.2考评方式</w:t>
      </w:r>
    </w:p>
    <w:p>
      <w:pPr>
        <w:pStyle w:val="3"/>
        <w:shd w:val="clear" w:color="auto" w:fill="FFFFFF" w:themeFill="background1"/>
        <w:spacing w:after="0" w:line="400" w:lineRule="exact"/>
        <w:ind w:firstLine="482"/>
        <w:rPr>
          <w:rFonts w:ascii="仿宋" w:hAnsi="仿宋" w:eastAsia="仿宋" w:cs="仿宋"/>
          <w:color w:val="auto"/>
          <w:sz w:val="24"/>
          <w:szCs w:val="24"/>
        </w:rPr>
      </w:pPr>
      <w:r>
        <w:rPr>
          <w:rFonts w:hint="eastAsia" w:ascii="仿宋" w:hAnsi="仿宋" w:eastAsia="仿宋" w:cs="仿宋"/>
          <w:color w:val="auto"/>
          <w:sz w:val="24"/>
          <w:szCs w:val="24"/>
        </w:rPr>
        <w:t>甲方成立考核评价小组，编制绩效考核实施细则。按“日常监管”、“年度考核”两个步骤具体实施。从服务外包任务的完成数量和质量、服务队伍的建设和管理、服务能力和管理水平、管理规章的执行和落实、群众知晓度和满意度等方面进行综合考核评价，满分为100分，考核评价不得低于80分，80分以下60分以上要求服务商立即整改，60分以下整改不合格则终止服务合同。</w:t>
      </w:r>
    </w:p>
    <w:p>
      <w:pPr>
        <w:widowControl w:val="0"/>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根据服务商提供的图书馆年度运营报告按照甲方规定的考核标准进行年度考核。政府通过年度考核标准，建立支付和合作方式，分为</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个等级。</w:t>
      </w:r>
    </w:p>
    <w:p>
      <w:pPr>
        <w:pStyle w:val="3"/>
        <w:shd w:val="clear" w:color="auto" w:fill="FFFFFF" w:themeFill="background1"/>
        <w:spacing w:after="0" w:line="400" w:lineRule="exact"/>
        <w:ind w:firstLine="482"/>
        <w:rPr>
          <w:rFonts w:hint="eastAsia" w:ascii="仿宋" w:hAnsi="仿宋" w:eastAsia="仿宋" w:cs="仿宋"/>
          <w:color w:val="auto"/>
          <w:sz w:val="24"/>
          <w:szCs w:val="24"/>
        </w:rPr>
      </w:pPr>
      <w:r>
        <w:rPr>
          <w:rFonts w:hint="eastAsia" w:ascii="仿宋" w:hAnsi="仿宋" w:eastAsia="仿宋" w:cs="仿宋"/>
          <w:color w:val="auto"/>
          <w:sz w:val="24"/>
          <w:szCs w:val="24"/>
        </w:rPr>
        <w:t>分数平均80(含80)分以上为优秀:支付单年合同金额100%。</w:t>
      </w:r>
    </w:p>
    <w:p>
      <w:pPr>
        <w:pStyle w:val="3"/>
        <w:shd w:val="clear" w:color="auto" w:fill="FFFFFF" w:themeFill="background1"/>
        <w:spacing w:after="0" w:line="400" w:lineRule="exact"/>
        <w:ind w:firstLine="482"/>
        <w:rPr>
          <w:rFonts w:hint="eastAsia" w:ascii="仿宋" w:hAnsi="仿宋" w:eastAsia="仿宋" w:cs="仿宋"/>
          <w:color w:val="auto"/>
          <w:sz w:val="24"/>
          <w:szCs w:val="24"/>
        </w:rPr>
      </w:pPr>
      <w:r>
        <w:rPr>
          <w:rFonts w:hint="eastAsia" w:ascii="仿宋" w:hAnsi="仿宋" w:eastAsia="仿宋" w:cs="仿宋"/>
          <w:color w:val="auto"/>
          <w:sz w:val="24"/>
          <w:szCs w:val="24"/>
        </w:rPr>
        <w:t>分数平均60(含60)-80分为合格:支付单年合同金额80%。</w:t>
      </w:r>
    </w:p>
    <w:p>
      <w:pPr>
        <w:pStyle w:val="3"/>
        <w:shd w:val="clear" w:color="auto" w:fill="FFFFFF" w:themeFill="background1"/>
        <w:spacing w:after="0" w:line="400" w:lineRule="exact"/>
        <w:ind w:firstLine="482"/>
        <w:rPr>
          <w:rFonts w:ascii="仿宋" w:hAnsi="仿宋" w:eastAsia="仿宋" w:cs="仿宋"/>
          <w:color w:val="auto"/>
          <w:sz w:val="24"/>
          <w:szCs w:val="24"/>
        </w:rPr>
      </w:pPr>
      <w:r>
        <w:rPr>
          <w:rFonts w:hint="eastAsia" w:ascii="仿宋" w:hAnsi="仿宋" w:eastAsia="仿宋" w:cs="仿宋"/>
          <w:color w:val="auto"/>
          <w:sz w:val="24"/>
          <w:szCs w:val="24"/>
        </w:rPr>
        <w:t>分数平均60分以下:支付单年合同金额60%，并要求整改，若整改后不合格，采购人有权解除合同。</w:t>
      </w:r>
    </w:p>
    <w:p>
      <w:pPr>
        <w:pStyle w:val="3"/>
        <w:shd w:val="clear" w:color="auto" w:fill="FFFFFF" w:themeFill="background1"/>
        <w:spacing w:after="0" w:line="400" w:lineRule="exact"/>
        <w:ind w:firstLine="482"/>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以年度考核结果作为支付依据，低于考核标准的则扣除相应服务</w:t>
      </w:r>
      <w:r>
        <w:rPr>
          <w:rFonts w:hint="eastAsia" w:ascii="仿宋" w:hAnsi="仿宋" w:eastAsia="仿宋" w:cs="仿宋"/>
          <w:color w:val="auto"/>
          <w:sz w:val="24"/>
          <w:szCs w:val="24"/>
          <w:lang w:val="en-US" w:eastAsia="zh-CN"/>
        </w:rPr>
        <w:t>费</w:t>
      </w:r>
      <w:r>
        <w:rPr>
          <w:rFonts w:hint="eastAsia" w:ascii="仿宋" w:hAnsi="仿宋" w:eastAsia="仿宋" w:cs="仿宋"/>
          <w:color w:val="auto"/>
          <w:sz w:val="24"/>
          <w:szCs w:val="24"/>
          <w:lang w:eastAsia="zh-CN"/>
        </w:rPr>
        <w:t>。</w:t>
      </w:r>
    </w:p>
    <w:p>
      <w:pPr>
        <w:widowControl w:val="0"/>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为了考评服务投标单位的服务质量，根据第三项工作目标及预期效益的具体内容制订服务量化考核表，各项服务及指标的分值为：</w:t>
      </w:r>
    </w:p>
    <w:p>
      <w:pPr>
        <w:widowControl w:val="0"/>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服务外包任务完成的数量及质量  25分</w:t>
      </w:r>
    </w:p>
    <w:p>
      <w:pPr>
        <w:widowControl w:val="0"/>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服务队伍的建设和管理          15分</w:t>
      </w:r>
    </w:p>
    <w:p>
      <w:pPr>
        <w:widowControl w:val="0"/>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服务能力和管理水平            20分</w:t>
      </w:r>
    </w:p>
    <w:p>
      <w:pPr>
        <w:widowControl w:val="0"/>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活动的执行和落实              30分</w:t>
      </w:r>
    </w:p>
    <w:p>
      <w:pPr>
        <w:widowControl w:val="0"/>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群众知晓度和满意率            5分</w:t>
      </w:r>
    </w:p>
    <w:p>
      <w:pPr>
        <w:widowControl w:val="0"/>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应急管理和安全管理            5分</w:t>
      </w:r>
    </w:p>
    <w:p>
      <w:pPr>
        <w:widowControl w:val="0"/>
        <w:spacing w:line="440" w:lineRule="exac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满分为100分，考核评价不得低于</w:t>
      </w:r>
      <w:r>
        <w:rPr>
          <w:rFonts w:hint="eastAsia" w:ascii="仿宋" w:hAnsi="仿宋" w:eastAsia="仿宋" w:cs="仿宋"/>
          <w:color w:val="auto"/>
          <w:sz w:val="24"/>
          <w:szCs w:val="24"/>
          <w:lang w:val="en-US" w:eastAsia="zh-CN"/>
        </w:rPr>
        <w:t>80</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60</w:t>
      </w:r>
      <w:r>
        <w:rPr>
          <w:rFonts w:hint="eastAsia" w:ascii="仿宋" w:hAnsi="仿宋" w:eastAsia="仿宋" w:cs="仿宋"/>
          <w:color w:val="auto"/>
          <w:sz w:val="24"/>
          <w:szCs w:val="24"/>
        </w:rPr>
        <w:t>分以下要求服务商立即整改。</w:t>
      </w:r>
    </w:p>
    <w:p>
      <w:pPr>
        <w:rPr>
          <w:rFonts w:ascii="仿宋" w:hAnsi="仿宋" w:eastAsia="仿宋" w:cs="仿宋"/>
          <w:color w:val="auto"/>
          <w:sz w:val="24"/>
          <w:szCs w:val="24"/>
        </w:rPr>
      </w:pPr>
      <w:r>
        <w:rPr>
          <w:rFonts w:hint="eastAsia" w:ascii="仿宋" w:hAnsi="仿宋" w:eastAsia="仿宋" w:cs="仿宋"/>
          <w:color w:val="auto"/>
          <w:sz w:val="24"/>
        </w:rPr>
        <w:t>3.3</w:t>
      </w:r>
      <w:r>
        <w:rPr>
          <w:rFonts w:hint="eastAsia" w:ascii="仿宋" w:hAnsi="仿宋" w:eastAsia="仿宋" w:cs="仿宋"/>
          <w:color w:val="auto"/>
          <w:sz w:val="24"/>
          <w:szCs w:val="24"/>
        </w:rPr>
        <w:t>泉山区图书馆服务运营考核标准</w:t>
      </w:r>
    </w:p>
    <w:tbl>
      <w:tblPr>
        <w:tblStyle w:val="5"/>
        <w:tblW w:w="8359" w:type="dxa"/>
        <w:jc w:val="center"/>
        <w:tblInd w:w="0" w:type="dxa"/>
        <w:tblLayout w:type="fixed"/>
        <w:tblCellMar>
          <w:top w:w="0" w:type="dxa"/>
          <w:left w:w="0" w:type="dxa"/>
          <w:bottom w:w="0" w:type="dxa"/>
          <w:right w:w="0" w:type="dxa"/>
        </w:tblCellMar>
      </w:tblPr>
      <w:tblGrid>
        <w:gridCol w:w="674"/>
        <w:gridCol w:w="1256"/>
        <w:gridCol w:w="5551"/>
        <w:gridCol w:w="878"/>
      </w:tblGrid>
      <w:tr>
        <w:tblPrEx>
          <w:tblLayout w:type="fixed"/>
          <w:tblCellMar>
            <w:top w:w="0" w:type="dxa"/>
            <w:left w:w="0" w:type="dxa"/>
            <w:bottom w:w="0" w:type="dxa"/>
            <w:right w:w="0" w:type="dxa"/>
          </w:tblCellMar>
        </w:tblPrEx>
        <w:trPr>
          <w:trHeight w:val="587" w:hRule="atLeast"/>
          <w:jc w:val="center"/>
        </w:trPr>
        <w:tc>
          <w:tcPr>
            <w:tcW w:w="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序号</w:t>
            </w:r>
          </w:p>
        </w:tc>
        <w:tc>
          <w:tcPr>
            <w:tcW w:w="12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指标</w:t>
            </w:r>
          </w:p>
        </w:tc>
        <w:tc>
          <w:tcPr>
            <w:tcW w:w="5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考核内容</w:t>
            </w:r>
          </w:p>
        </w:tc>
        <w:tc>
          <w:tcPr>
            <w:tcW w:w="8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分值</w:t>
            </w:r>
          </w:p>
        </w:tc>
      </w:tr>
      <w:tr>
        <w:tblPrEx>
          <w:tblLayout w:type="fixed"/>
          <w:tblCellMar>
            <w:top w:w="0" w:type="dxa"/>
            <w:left w:w="0" w:type="dxa"/>
            <w:bottom w:w="0" w:type="dxa"/>
            <w:right w:w="0" w:type="dxa"/>
          </w:tblCellMar>
        </w:tblPrEx>
        <w:trPr>
          <w:trHeight w:val="945" w:hRule="atLeast"/>
          <w:jc w:val="center"/>
        </w:trPr>
        <w:tc>
          <w:tcPr>
            <w:tcW w:w="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12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开放时间</w:t>
            </w:r>
          </w:p>
        </w:tc>
        <w:tc>
          <w:tcPr>
            <w:tcW w:w="5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周开放时间不少于56小时，全年无休</w:t>
            </w:r>
          </w:p>
        </w:tc>
        <w:tc>
          <w:tcPr>
            <w:tcW w:w="8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r>
      <w:tr>
        <w:tblPrEx>
          <w:tblLayout w:type="fixed"/>
          <w:tblCellMar>
            <w:top w:w="0" w:type="dxa"/>
            <w:left w:w="0" w:type="dxa"/>
            <w:bottom w:w="0" w:type="dxa"/>
            <w:right w:w="0" w:type="dxa"/>
          </w:tblCellMar>
        </w:tblPrEx>
        <w:trPr>
          <w:trHeight w:val="945" w:hRule="atLeast"/>
          <w:jc w:val="center"/>
        </w:trPr>
        <w:tc>
          <w:tcPr>
            <w:tcW w:w="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12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读者数</w:t>
            </w:r>
          </w:p>
        </w:tc>
        <w:tc>
          <w:tcPr>
            <w:tcW w:w="5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一年新增注册读者数0.2万人</w:t>
            </w:r>
          </w:p>
        </w:tc>
        <w:tc>
          <w:tcPr>
            <w:tcW w:w="8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r>
      <w:tr>
        <w:tblPrEx>
          <w:tblLayout w:type="fixed"/>
          <w:tblCellMar>
            <w:top w:w="0" w:type="dxa"/>
            <w:left w:w="0" w:type="dxa"/>
            <w:bottom w:w="0" w:type="dxa"/>
            <w:right w:w="0" w:type="dxa"/>
          </w:tblCellMar>
        </w:tblPrEx>
        <w:trPr>
          <w:trHeight w:val="945" w:hRule="atLeast"/>
          <w:jc w:val="center"/>
        </w:trPr>
        <w:tc>
          <w:tcPr>
            <w:tcW w:w="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c>
          <w:tcPr>
            <w:tcW w:w="12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到馆量</w:t>
            </w:r>
          </w:p>
        </w:tc>
        <w:tc>
          <w:tcPr>
            <w:tcW w:w="5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年读者到馆量达50万人次</w:t>
            </w:r>
          </w:p>
        </w:tc>
        <w:tc>
          <w:tcPr>
            <w:tcW w:w="8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4</w:t>
            </w:r>
          </w:p>
        </w:tc>
      </w:tr>
      <w:tr>
        <w:tblPrEx>
          <w:tblLayout w:type="fixed"/>
          <w:tblCellMar>
            <w:top w:w="0" w:type="dxa"/>
            <w:left w:w="0" w:type="dxa"/>
            <w:bottom w:w="0" w:type="dxa"/>
            <w:right w:w="0" w:type="dxa"/>
          </w:tblCellMar>
        </w:tblPrEx>
        <w:trPr>
          <w:trHeight w:val="945" w:hRule="atLeast"/>
          <w:jc w:val="center"/>
        </w:trPr>
        <w:tc>
          <w:tcPr>
            <w:tcW w:w="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4</w:t>
            </w:r>
          </w:p>
        </w:tc>
        <w:tc>
          <w:tcPr>
            <w:tcW w:w="12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文献</w:t>
            </w:r>
            <w:r>
              <w:rPr>
                <w:rFonts w:hint="eastAsia" w:ascii="仿宋" w:hAnsi="仿宋" w:eastAsia="仿宋" w:cs="仿宋"/>
                <w:color w:val="auto"/>
                <w:sz w:val="24"/>
              </w:rPr>
              <w:br w:type="textWrapping"/>
            </w:r>
            <w:r>
              <w:rPr>
                <w:rFonts w:hint="eastAsia" w:ascii="仿宋" w:hAnsi="仿宋" w:eastAsia="仿宋" w:cs="仿宋"/>
                <w:color w:val="auto"/>
                <w:sz w:val="24"/>
              </w:rPr>
              <w:t>外借量</w:t>
            </w:r>
          </w:p>
        </w:tc>
        <w:tc>
          <w:tcPr>
            <w:tcW w:w="5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年每册馆藏流通次数达0.7次</w:t>
            </w:r>
          </w:p>
        </w:tc>
        <w:tc>
          <w:tcPr>
            <w:tcW w:w="8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4</w:t>
            </w:r>
          </w:p>
        </w:tc>
      </w:tr>
      <w:tr>
        <w:tblPrEx>
          <w:tblLayout w:type="fixed"/>
          <w:tblCellMar>
            <w:top w:w="0" w:type="dxa"/>
            <w:left w:w="0" w:type="dxa"/>
            <w:bottom w:w="0" w:type="dxa"/>
            <w:right w:w="0" w:type="dxa"/>
          </w:tblCellMar>
        </w:tblPrEx>
        <w:trPr>
          <w:trHeight w:val="981" w:hRule="atLeast"/>
          <w:jc w:val="center"/>
        </w:trPr>
        <w:tc>
          <w:tcPr>
            <w:tcW w:w="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5</w:t>
            </w:r>
          </w:p>
        </w:tc>
        <w:tc>
          <w:tcPr>
            <w:tcW w:w="12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书刊宣传</w:t>
            </w:r>
          </w:p>
        </w:tc>
        <w:tc>
          <w:tcPr>
            <w:tcW w:w="5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 w:hAnsi="仿宋" w:eastAsia="仿宋" w:cs="仿宋"/>
                <w:color w:val="auto"/>
                <w:sz w:val="24"/>
              </w:rPr>
            </w:pPr>
            <w:r>
              <w:rPr>
                <w:rFonts w:hint="eastAsia" w:ascii="仿宋" w:hAnsi="仿宋" w:eastAsia="仿宋" w:cs="仿宋"/>
                <w:color w:val="auto"/>
                <w:sz w:val="24"/>
              </w:rPr>
              <w:t>线上宣传每月不少于1次10册；馆内宣传每月不少于1次20册；馆外宣传每季度不少于1次100册。</w:t>
            </w:r>
          </w:p>
        </w:tc>
        <w:tc>
          <w:tcPr>
            <w:tcW w:w="8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r>
      <w:tr>
        <w:tblPrEx>
          <w:tblLayout w:type="fixed"/>
          <w:tblCellMar>
            <w:top w:w="0" w:type="dxa"/>
            <w:left w:w="0" w:type="dxa"/>
            <w:bottom w:w="0" w:type="dxa"/>
            <w:right w:w="0" w:type="dxa"/>
          </w:tblCellMar>
        </w:tblPrEx>
        <w:trPr>
          <w:trHeight w:val="981" w:hRule="atLeast"/>
          <w:jc w:val="center"/>
        </w:trPr>
        <w:tc>
          <w:tcPr>
            <w:tcW w:w="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6</w:t>
            </w:r>
          </w:p>
        </w:tc>
        <w:tc>
          <w:tcPr>
            <w:tcW w:w="12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安全管理</w:t>
            </w:r>
          </w:p>
        </w:tc>
        <w:tc>
          <w:tcPr>
            <w:tcW w:w="5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 w:hAnsi="仿宋" w:eastAsia="仿宋" w:cs="仿宋"/>
                <w:color w:val="auto"/>
                <w:sz w:val="24"/>
              </w:rPr>
            </w:pPr>
            <w:r>
              <w:rPr>
                <w:rFonts w:hint="eastAsia" w:ascii="仿宋" w:hAnsi="仿宋" w:eastAsia="仿宋" w:cs="仿宋"/>
                <w:color w:val="auto"/>
                <w:sz w:val="24"/>
              </w:rPr>
              <w:t>负责馆内水、电、火等各项安全工作，定期开展安全检查，成立安全生产管理组织，安全生产制度齐全。</w:t>
            </w:r>
          </w:p>
        </w:tc>
        <w:tc>
          <w:tcPr>
            <w:tcW w:w="8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r>
      <w:tr>
        <w:tblPrEx>
          <w:tblLayout w:type="fixed"/>
          <w:tblCellMar>
            <w:top w:w="0" w:type="dxa"/>
            <w:left w:w="0" w:type="dxa"/>
            <w:bottom w:w="0" w:type="dxa"/>
            <w:right w:w="0" w:type="dxa"/>
          </w:tblCellMar>
        </w:tblPrEx>
        <w:trPr>
          <w:trHeight w:val="981" w:hRule="atLeast"/>
          <w:jc w:val="center"/>
        </w:trPr>
        <w:tc>
          <w:tcPr>
            <w:tcW w:w="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7</w:t>
            </w:r>
          </w:p>
        </w:tc>
        <w:tc>
          <w:tcPr>
            <w:tcW w:w="12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重大读者</w:t>
            </w:r>
          </w:p>
          <w:p>
            <w:pPr>
              <w:jc w:val="center"/>
              <w:rPr>
                <w:rFonts w:ascii="仿宋" w:hAnsi="仿宋" w:eastAsia="仿宋" w:cs="仿宋"/>
                <w:color w:val="auto"/>
                <w:sz w:val="24"/>
              </w:rPr>
            </w:pPr>
            <w:r>
              <w:rPr>
                <w:rFonts w:hint="eastAsia" w:ascii="仿宋" w:hAnsi="仿宋" w:eastAsia="仿宋" w:cs="仿宋"/>
                <w:color w:val="auto"/>
                <w:sz w:val="24"/>
              </w:rPr>
              <w:t>投诉</w:t>
            </w:r>
          </w:p>
        </w:tc>
        <w:tc>
          <w:tcPr>
            <w:tcW w:w="5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 w:hAnsi="仿宋" w:eastAsia="仿宋" w:cs="仿宋"/>
                <w:color w:val="auto"/>
                <w:sz w:val="24"/>
              </w:rPr>
            </w:pPr>
            <w:r>
              <w:rPr>
                <w:rFonts w:hint="eastAsia" w:ascii="仿宋" w:hAnsi="仿宋" w:eastAsia="仿宋" w:cs="仿宋"/>
                <w:color w:val="auto"/>
                <w:sz w:val="24"/>
              </w:rPr>
              <w:t>全年重大读者投诉，经认定的不超过2次</w:t>
            </w:r>
          </w:p>
        </w:tc>
        <w:tc>
          <w:tcPr>
            <w:tcW w:w="8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r>
      <w:tr>
        <w:tblPrEx>
          <w:tblLayout w:type="fixed"/>
          <w:tblCellMar>
            <w:top w:w="0" w:type="dxa"/>
            <w:left w:w="0" w:type="dxa"/>
            <w:bottom w:w="0" w:type="dxa"/>
            <w:right w:w="0" w:type="dxa"/>
          </w:tblCellMar>
        </w:tblPrEx>
        <w:trPr>
          <w:trHeight w:val="945" w:hRule="atLeast"/>
          <w:jc w:val="center"/>
        </w:trPr>
        <w:tc>
          <w:tcPr>
            <w:tcW w:w="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8</w:t>
            </w:r>
          </w:p>
        </w:tc>
        <w:tc>
          <w:tcPr>
            <w:tcW w:w="12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读者</w:t>
            </w:r>
            <w:r>
              <w:rPr>
                <w:rFonts w:hint="eastAsia" w:ascii="仿宋" w:hAnsi="仿宋" w:eastAsia="仿宋" w:cs="仿宋"/>
                <w:color w:val="auto"/>
                <w:sz w:val="24"/>
              </w:rPr>
              <w:br w:type="textWrapping"/>
            </w:r>
            <w:r>
              <w:rPr>
                <w:rFonts w:hint="eastAsia" w:ascii="仿宋" w:hAnsi="仿宋" w:eastAsia="仿宋" w:cs="仿宋"/>
                <w:color w:val="auto"/>
                <w:sz w:val="24"/>
              </w:rPr>
              <w:t>满意率</w:t>
            </w:r>
          </w:p>
        </w:tc>
        <w:tc>
          <w:tcPr>
            <w:tcW w:w="5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 w:hAnsi="仿宋" w:eastAsia="仿宋" w:cs="仿宋"/>
                <w:color w:val="auto"/>
                <w:sz w:val="24"/>
              </w:rPr>
            </w:pPr>
            <w:r>
              <w:rPr>
                <w:rFonts w:hint="eastAsia" w:ascii="仿宋" w:hAnsi="仿宋" w:eastAsia="仿宋" w:cs="仿宋"/>
                <w:color w:val="auto"/>
                <w:sz w:val="24"/>
              </w:rPr>
              <w:t>不定期发放调查问卷，收集读者对图书馆服务质量、员工素养等方面评价，全年不低于100份，满意率达90%以上。</w:t>
            </w:r>
          </w:p>
        </w:tc>
        <w:tc>
          <w:tcPr>
            <w:tcW w:w="8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5</w:t>
            </w:r>
          </w:p>
        </w:tc>
      </w:tr>
      <w:tr>
        <w:tblPrEx>
          <w:tblLayout w:type="fixed"/>
          <w:tblCellMar>
            <w:top w:w="0" w:type="dxa"/>
            <w:left w:w="0" w:type="dxa"/>
            <w:bottom w:w="0" w:type="dxa"/>
            <w:right w:w="0" w:type="dxa"/>
          </w:tblCellMar>
        </w:tblPrEx>
        <w:trPr>
          <w:trHeight w:val="945" w:hRule="atLeast"/>
          <w:jc w:val="center"/>
        </w:trPr>
        <w:tc>
          <w:tcPr>
            <w:tcW w:w="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9</w:t>
            </w:r>
          </w:p>
        </w:tc>
        <w:tc>
          <w:tcPr>
            <w:tcW w:w="12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志愿者</w:t>
            </w:r>
          </w:p>
        </w:tc>
        <w:tc>
          <w:tcPr>
            <w:tcW w:w="5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建立志愿者服务台账，志愿者服务活动常态化</w:t>
            </w:r>
          </w:p>
        </w:tc>
        <w:tc>
          <w:tcPr>
            <w:tcW w:w="8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r>
      <w:tr>
        <w:tblPrEx>
          <w:tblLayout w:type="fixed"/>
          <w:tblCellMar>
            <w:top w:w="0" w:type="dxa"/>
            <w:left w:w="0" w:type="dxa"/>
            <w:bottom w:w="0" w:type="dxa"/>
            <w:right w:w="0" w:type="dxa"/>
          </w:tblCellMar>
        </w:tblPrEx>
        <w:trPr>
          <w:trHeight w:val="945" w:hRule="atLeast"/>
          <w:jc w:val="center"/>
        </w:trPr>
        <w:tc>
          <w:tcPr>
            <w:tcW w:w="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10</w:t>
            </w:r>
          </w:p>
        </w:tc>
        <w:tc>
          <w:tcPr>
            <w:tcW w:w="12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社会合作</w:t>
            </w:r>
          </w:p>
        </w:tc>
        <w:tc>
          <w:tcPr>
            <w:tcW w:w="5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拓展合作机构，每年新增开展业务活动的合作机构1个</w:t>
            </w:r>
          </w:p>
        </w:tc>
        <w:tc>
          <w:tcPr>
            <w:tcW w:w="8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r>
      <w:tr>
        <w:tblPrEx>
          <w:tblLayout w:type="fixed"/>
          <w:tblCellMar>
            <w:top w:w="0" w:type="dxa"/>
            <w:left w:w="0" w:type="dxa"/>
            <w:bottom w:w="0" w:type="dxa"/>
            <w:right w:w="0" w:type="dxa"/>
          </w:tblCellMar>
        </w:tblPrEx>
        <w:trPr>
          <w:trHeight w:val="945" w:hRule="atLeast"/>
          <w:jc w:val="center"/>
        </w:trPr>
        <w:tc>
          <w:tcPr>
            <w:tcW w:w="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11</w:t>
            </w:r>
          </w:p>
        </w:tc>
        <w:tc>
          <w:tcPr>
            <w:tcW w:w="12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读者活动人书</w:t>
            </w:r>
          </w:p>
        </w:tc>
        <w:tc>
          <w:tcPr>
            <w:tcW w:w="5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年参加读者活动人数8万人次</w:t>
            </w:r>
          </w:p>
        </w:tc>
        <w:tc>
          <w:tcPr>
            <w:tcW w:w="8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5</w:t>
            </w:r>
          </w:p>
        </w:tc>
      </w:tr>
      <w:tr>
        <w:tblPrEx>
          <w:tblLayout w:type="fixed"/>
          <w:tblCellMar>
            <w:top w:w="0" w:type="dxa"/>
            <w:left w:w="0" w:type="dxa"/>
            <w:bottom w:w="0" w:type="dxa"/>
            <w:right w:w="0" w:type="dxa"/>
          </w:tblCellMar>
        </w:tblPrEx>
        <w:trPr>
          <w:trHeight w:val="981" w:hRule="atLeast"/>
          <w:jc w:val="center"/>
        </w:trPr>
        <w:tc>
          <w:tcPr>
            <w:tcW w:w="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12</w:t>
            </w:r>
          </w:p>
        </w:tc>
        <w:tc>
          <w:tcPr>
            <w:tcW w:w="12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服务队伍建设和管理</w:t>
            </w:r>
          </w:p>
        </w:tc>
        <w:tc>
          <w:tcPr>
            <w:tcW w:w="5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 w:hAnsi="仿宋" w:eastAsia="仿宋" w:cs="仿宋"/>
                <w:color w:val="auto"/>
                <w:sz w:val="24"/>
              </w:rPr>
            </w:pPr>
            <w:r>
              <w:rPr>
                <w:rFonts w:hint="eastAsia" w:ascii="仿宋" w:hAnsi="仿宋" w:eastAsia="仿宋" w:cs="仿宋"/>
                <w:color w:val="auto"/>
                <w:sz w:val="24"/>
              </w:rPr>
              <w:t>具有完善的组织架构，按需设岗，设置绩效考核机制及奖励机制并执行</w:t>
            </w:r>
          </w:p>
        </w:tc>
        <w:tc>
          <w:tcPr>
            <w:tcW w:w="8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r>
      <w:tr>
        <w:tblPrEx>
          <w:tblLayout w:type="fixed"/>
          <w:tblCellMar>
            <w:top w:w="0" w:type="dxa"/>
            <w:left w:w="0" w:type="dxa"/>
            <w:bottom w:w="0" w:type="dxa"/>
            <w:right w:w="0" w:type="dxa"/>
          </w:tblCellMar>
        </w:tblPrEx>
        <w:trPr>
          <w:trHeight w:val="945" w:hRule="atLeast"/>
          <w:jc w:val="center"/>
        </w:trPr>
        <w:tc>
          <w:tcPr>
            <w:tcW w:w="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13</w:t>
            </w:r>
          </w:p>
        </w:tc>
        <w:tc>
          <w:tcPr>
            <w:tcW w:w="12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员工培训</w:t>
            </w:r>
          </w:p>
        </w:tc>
        <w:tc>
          <w:tcPr>
            <w:tcW w:w="5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 w:hAnsi="仿宋" w:eastAsia="仿宋" w:cs="仿宋"/>
                <w:color w:val="auto"/>
                <w:sz w:val="24"/>
              </w:rPr>
            </w:pPr>
            <w:r>
              <w:rPr>
                <w:rFonts w:hint="eastAsia" w:ascii="仿宋" w:hAnsi="仿宋" w:eastAsia="仿宋" w:cs="仿宋"/>
                <w:color w:val="auto"/>
                <w:sz w:val="24"/>
              </w:rPr>
              <w:t>年员工人均教育培训100学时，鼓励员工参加各级权威专业机构培训。</w:t>
            </w:r>
          </w:p>
        </w:tc>
        <w:tc>
          <w:tcPr>
            <w:tcW w:w="8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r>
      <w:tr>
        <w:tblPrEx>
          <w:tblLayout w:type="fixed"/>
          <w:tblCellMar>
            <w:top w:w="0" w:type="dxa"/>
            <w:left w:w="0" w:type="dxa"/>
            <w:bottom w:w="0" w:type="dxa"/>
            <w:right w:w="0" w:type="dxa"/>
          </w:tblCellMar>
        </w:tblPrEx>
        <w:trPr>
          <w:trHeight w:val="981" w:hRule="atLeast"/>
          <w:jc w:val="center"/>
        </w:trPr>
        <w:tc>
          <w:tcPr>
            <w:tcW w:w="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14</w:t>
            </w:r>
          </w:p>
        </w:tc>
        <w:tc>
          <w:tcPr>
            <w:tcW w:w="12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文献采购与加工</w:t>
            </w:r>
          </w:p>
        </w:tc>
        <w:tc>
          <w:tcPr>
            <w:tcW w:w="5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 w:hAnsi="仿宋" w:eastAsia="仿宋" w:cs="仿宋"/>
                <w:color w:val="auto"/>
                <w:sz w:val="24"/>
              </w:rPr>
            </w:pPr>
            <w:r>
              <w:rPr>
                <w:rFonts w:hint="eastAsia" w:ascii="仿宋" w:hAnsi="仿宋" w:eastAsia="仿宋" w:cs="仿宋"/>
                <w:color w:val="auto"/>
                <w:sz w:val="24"/>
              </w:rPr>
              <w:t>按馆方要求每月采购文献并及时加工上架（报纸、期刊到馆当天登录上架），排架正确率达93%以上。</w:t>
            </w:r>
          </w:p>
        </w:tc>
        <w:tc>
          <w:tcPr>
            <w:tcW w:w="8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r>
      <w:tr>
        <w:tblPrEx>
          <w:tblLayout w:type="fixed"/>
          <w:tblCellMar>
            <w:top w:w="0" w:type="dxa"/>
            <w:left w:w="0" w:type="dxa"/>
            <w:bottom w:w="0" w:type="dxa"/>
            <w:right w:w="0" w:type="dxa"/>
          </w:tblCellMar>
        </w:tblPrEx>
        <w:trPr>
          <w:trHeight w:val="945" w:hRule="atLeast"/>
          <w:jc w:val="center"/>
        </w:trPr>
        <w:tc>
          <w:tcPr>
            <w:tcW w:w="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15</w:t>
            </w:r>
          </w:p>
        </w:tc>
        <w:tc>
          <w:tcPr>
            <w:tcW w:w="12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品牌建设</w:t>
            </w:r>
          </w:p>
        </w:tc>
        <w:tc>
          <w:tcPr>
            <w:tcW w:w="5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三年创建活动服务品牌2个（宣传汉风泉韵）</w:t>
            </w:r>
          </w:p>
        </w:tc>
        <w:tc>
          <w:tcPr>
            <w:tcW w:w="8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4</w:t>
            </w:r>
          </w:p>
        </w:tc>
      </w:tr>
      <w:tr>
        <w:tblPrEx>
          <w:tblLayout w:type="fixed"/>
          <w:tblCellMar>
            <w:top w:w="0" w:type="dxa"/>
            <w:left w:w="0" w:type="dxa"/>
            <w:bottom w:w="0" w:type="dxa"/>
            <w:right w:w="0" w:type="dxa"/>
          </w:tblCellMar>
        </w:tblPrEx>
        <w:trPr>
          <w:trHeight w:val="945" w:hRule="atLeast"/>
          <w:jc w:val="center"/>
        </w:trPr>
        <w:tc>
          <w:tcPr>
            <w:tcW w:w="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16</w:t>
            </w:r>
          </w:p>
        </w:tc>
        <w:tc>
          <w:tcPr>
            <w:tcW w:w="12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积极投入“书香城市”建设</w:t>
            </w:r>
          </w:p>
        </w:tc>
        <w:tc>
          <w:tcPr>
            <w:tcW w:w="5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按照书香城市示范区工作要求开展创建工作</w:t>
            </w:r>
          </w:p>
        </w:tc>
        <w:tc>
          <w:tcPr>
            <w:tcW w:w="8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r>
      <w:tr>
        <w:tblPrEx>
          <w:tblLayout w:type="fixed"/>
          <w:tblCellMar>
            <w:top w:w="0" w:type="dxa"/>
            <w:left w:w="0" w:type="dxa"/>
            <w:bottom w:w="0" w:type="dxa"/>
            <w:right w:w="0" w:type="dxa"/>
          </w:tblCellMar>
        </w:tblPrEx>
        <w:trPr>
          <w:trHeight w:val="1003" w:hRule="atLeast"/>
          <w:jc w:val="center"/>
        </w:trPr>
        <w:tc>
          <w:tcPr>
            <w:tcW w:w="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17</w:t>
            </w:r>
          </w:p>
        </w:tc>
        <w:tc>
          <w:tcPr>
            <w:tcW w:w="12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软硬件管理</w:t>
            </w:r>
          </w:p>
        </w:tc>
        <w:tc>
          <w:tcPr>
            <w:tcW w:w="5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 w:hAnsi="仿宋" w:eastAsia="仿宋" w:cs="仿宋"/>
                <w:color w:val="auto"/>
                <w:sz w:val="24"/>
              </w:rPr>
            </w:pPr>
            <w:r>
              <w:rPr>
                <w:rFonts w:hint="eastAsia" w:ascii="仿宋" w:hAnsi="仿宋" w:eastAsia="仿宋" w:cs="仿宋"/>
                <w:color w:val="auto"/>
                <w:sz w:val="24"/>
              </w:rPr>
              <w:t>保障馆内文献借阅服务的家具设备、计算机设备、网络设备及其软件管理系统的的资产安全、运行平稳与合理使用。</w:t>
            </w:r>
          </w:p>
        </w:tc>
        <w:tc>
          <w:tcPr>
            <w:tcW w:w="8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r>
      <w:tr>
        <w:tblPrEx>
          <w:tblLayout w:type="fixed"/>
          <w:tblCellMar>
            <w:top w:w="0" w:type="dxa"/>
            <w:left w:w="0" w:type="dxa"/>
            <w:bottom w:w="0" w:type="dxa"/>
            <w:right w:w="0" w:type="dxa"/>
          </w:tblCellMar>
        </w:tblPrEx>
        <w:trPr>
          <w:trHeight w:val="945" w:hRule="atLeast"/>
          <w:jc w:val="center"/>
        </w:trPr>
        <w:tc>
          <w:tcPr>
            <w:tcW w:w="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18</w:t>
            </w:r>
          </w:p>
        </w:tc>
        <w:tc>
          <w:tcPr>
            <w:tcW w:w="12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媒体宣传</w:t>
            </w:r>
          </w:p>
        </w:tc>
        <w:tc>
          <w:tcPr>
            <w:tcW w:w="5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 w:hAnsi="仿宋" w:eastAsia="仿宋" w:cs="仿宋"/>
                <w:color w:val="auto"/>
                <w:sz w:val="24"/>
              </w:rPr>
            </w:pPr>
            <w:r>
              <w:rPr>
                <w:rFonts w:hint="eastAsia" w:ascii="仿宋" w:hAnsi="仿宋" w:eastAsia="仿宋" w:cs="仿宋"/>
                <w:color w:val="auto"/>
                <w:sz w:val="24"/>
              </w:rPr>
              <w:t>每年在各类媒体（包括报纸、电台、电视台、网络等）宣传数量不少于总计200篇。</w:t>
            </w:r>
          </w:p>
        </w:tc>
        <w:tc>
          <w:tcPr>
            <w:tcW w:w="8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4</w:t>
            </w:r>
          </w:p>
        </w:tc>
      </w:tr>
      <w:tr>
        <w:tblPrEx>
          <w:tblLayout w:type="fixed"/>
          <w:tblCellMar>
            <w:top w:w="0" w:type="dxa"/>
            <w:left w:w="0" w:type="dxa"/>
            <w:bottom w:w="0" w:type="dxa"/>
            <w:right w:w="0" w:type="dxa"/>
          </w:tblCellMar>
        </w:tblPrEx>
        <w:trPr>
          <w:trHeight w:val="981" w:hRule="atLeast"/>
          <w:jc w:val="center"/>
        </w:trPr>
        <w:tc>
          <w:tcPr>
            <w:tcW w:w="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19</w:t>
            </w:r>
          </w:p>
        </w:tc>
        <w:tc>
          <w:tcPr>
            <w:tcW w:w="12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工作人员情况</w:t>
            </w:r>
          </w:p>
        </w:tc>
        <w:tc>
          <w:tcPr>
            <w:tcW w:w="5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 w:hAnsi="仿宋" w:eastAsia="仿宋" w:cs="仿宋"/>
                <w:color w:val="auto"/>
                <w:sz w:val="24"/>
              </w:rPr>
            </w:pPr>
            <w:r>
              <w:rPr>
                <w:rFonts w:hint="eastAsia" w:ascii="仿宋" w:hAnsi="仿宋" w:eastAsia="仿宋" w:cs="仿宋"/>
                <w:color w:val="auto"/>
                <w:sz w:val="24"/>
              </w:rPr>
              <w:t>馆员按照《服务规范》开展服务，着装干净整齐，语言举止文明有礼，对待读者耐心细致，及时关注馆内情况，制止不文明现象发生。</w:t>
            </w:r>
          </w:p>
        </w:tc>
        <w:tc>
          <w:tcPr>
            <w:tcW w:w="8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r>
      <w:tr>
        <w:tblPrEx>
          <w:tblLayout w:type="fixed"/>
          <w:tblCellMar>
            <w:top w:w="0" w:type="dxa"/>
            <w:left w:w="0" w:type="dxa"/>
            <w:bottom w:w="0" w:type="dxa"/>
            <w:right w:w="0" w:type="dxa"/>
          </w:tblCellMar>
        </w:tblPrEx>
        <w:trPr>
          <w:trHeight w:val="945" w:hRule="atLeast"/>
          <w:jc w:val="center"/>
        </w:trPr>
        <w:tc>
          <w:tcPr>
            <w:tcW w:w="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20</w:t>
            </w:r>
          </w:p>
        </w:tc>
        <w:tc>
          <w:tcPr>
            <w:tcW w:w="12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提供政府公开信息服务</w:t>
            </w:r>
          </w:p>
        </w:tc>
        <w:tc>
          <w:tcPr>
            <w:tcW w:w="5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馆内有及时更新政府公开信息的刊架</w:t>
            </w:r>
          </w:p>
        </w:tc>
        <w:tc>
          <w:tcPr>
            <w:tcW w:w="8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r>
      <w:tr>
        <w:tblPrEx>
          <w:tblLayout w:type="fixed"/>
          <w:tblCellMar>
            <w:top w:w="0" w:type="dxa"/>
            <w:left w:w="0" w:type="dxa"/>
            <w:bottom w:w="0" w:type="dxa"/>
            <w:right w:w="0" w:type="dxa"/>
          </w:tblCellMar>
        </w:tblPrEx>
        <w:trPr>
          <w:trHeight w:val="981" w:hRule="atLeast"/>
          <w:jc w:val="center"/>
        </w:trPr>
        <w:tc>
          <w:tcPr>
            <w:tcW w:w="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21</w:t>
            </w:r>
          </w:p>
        </w:tc>
        <w:tc>
          <w:tcPr>
            <w:tcW w:w="12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特殊群体活动</w:t>
            </w:r>
          </w:p>
        </w:tc>
        <w:tc>
          <w:tcPr>
            <w:tcW w:w="5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 w:hAnsi="仿宋" w:eastAsia="仿宋" w:cs="仿宋"/>
                <w:color w:val="auto"/>
                <w:sz w:val="24"/>
              </w:rPr>
            </w:pPr>
            <w:r>
              <w:rPr>
                <w:rFonts w:hint="eastAsia" w:ascii="仿宋" w:hAnsi="仿宋" w:eastAsia="仿宋" w:cs="仿宋"/>
                <w:color w:val="auto"/>
                <w:sz w:val="24"/>
              </w:rPr>
              <w:t>打造未成年人服务品牌，每年开展针对未成年人、留守儿童、老年人、残疾人、农民工等特殊群体的活动24次（其中针对留守儿童、老年人、残疾人、农民工群体活动各1次）。</w:t>
            </w:r>
          </w:p>
        </w:tc>
        <w:tc>
          <w:tcPr>
            <w:tcW w:w="8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5</w:t>
            </w:r>
          </w:p>
        </w:tc>
      </w:tr>
      <w:tr>
        <w:tblPrEx>
          <w:tblLayout w:type="fixed"/>
          <w:tblCellMar>
            <w:top w:w="0" w:type="dxa"/>
            <w:left w:w="0" w:type="dxa"/>
            <w:bottom w:w="0" w:type="dxa"/>
            <w:right w:w="0" w:type="dxa"/>
          </w:tblCellMar>
        </w:tblPrEx>
        <w:trPr>
          <w:trHeight w:val="945" w:hRule="atLeast"/>
          <w:jc w:val="center"/>
        </w:trPr>
        <w:tc>
          <w:tcPr>
            <w:tcW w:w="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22</w:t>
            </w:r>
          </w:p>
        </w:tc>
        <w:tc>
          <w:tcPr>
            <w:tcW w:w="12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讲座培训</w:t>
            </w:r>
          </w:p>
        </w:tc>
        <w:tc>
          <w:tcPr>
            <w:tcW w:w="5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每年开展针对读者的各类讲座及培训35次</w:t>
            </w:r>
          </w:p>
        </w:tc>
        <w:tc>
          <w:tcPr>
            <w:tcW w:w="8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5</w:t>
            </w:r>
          </w:p>
        </w:tc>
      </w:tr>
      <w:tr>
        <w:tblPrEx>
          <w:tblLayout w:type="fixed"/>
          <w:tblCellMar>
            <w:top w:w="0" w:type="dxa"/>
            <w:left w:w="0" w:type="dxa"/>
            <w:bottom w:w="0" w:type="dxa"/>
            <w:right w:w="0" w:type="dxa"/>
          </w:tblCellMar>
        </w:tblPrEx>
        <w:trPr>
          <w:trHeight w:val="945" w:hRule="atLeast"/>
          <w:jc w:val="center"/>
        </w:trPr>
        <w:tc>
          <w:tcPr>
            <w:tcW w:w="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23</w:t>
            </w:r>
          </w:p>
        </w:tc>
        <w:tc>
          <w:tcPr>
            <w:tcW w:w="12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展览</w:t>
            </w:r>
          </w:p>
        </w:tc>
        <w:tc>
          <w:tcPr>
            <w:tcW w:w="5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每年举办各类展览不少于12场</w:t>
            </w:r>
          </w:p>
        </w:tc>
        <w:tc>
          <w:tcPr>
            <w:tcW w:w="8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5</w:t>
            </w:r>
          </w:p>
        </w:tc>
      </w:tr>
      <w:tr>
        <w:tblPrEx>
          <w:tblLayout w:type="fixed"/>
          <w:tblCellMar>
            <w:top w:w="0" w:type="dxa"/>
            <w:left w:w="0" w:type="dxa"/>
            <w:bottom w:w="0" w:type="dxa"/>
            <w:right w:w="0" w:type="dxa"/>
          </w:tblCellMar>
        </w:tblPrEx>
        <w:trPr>
          <w:trHeight w:val="945" w:hRule="atLeast"/>
          <w:jc w:val="center"/>
        </w:trPr>
        <w:tc>
          <w:tcPr>
            <w:tcW w:w="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24</w:t>
            </w:r>
          </w:p>
        </w:tc>
        <w:tc>
          <w:tcPr>
            <w:tcW w:w="12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阅读推广</w:t>
            </w:r>
          </w:p>
        </w:tc>
        <w:tc>
          <w:tcPr>
            <w:tcW w:w="5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每年开展阅读推广活动不少于20次</w:t>
            </w:r>
          </w:p>
        </w:tc>
        <w:tc>
          <w:tcPr>
            <w:tcW w:w="8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5</w:t>
            </w:r>
          </w:p>
        </w:tc>
      </w:tr>
      <w:tr>
        <w:tblPrEx>
          <w:tblLayout w:type="fixed"/>
          <w:tblCellMar>
            <w:top w:w="0" w:type="dxa"/>
            <w:left w:w="0" w:type="dxa"/>
            <w:bottom w:w="0" w:type="dxa"/>
            <w:right w:w="0" w:type="dxa"/>
          </w:tblCellMar>
        </w:tblPrEx>
        <w:trPr>
          <w:trHeight w:val="945" w:hRule="atLeast"/>
          <w:jc w:val="center"/>
        </w:trPr>
        <w:tc>
          <w:tcPr>
            <w:tcW w:w="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25</w:t>
            </w:r>
          </w:p>
        </w:tc>
        <w:tc>
          <w:tcPr>
            <w:tcW w:w="12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服务宣传推广</w:t>
            </w:r>
          </w:p>
        </w:tc>
        <w:tc>
          <w:tcPr>
            <w:tcW w:w="5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 w:hAnsi="仿宋" w:eastAsia="仿宋" w:cs="仿宋"/>
                <w:color w:val="auto"/>
                <w:sz w:val="24"/>
              </w:rPr>
            </w:pPr>
            <w:r>
              <w:rPr>
                <w:rFonts w:hint="eastAsia" w:ascii="仿宋" w:hAnsi="仿宋" w:eastAsia="仿宋" w:cs="仿宋"/>
                <w:color w:val="auto"/>
                <w:sz w:val="24"/>
              </w:rPr>
              <w:t>每年开展包括服务宣传周、全民读书月、世界图书与版权日在内的图书馆服务宣传推广活动5次</w:t>
            </w:r>
          </w:p>
        </w:tc>
        <w:tc>
          <w:tcPr>
            <w:tcW w:w="8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5</w:t>
            </w:r>
          </w:p>
        </w:tc>
      </w:tr>
      <w:tr>
        <w:tblPrEx>
          <w:tblLayout w:type="fixed"/>
          <w:tblCellMar>
            <w:top w:w="0" w:type="dxa"/>
            <w:left w:w="0" w:type="dxa"/>
            <w:bottom w:w="0" w:type="dxa"/>
            <w:right w:w="0" w:type="dxa"/>
          </w:tblCellMar>
        </w:tblPrEx>
        <w:trPr>
          <w:trHeight w:val="945" w:hRule="atLeast"/>
          <w:jc w:val="center"/>
        </w:trPr>
        <w:tc>
          <w:tcPr>
            <w:tcW w:w="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26</w:t>
            </w:r>
          </w:p>
        </w:tc>
        <w:tc>
          <w:tcPr>
            <w:tcW w:w="12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业务研究</w:t>
            </w:r>
          </w:p>
        </w:tc>
        <w:tc>
          <w:tcPr>
            <w:tcW w:w="5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 w:hAnsi="仿宋" w:eastAsia="仿宋" w:cs="仿宋"/>
                <w:color w:val="auto"/>
                <w:sz w:val="24"/>
              </w:rPr>
            </w:pPr>
            <w:r>
              <w:rPr>
                <w:rFonts w:hint="eastAsia" w:ascii="仿宋" w:hAnsi="仿宋" w:eastAsia="仿宋" w:cs="仿宋"/>
                <w:color w:val="auto"/>
                <w:sz w:val="24"/>
              </w:rPr>
              <w:t>建立馆内业务研究激励制度，鼓励馆员参加当地职称资格评定，每年在市级以上刊物发表图书馆相关论文1篇。</w:t>
            </w:r>
            <w:r>
              <w:rPr>
                <w:rFonts w:hint="eastAsia" w:ascii="仿宋" w:hAnsi="仿宋" w:eastAsia="仿宋" w:cs="仿宋"/>
                <w:color w:val="auto"/>
                <w:sz w:val="24"/>
              </w:rPr>
              <w:br w:type="textWrapping"/>
            </w:r>
            <w:r>
              <w:rPr>
                <w:rFonts w:hint="eastAsia" w:ascii="仿宋" w:hAnsi="仿宋" w:eastAsia="仿宋" w:cs="仿宋"/>
                <w:color w:val="auto"/>
                <w:sz w:val="24"/>
              </w:rPr>
              <w:t>ps:员工获得全国通用图情专业职称加1分，上限加2分</w:t>
            </w:r>
          </w:p>
        </w:tc>
        <w:tc>
          <w:tcPr>
            <w:tcW w:w="8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r>
      <w:tr>
        <w:tblPrEx>
          <w:tblLayout w:type="fixed"/>
          <w:tblCellMar>
            <w:top w:w="0" w:type="dxa"/>
            <w:left w:w="0" w:type="dxa"/>
            <w:bottom w:w="0" w:type="dxa"/>
            <w:right w:w="0" w:type="dxa"/>
          </w:tblCellMar>
        </w:tblPrEx>
        <w:trPr>
          <w:trHeight w:val="981" w:hRule="atLeast"/>
          <w:jc w:val="center"/>
        </w:trPr>
        <w:tc>
          <w:tcPr>
            <w:tcW w:w="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27</w:t>
            </w:r>
          </w:p>
        </w:tc>
        <w:tc>
          <w:tcPr>
            <w:tcW w:w="12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网站管理</w:t>
            </w:r>
          </w:p>
        </w:tc>
        <w:tc>
          <w:tcPr>
            <w:tcW w:w="5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 w:hAnsi="仿宋" w:eastAsia="仿宋" w:cs="仿宋"/>
                <w:color w:val="auto"/>
                <w:sz w:val="24"/>
              </w:rPr>
            </w:pPr>
            <w:r>
              <w:rPr>
                <w:rFonts w:hint="eastAsia" w:ascii="仿宋" w:hAnsi="仿宋" w:eastAsia="仿宋" w:cs="仿宋"/>
                <w:color w:val="auto"/>
                <w:sz w:val="24"/>
              </w:rPr>
              <w:t>建立每日巡查机制，定期更新信息，及时回复读者留言</w:t>
            </w:r>
          </w:p>
        </w:tc>
        <w:tc>
          <w:tcPr>
            <w:tcW w:w="8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r>
      <w:tr>
        <w:tblPrEx>
          <w:tblLayout w:type="fixed"/>
          <w:tblCellMar>
            <w:top w:w="0" w:type="dxa"/>
            <w:left w:w="0" w:type="dxa"/>
            <w:bottom w:w="0" w:type="dxa"/>
            <w:right w:w="0" w:type="dxa"/>
          </w:tblCellMar>
        </w:tblPrEx>
        <w:trPr>
          <w:trHeight w:val="945" w:hRule="atLeast"/>
          <w:jc w:val="center"/>
        </w:trPr>
        <w:tc>
          <w:tcPr>
            <w:tcW w:w="6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28</w:t>
            </w:r>
          </w:p>
        </w:tc>
        <w:tc>
          <w:tcPr>
            <w:tcW w:w="12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媒体平台</w:t>
            </w:r>
          </w:p>
        </w:tc>
        <w:tc>
          <w:tcPr>
            <w:tcW w:w="5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rPr>
                <w:rFonts w:ascii="仿宋" w:hAnsi="仿宋" w:eastAsia="仿宋" w:cs="仿宋"/>
                <w:color w:val="auto"/>
                <w:sz w:val="24"/>
              </w:rPr>
            </w:pPr>
            <w:r>
              <w:rPr>
                <w:rFonts w:hint="eastAsia" w:ascii="仿宋" w:hAnsi="仿宋" w:eastAsia="仿宋" w:cs="仿宋"/>
                <w:color w:val="auto"/>
                <w:sz w:val="24"/>
              </w:rPr>
              <w:t>做好图书馆微信公众号、微博、读者微信群等平台维护工作，每周至少发送推文7条，有效引导，及时回复读者信息，每年利用公众号等开展线上活动达4场</w:t>
            </w:r>
          </w:p>
        </w:tc>
        <w:tc>
          <w:tcPr>
            <w:tcW w:w="87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5</w:t>
            </w:r>
          </w:p>
        </w:tc>
      </w:tr>
      <w:tr>
        <w:tblPrEx>
          <w:tblLayout w:type="fixed"/>
          <w:tblCellMar>
            <w:top w:w="0" w:type="dxa"/>
            <w:left w:w="0" w:type="dxa"/>
            <w:bottom w:w="0" w:type="dxa"/>
            <w:right w:w="0" w:type="dxa"/>
          </w:tblCellMar>
        </w:tblPrEx>
        <w:trPr>
          <w:trHeight w:val="981" w:hRule="atLeast"/>
          <w:jc w:val="center"/>
        </w:trPr>
        <w:tc>
          <w:tcPr>
            <w:tcW w:w="674"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加</w:t>
            </w:r>
          </w:p>
          <w:p>
            <w:pPr>
              <w:jc w:val="center"/>
              <w:rPr>
                <w:rFonts w:ascii="仿宋" w:hAnsi="仿宋" w:eastAsia="仿宋" w:cs="仿宋"/>
                <w:color w:val="auto"/>
                <w:sz w:val="24"/>
              </w:rPr>
            </w:pPr>
            <w:r>
              <w:rPr>
                <w:rFonts w:hint="eastAsia" w:ascii="仿宋" w:hAnsi="仿宋" w:eastAsia="仿宋" w:cs="仿宋"/>
                <w:color w:val="auto"/>
                <w:sz w:val="24"/>
              </w:rPr>
              <w:t>分</w:t>
            </w:r>
          </w:p>
          <w:p>
            <w:pPr>
              <w:jc w:val="center"/>
              <w:rPr>
                <w:rFonts w:ascii="仿宋" w:hAnsi="仿宋" w:eastAsia="仿宋" w:cs="仿宋"/>
                <w:color w:val="auto"/>
                <w:sz w:val="24"/>
              </w:rPr>
            </w:pPr>
            <w:r>
              <w:rPr>
                <w:rFonts w:hint="eastAsia" w:ascii="仿宋" w:hAnsi="仿宋" w:eastAsia="仿宋" w:cs="仿宋"/>
                <w:color w:val="auto"/>
                <w:sz w:val="24"/>
              </w:rPr>
              <w:t>项</w:t>
            </w:r>
          </w:p>
          <w:p>
            <w:pPr>
              <w:jc w:val="center"/>
              <w:rPr>
                <w:rFonts w:ascii="仿宋" w:hAnsi="仿宋" w:eastAsia="仿宋" w:cs="仿宋"/>
                <w:color w:val="auto"/>
                <w:sz w:val="24"/>
              </w:rPr>
            </w:pPr>
          </w:p>
        </w:tc>
        <w:tc>
          <w:tcPr>
            <w:tcW w:w="1256"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上级表彰</w:t>
            </w:r>
          </w:p>
          <w:p>
            <w:pPr>
              <w:jc w:val="center"/>
              <w:rPr>
                <w:rFonts w:ascii="仿宋" w:hAnsi="仿宋" w:eastAsia="仿宋" w:cs="仿宋"/>
                <w:color w:val="auto"/>
                <w:sz w:val="24"/>
              </w:rPr>
            </w:pPr>
          </w:p>
        </w:tc>
        <w:tc>
          <w:tcPr>
            <w:tcW w:w="5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获省级业务主管部门和市级党委、政府表彰和奖励，每次计1分；</w:t>
            </w:r>
          </w:p>
        </w:tc>
        <w:tc>
          <w:tcPr>
            <w:tcW w:w="878"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p>
        </w:tc>
      </w:tr>
      <w:tr>
        <w:tblPrEx>
          <w:tblLayout w:type="fixed"/>
          <w:tblCellMar>
            <w:top w:w="0" w:type="dxa"/>
            <w:left w:w="0" w:type="dxa"/>
            <w:bottom w:w="0" w:type="dxa"/>
            <w:right w:w="0" w:type="dxa"/>
          </w:tblCellMar>
        </w:tblPrEx>
        <w:trPr>
          <w:trHeight w:val="945" w:hRule="atLeast"/>
          <w:jc w:val="center"/>
        </w:trPr>
        <w:tc>
          <w:tcPr>
            <w:tcW w:w="674" w:type="dxa"/>
            <w:vMerge w:val="continue"/>
            <w:tcBorders>
              <w:left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p>
        </w:tc>
        <w:tc>
          <w:tcPr>
            <w:tcW w:w="1256" w:type="dxa"/>
            <w:vMerge w:val="continue"/>
            <w:tcBorders>
              <w:left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p>
        </w:tc>
        <w:tc>
          <w:tcPr>
            <w:tcW w:w="5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获国务院业务主管部门或省级党委、政府及国家级行业协会（学会）表彰及奖励，每次加2分；</w:t>
            </w:r>
          </w:p>
        </w:tc>
        <w:tc>
          <w:tcPr>
            <w:tcW w:w="878" w:type="dxa"/>
            <w:vMerge w:val="continue"/>
            <w:tcBorders>
              <w:left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p>
        </w:tc>
      </w:tr>
      <w:tr>
        <w:tblPrEx>
          <w:tblLayout w:type="fixed"/>
          <w:tblCellMar>
            <w:top w:w="0" w:type="dxa"/>
            <w:left w:w="0" w:type="dxa"/>
            <w:bottom w:w="0" w:type="dxa"/>
            <w:right w:w="0" w:type="dxa"/>
          </w:tblCellMar>
        </w:tblPrEx>
        <w:trPr>
          <w:trHeight w:val="945" w:hRule="atLeast"/>
          <w:jc w:val="center"/>
        </w:trPr>
        <w:tc>
          <w:tcPr>
            <w:tcW w:w="674" w:type="dxa"/>
            <w:vMerge w:val="continue"/>
            <w:tcBorders>
              <w:left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p>
        </w:tc>
        <w:tc>
          <w:tcPr>
            <w:tcW w:w="1256" w:type="dxa"/>
            <w:vMerge w:val="continue"/>
            <w:tcBorders>
              <w:left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p>
        </w:tc>
        <w:tc>
          <w:tcPr>
            <w:tcW w:w="555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获国际行业组织或国家级表彰与奖励，每次加3分。</w:t>
            </w:r>
          </w:p>
        </w:tc>
        <w:tc>
          <w:tcPr>
            <w:tcW w:w="878"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p>
        </w:tc>
      </w:tr>
      <w:tr>
        <w:tblPrEx>
          <w:tblLayout w:type="fixed"/>
          <w:tblCellMar>
            <w:top w:w="0" w:type="dxa"/>
            <w:left w:w="0" w:type="dxa"/>
            <w:bottom w:w="0" w:type="dxa"/>
            <w:right w:w="0" w:type="dxa"/>
          </w:tblCellMar>
        </w:tblPrEx>
        <w:trPr>
          <w:trHeight w:val="740" w:hRule="atLeast"/>
          <w:jc w:val="center"/>
        </w:trPr>
        <w:tc>
          <w:tcPr>
            <w:tcW w:w="193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合计</w:t>
            </w:r>
          </w:p>
        </w:tc>
        <w:tc>
          <w:tcPr>
            <w:tcW w:w="6429"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color w:val="auto"/>
                <w:sz w:val="24"/>
              </w:rPr>
            </w:pPr>
            <w:r>
              <w:rPr>
                <w:rFonts w:hint="eastAsia" w:ascii="仿宋" w:hAnsi="仿宋" w:eastAsia="仿宋" w:cs="仿宋"/>
                <w:color w:val="auto"/>
                <w:sz w:val="24"/>
              </w:rPr>
              <w:t>100</w:t>
            </w:r>
          </w:p>
        </w:tc>
      </w:tr>
    </w:tbl>
    <w:p>
      <w:pPr>
        <w:rPr>
          <w:rFonts w:hint="eastAsia" w:ascii="仿宋" w:hAnsi="仿宋" w:eastAsia="仿宋" w:cs="仿宋"/>
          <w:color w:val="auto"/>
          <w:sz w:val="24"/>
        </w:rPr>
      </w:pPr>
    </w:p>
    <w:p>
      <w:pPr>
        <w:rPr>
          <w:rFonts w:ascii="仿宋" w:hAnsi="仿宋" w:eastAsia="仿宋" w:cs="仿宋"/>
          <w:color w:val="auto"/>
          <w:sz w:val="24"/>
        </w:rPr>
      </w:pPr>
      <w:r>
        <w:rPr>
          <w:rFonts w:hint="eastAsia" w:ascii="仿宋" w:hAnsi="仿宋" w:eastAsia="仿宋" w:cs="仿宋"/>
          <w:color w:val="auto"/>
          <w:sz w:val="24"/>
        </w:rPr>
        <w:t>注：具体考核细则标准，签订合同时采购人可根据实际情况再做调整。</w:t>
      </w:r>
    </w:p>
    <w:p>
      <w:pPr>
        <w:spacing w:line="420" w:lineRule="exact"/>
        <w:ind w:firstLine="482"/>
        <w:rPr>
          <w:rFonts w:ascii="仿宋" w:hAnsi="仿宋" w:eastAsia="仿宋" w:cs="仿宋"/>
          <w:b/>
          <w:bCs/>
          <w:color w:val="auto"/>
          <w:sz w:val="24"/>
          <w:szCs w:val="24"/>
        </w:rPr>
      </w:pPr>
      <w:r>
        <w:rPr>
          <w:rFonts w:hint="eastAsia" w:ascii="仿宋" w:hAnsi="仿宋" w:eastAsia="仿宋" w:cs="仿宋"/>
          <w:b/>
          <w:bCs/>
          <w:color w:val="auto"/>
          <w:sz w:val="24"/>
          <w:szCs w:val="24"/>
        </w:rPr>
        <w:t>五、投标人职责要求</w:t>
      </w:r>
    </w:p>
    <w:p>
      <w:pPr>
        <w:spacing w:line="420" w:lineRule="exact"/>
        <w:ind w:firstLine="480"/>
        <w:rPr>
          <w:rFonts w:ascii="仿宋" w:hAnsi="仿宋" w:eastAsia="仿宋" w:cs="仿宋"/>
          <w:color w:val="auto"/>
          <w:sz w:val="24"/>
          <w:szCs w:val="24"/>
        </w:rPr>
      </w:pPr>
      <w:r>
        <w:rPr>
          <w:rFonts w:hint="eastAsia" w:ascii="仿宋" w:hAnsi="仿宋" w:eastAsia="仿宋" w:cs="仿宋"/>
          <w:color w:val="auto"/>
          <w:sz w:val="24"/>
          <w:szCs w:val="24"/>
        </w:rPr>
        <w:t>1.严格遵守图书馆的各项规章制度。</w:t>
      </w:r>
    </w:p>
    <w:p>
      <w:pPr>
        <w:spacing w:line="420" w:lineRule="exact"/>
        <w:ind w:firstLine="480"/>
        <w:rPr>
          <w:rFonts w:ascii="仿宋" w:hAnsi="仿宋" w:eastAsia="仿宋" w:cs="仿宋"/>
          <w:color w:val="auto"/>
          <w:sz w:val="24"/>
          <w:szCs w:val="24"/>
        </w:rPr>
      </w:pPr>
      <w:r>
        <w:rPr>
          <w:rFonts w:hint="eastAsia" w:ascii="仿宋" w:hAnsi="仿宋" w:eastAsia="仿宋" w:cs="仿宋"/>
          <w:color w:val="auto"/>
          <w:sz w:val="24"/>
          <w:szCs w:val="24"/>
        </w:rPr>
        <w:t>2.严格按照合同约定的任务和目标按时保质保量完成。</w:t>
      </w:r>
    </w:p>
    <w:p>
      <w:pPr>
        <w:spacing w:line="420" w:lineRule="exact"/>
        <w:ind w:firstLine="480"/>
        <w:rPr>
          <w:rFonts w:ascii="仿宋" w:hAnsi="仿宋" w:eastAsia="仿宋" w:cs="仿宋"/>
          <w:color w:val="auto"/>
          <w:sz w:val="24"/>
          <w:szCs w:val="24"/>
        </w:rPr>
      </w:pPr>
      <w:r>
        <w:rPr>
          <w:rFonts w:hint="eastAsia" w:ascii="仿宋" w:hAnsi="仿宋" w:eastAsia="仿宋" w:cs="仿宋"/>
          <w:color w:val="auto"/>
          <w:sz w:val="24"/>
          <w:szCs w:val="24"/>
        </w:rPr>
        <w:t>3.供应商以图书馆名义对外签订合同时，必须经采购人审查、同意、备案后方可签订；供应商在运营管理过程中须接受采购方的监督，重大事项须经采购方议定。</w:t>
      </w:r>
    </w:p>
    <w:p>
      <w:pPr>
        <w:spacing w:line="420" w:lineRule="exact"/>
        <w:ind w:firstLine="480"/>
        <w:rPr>
          <w:rFonts w:ascii="仿宋" w:hAnsi="仿宋" w:eastAsia="仿宋" w:cs="仿宋"/>
          <w:color w:val="auto"/>
          <w:sz w:val="24"/>
          <w:szCs w:val="24"/>
        </w:rPr>
      </w:pPr>
      <w:r>
        <w:rPr>
          <w:rFonts w:hint="eastAsia" w:ascii="仿宋" w:hAnsi="仿宋" w:eastAsia="仿宋" w:cs="仿宋"/>
          <w:color w:val="auto"/>
          <w:sz w:val="24"/>
          <w:szCs w:val="24"/>
        </w:rPr>
        <w:t>4.服务期间供应商所产生的与读者或第三者之间的责任，由供应商自行承担。</w:t>
      </w:r>
    </w:p>
    <w:p>
      <w:pPr>
        <w:spacing w:line="420" w:lineRule="exact"/>
        <w:ind w:firstLine="480"/>
        <w:rPr>
          <w:rFonts w:ascii="仿宋" w:hAnsi="仿宋" w:eastAsia="仿宋" w:cs="仿宋"/>
          <w:color w:val="auto"/>
          <w:sz w:val="24"/>
          <w:szCs w:val="24"/>
        </w:rPr>
      </w:pPr>
      <w:r>
        <w:rPr>
          <w:rFonts w:hint="eastAsia" w:ascii="仿宋" w:hAnsi="仿宋" w:eastAsia="仿宋" w:cs="仿宋"/>
          <w:color w:val="auto"/>
          <w:sz w:val="24"/>
          <w:szCs w:val="24"/>
        </w:rPr>
        <w:t>5.供应商在项目承包服务过程中，必须严格按国家安全法规及图书馆的规章制度执行，如发生安全及其他意外事故，所造成损失和责任由供应商负责。</w:t>
      </w:r>
    </w:p>
    <w:p>
      <w:pPr>
        <w:spacing w:line="420" w:lineRule="exact"/>
        <w:ind w:firstLine="480"/>
        <w:rPr>
          <w:rFonts w:ascii="仿宋" w:hAnsi="仿宋" w:eastAsia="仿宋" w:cs="仿宋"/>
          <w:color w:val="auto"/>
          <w:sz w:val="24"/>
          <w:szCs w:val="24"/>
        </w:rPr>
      </w:pPr>
      <w:r>
        <w:rPr>
          <w:rFonts w:hint="eastAsia" w:ascii="仿宋" w:hAnsi="仿宋" w:eastAsia="仿宋" w:cs="仿宋"/>
          <w:color w:val="auto"/>
          <w:sz w:val="24"/>
          <w:szCs w:val="24"/>
        </w:rPr>
        <w:t>6.履约期间，如出现重大综合管理缺陷，采购人有权自缺陷出现之日起直至缺陷更正，进行处惩，如运营服务供应商对综合管理缺陷不予更正，采购人有权另请其他单位更正，所发生的费用可在下一</w:t>
      </w:r>
      <w:r>
        <w:rPr>
          <w:rFonts w:hint="eastAsia" w:ascii="仿宋" w:hAnsi="仿宋" w:eastAsia="仿宋" w:cs="仿宋"/>
          <w:color w:val="auto"/>
          <w:sz w:val="24"/>
          <w:szCs w:val="24"/>
          <w:lang w:val="en-US" w:eastAsia="zh-CN"/>
        </w:rPr>
        <w:t>次</w:t>
      </w:r>
      <w:r>
        <w:rPr>
          <w:rFonts w:hint="eastAsia" w:ascii="仿宋" w:hAnsi="仿宋" w:eastAsia="仿宋" w:cs="仿宋"/>
          <w:color w:val="auto"/>
          <w:sz w:val="24"/>
          <w:szCs w:val="24"/>
        </w:rPr>
        <w:t>费用结算中扣除。</w:t>
      </w:r>
    </w:p>
    <w:p>
      <w:pPr>
        <w:spacing w:line="420" w:lineRule="exact"/>
        <w:ind w:firstLine="480"/>
        <w:rPr>
          <w:rFonts w:ascii="仿宋" w:hAnsi="仿宋" w:eastAsia="仿宋" w:cs="仿宋"/>
          <w:color w:val="auto"/>
          <w:sz w:val="24"/>
          <w:szCs w:val="24"/>
        </w:rPr>
      </w:pPr>
      <w:r>
        <w:rPr>
          <w:rFonts w:hint="eastAsia" w:ascii="仿宋" w:hAnsi="仿宋" w:eastAsia="仿宋" w:cs="仿宋"/>
          <w:color w:val="auto"/>
          <w:sz w:val="24"/>
          <w:szCs w:val="24"/>
        </w:rPr>
        <w:t>7.若依托图书馆阵地和资源开展有偿服务，须经采购人审查同意备案后方可实施。如未得采购人认可，供应商擅自对外开展的有偿服务，视作供应商违约，供应商承担违约责任，造成损失或者影响图书馆对外形象的，由双方协商处理，并由供应商给予赔偿。</w:t>
      </w:r>
    </w:p>
    <w:p>
      <w:pPr>
        <w:spacing w:line="420" w:lineRule="exact"/>
        <w:ind w:firstLine="480"/>
        <w:rPr>
          <w:rFonts w:ascii="仿宋" w:hAnsi="仿宋" w:eastAsia="仿宋" w:cs="仿宋"/>
          <w:color w:val="auto"/>
          <w:sz w:val="24"/>
          <w:szCs w:val="24"/>
        </w:rPr>
      </w:pPr>
      <w:r>
        <w:rPr>
          <w:rFonts w:hint="eastAsia" w:ascii="仿宋" w:hAnsi="仿宋" w:eastAsia="仿宋" w:cs="仿宋"/>
          <w:color w:val="auto"/>
          <w:sz w:val="24"/>
          <w:szCs w:val="24"/>
        </w:rPr>
        <w:t>8.针对项目需求，在本项目服务合同到期后，为采购人提供关于本项目的后续服务配合，其内容包括配合采购人规划本项目下一合同期的招标工作及交接工作，承诺与该项目下一合同期中标人做好技术交底及相应的衔接工作。</w:t>
      </w:r>
    </w:p>
    <w:p>
      <w:pPr>
        <w:spacing w:line="420" w:lineRule="exact"/>
        <w:ind w:firstLine="482"/>
        <w:rPr>
          <w:rFonts w:ascii="仿宋" w:hAnsi="仿宋" w:eastAsia="仿宋" w:cs="仿宋"/>
          <w:b/>
          <w:bCs/>
          <w:color w:val="auto"/>
          <w:sz w:val="24"/>
          <w:szCs w:val="24"/>
        </w:rPr>
      </w:pPr>
      <w:r>
        <w:rPr>
          <w:rFonts w:hint="eastAsia" w:ascii="仿宋" w:hAnsi="仿宋" w:eastAsia="仿宋" w:cs="仿宋"/>
          <w:b/>
          <w:bCs/>
          <w:color w:val="auto"/>
          <w:sz w:val="24"/>
          <w:szCs w:val="24"/>
        </w:rPr>
        <w:t>六、售后服务要求</w:t>
      </w:r>
    </w:p>
    <w:p>
      <w:pPr>
        <w:spacing w:line="420" w:lineRule="exact"/>
        <w:ind w:firstLine="480"/>
        <w:rPr>
          <w:rFonts w:ascii="仿宋" w:hAnsi="仿宋" w:eastAsia="仿宋" w:cs="仿宋"/>
          <w:color w:val="auto"/>
          <w:sz w:val="24"/>
          <w:szCs w:val="24"/>
        </w:rPr>
      </w:pPr>
      <w:r>
        <w:rPr>
          <w:rFonts w:hint="eastAsia" w:ascii="仿宋" w:hAnsi="仿宋" w:eastAsia="仿宋" w:cs="仿宋"/>
          <w:color w:val="auto"/>
          <w:sz w:val="24"/>
          <w:szCs w:val="24"/>
        </w:rPr>
        <w:t>1.采购人定期针对供应商运营服务效果进行评估，若达不到相应的目标，则提出相应的整改意见，运营供应商需及时制订改善方案，报采购人批准后予以迅速改善。</w:t>
      </w:r>
    </w:p>
    <w:p>
      <w:pPr>
        <w:spacing w:line="420" w:lineRule="exact"/>
        <w:ind w:firstLine="480"/>
        <w:rPr>
          <w:rFonts w:ascii="仿宋" w:hAnsi="仿宋" w:eastAsia="仿宋" w:cs="仿宋"/>
          <w:color w:val="auto"/>
          <w:sz w:val="24"/>
          <w:szCs w:val="24"/>
        </w:rPr>
      </w:pPr>
      <w:r>
        <w:rPr>
          <w:rFonts w:hint="eastAsia" w:ascii="仿宋" w:hAnsi="仿宋" w:eastAsia="仿宋" w:cs="仿宋"/>
          <w:color w:val="auto"/>
          <w:sz w:val="24"/>
          <w:szCs w:val="24"/>
        </w:rPr>
        <w:t>2.运营供应商需定期整理、收集在运营过程中存在的目标考核以外的问题和情况，定期向采购人进行汇报，协商改善办法，后期落实。</w:t>
      </w:r>
    </w:p>
    <w:p>
      <w:pPr>
        <w:spacing w:line="420" w:lineRule="exact"/>
        <w:ind w:firstLine="480"/>
        <w:rPr>
          <w:rFonts w:ascii="仿宋" w:hAnsi="仿宋" w:eastAsia="仿宋" w:cs="仿宋"/>
          <w:b/>
          <w:bCs/>
          <w:color w:val="auto"/>
          <w:sz w:val="30"/>
          <w:szCs w:val="30"/>
        </w:rPr>
      </w:pPr>
      <w:r>
        <w:rPr>
          <w:rFonts w:hint="eastAsia" w:ascii="仿宋" w:hAnsi="仿宋" w:eastAsia="仿宋" w:cs="仿宋"/>
          <w:color w:val="auto"/>
          <w:sz w:val="24"/>
          <w:szCs w:val="24"/>
        </w:rPr>
        <w:t>3.运营供应商需成立自查小组，针对服务运营中存在的问题进行及时整改和调整，第一时间发现问题，第一时间解决问题。</w:t>
      </w:r>
    </w:p>
    <w:p>
      <w:pPr>
        <w:spacing w:line="420" w:lineRule="exact"/>
        <w:ind w:firstLine="482"/>
        <w:rPr>
          <w:rFonts w:ascii="仿宋" w:hAnsi="仿宋" w:eastAsia="仿宋" w:cs="仿宋"/>
          <w:b/>
          <w:bCs/>
          <w:color w:val="auto"/>
          <w:sz w:val="24"/>
          <w:szCs w:val="24"/>
        </w:rPr>
      </w:pPr>
      <w:r>
        <w:rPr>
          <w:rFonts w:hint="eastAsia" w:ascii="仿宋" w:hAnsi="仿宋" w:eastAsia="仿宋" w:cs="仿宋"/>
          <w:b/>
          <w:bCs/>
          <w:color w:val="auto"/>
          <w:sz w:val="24"/>
          <w:szCs w:val="24"/>
        </w:rPr>
        <w:t>七、其他要求</w:t>
      </w:r>
    </w:p>
    <w:p>
      <w:pPr>
        <w:spacing w:line="420" w:lineRule="exact"/>
        <w:ind w:firstLine="480"/>
        <w:rPr>
          <w:rFonts w:hint="eastAsia" w:ascii="仿宋" w:hAnsi="仿宋" w:eastAsia="仿宋" w:cs="仿宋"/>
          <w:bCs w:val="0"/>
          <w:color w:val="000000"/>
          <w:sz w:val="30"/>
          <w:szCs w:val="30"/>
          <w:highlight w:val="none"/>
          <w:lang w:val="en-US" w:eastAsia="zh-CN"/>
        </w:rPr>
      </w:pPr>
      <w:r>
        <w:rPr>
          <w:rFonts w:hint="eastAsia" w:ascii="仿宋" w:hAnsi="仿宋" w:eastAsia="仿宋" w:cs="仿宋"/>
          <w:color w:val="auto"/>
          <w:sz w:val="24"/>
          <w:szCs w:val="24"/>
        </w:rPr>
        <w:t>见招标文件第五章《拟签订的合同文本》</w:t>
      </w:r>
      <w:bookmarkStart w:id="0" w:name="_Toc522790136"/>
      <w:bookmarkStart w:id="1" w:name="_Toc523404701"/>
      <w:r>
        <w:rPr>
          <w:rFonts w:hint="eastAsia" w:ascii="仿宋" w:hAnsi="仿宋" w:eastAsia="仿宋" w:cs="仿宋"/>
          <w:color w:val="auto"/>
          <w:sz w:val="24"/>
          <w:szCs w:val="24"/>
          <w:lang w:eastAsia="zh-CN"/>
        </w:rPr>
        <w:t>。</w:t>
      </w:r>
      <w:bookmarkEnd w:id="0"/>
      <w:bookmarkEnd w:id="1"/>
    </w:p>
    <w:p/>
    <w:sectPr>
      <w:pgSz w:w="11906" w:h="16838"/>
      <w:pgMar w:top="1440" w:right="1134" w:bottom="1440" w:left="1134" w:header="851" w:footer="992"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19"/>
      </w:rPr>
    </w:pPr>
    <w:r>
      <w:fldChar w:fldCharType="begin"/>
    </w:r>
    <w:r>
      <w:rPr>
        <w:rStyle w:val="19"/>
      </w:rPr>
      <w:instrText xml:space="preserve">PAGE  </w:instrText>
    </w:r>
    <w:r>
      <w:fldChar w:fldCharType="separate"/>
    </w:r>
    <w:r>
      <w:rPr>
        <w:rStyle w:val="19"/>
      </w:rPr>
      <w:t>48</w:t>
    </w:r>
    <w: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000000"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33DC6"/>
    <w:rsid w:val="04E50F2C"/>
    <w:rsid w:val="08DE0664"/>
    <w:rsid w:val="0ED523E6"/>
    <w:rsid w:val="14B65F2A"/>
    <w:rsid w:val="17580FD9"/>
    <w:rsid w:val="1D1A7A7C"/>
    <w:rsid w:val="1D210F9F"/>
    <w:rsid w:val="20D31176"/>
    <w:rsid w:val="21F0350D"/>
    <w:rsid w:val="2C31450C"/>
    <w:rsid w:val="3C46618C"/>
    <w:rsid w:val="4C1C5EA8"/>
    <w:rsid w:val="4C567D2F"/>
    <w:rsid w:val="59B27E6A"/>
    <w:rsid w:val="66653B6D"/>
    <w:rsid w:val="730734BC"/>
    <w:rsid w:val="76233DC6"/>
    <w:rsid w:val="771802AE"/>
    <w:rsid w:val="78507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qFormat/>
    <w:uiPriority w:val="0"/>
    <w:rPr>
      <w:rFonts w:hint="default"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lock Text"/>
    <w:basedOn w:val="1"/>
    <w:qFormat/>
    <w:uiPriority w:val="99"/>
    <w:pPr>
      <w:autoSpaceDE w:val="0"/>
      <w:autoSpaceDN w:val="0"/>
      <w:adjustRightInd w:val="0"/>
      <w:ind w:left="256" w:right="6" w:firstLine="624" w:firstLineChars="200"/>
    </w:pPr>
    <w:rPr>
      <w:rFonts w:ascii="Times New Roman" w:hAnsi="Times New Roman" w:eastAsia="仿宋_GB2312"/>
      <w:kern w:val="0"/>
      <w:sz w:val="28"/>
    </w:rPr>
  </w:style>
  <w:style w:type="paragraph" w:styleId="3">
    <w:name w:val="Body Text"/>
    <w:basedOn w:val="1"/>
    <w:next w:val="1"/>
    <w:qFormat/>
    <w:uiPriority w:val="0"/>
    <w:pPr>
      <w:spacing w:after="120"/>
    </w:pPr>
  </w:style>
  <w:style w:type="paragraph" w:customStyle="1" w:styleId="6">
    <w:name w:val="无间隔1"/>
    <w:qFormat/>
    <w:uiPriority w:val="0"/>
    <w:rPr>
      <w:rFonts w:hint="default" w:ascii="Calibri" w:hAnsi="Calibri" w:eastAsia="宋体" w:cs="Times New Roman"/>
      <w:sz w:val="22"/>
      <w:szCs w:val="22"/>
      <w:lang w:val="en-US" w:eastAsia="en-US" w:bidi="ar-SA"/>
    </w:rPr>
  </w:style>
  <w:style w:type="paragraph" w:customStyle="1" w:styleId="7">
    <w:name w:val="页眉1"/>
    <w:basedOn w:val="8"/>
    <w:qFormat/>
    <w:uiPriority w:val="0"/>
    <w:pPr>
      <w:pBdr>
        <w:bottom w:val="single" w:color="000000" w:sz="6" w:space="1"/>
      </w:pBdr>
      <w:tabs>
        <w:tab w:val="center" w:pos="4153"/>
        <w:tab w:val="right" w:pos="8306"/>
      </w:tabs>
      <w:jc w:val="center"/>
    </w:pPr>
    <w:rPr>
      <w:sz w:val="18"/>
      <w:szCs w:val="18"/>
    </w:rPr>
  </w:style>
  <w:style w:type="paragraph" w:customStyle="1" w:styleId="8">
    <w:name w:val="正文1"/>
    <w:basedOn w:val="9"/>
    <w:next w:val="1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
    <w:name w:val="正文111"/>
    <w:next w:val="1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0">
    <w:name w:val="正文文本1"/>
    <w:basedOn w:val="11"/>
    <w:next w:val="8"/>
    <w:qFormat/>
    <w:uiPriority w:val="0"/>
    <w:pPr>
      <w:spacing w:after="120"/>
    </w:pPr>
    <w:rPr>
      <w:rFonts w:ascii="Calibri" w:hAnsi="Calibri"/>
    </w:rPr>
  </w:style>
  <w:style w:type="paragraph" w:customStyle="1" w:styleId="11">
    <w:name w:val="正文11"/>
    <w:next w:val="12"/>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2">
    <w:name w:val="目录 11"/>
    <w:basedOn w:val="13"/>
    <w:next w:val="11"/>
    <w:qFormat/>
    <w:uiPriority w:val="0"/>
  </w:style>
  <w:style w:type="paragraph" w:customStyle="1" w:styleId="13">
    <w:name w:val="正文12"/>
    <w:next w:val="14"/>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14">
    <w:name w:val="脚注文本1"/>
    <w:basedOn w:val="15"/>
    <w:next w:val="17"/>
    <w:qFormat/>
    <w:uiPriority w:val="0"/>
    <w:pPr>
      <w:jc w:val="left"/>
    </w:pPr>
    <w:rPr>
      <w:rFonts w:ascii="宋体" w:eastAsia="Times New Roman"/>
      <w:sz w:val="18"/>
      <w:szCs w:val="18"/>
    </w:rPr>
  </w:style>
  <w:style w:type="paragraph" w:customStyle="1" w:styleId="15">
    <w:name w:val="正文1111"/>
    <w:next w:val="16"/>
    <w:qFormat/>
    <w:uiPriority w:val="0"/>
    <w:pPr>
      <w:widowControl w:val="0"/>
      <w:spacing w:before="0" w:beforeAutospacing="0" w:after="160" w:afterAutospacing="0" w:line="278" w:lineRule="auto"/>
      <w:jc w:val="both"/>
    </w:pPr>
    <w:rPr>
      <w:rFonts w:hint="default" w:ascii="Times New Roman" w:hAnsi="Times New Roman" w:eastAsia="宋体" w:cs="Times New Roman"/>
      <w:sz w:val="21"/>
      <w:szCs w:val="24"/>
    </w:rPr>
  </w:style>
  <w:style w:type="paragraph" w:customStyle="1" w:styleId="16">
    <w:name w:val="文本块11"/>
    <w:basedOn w:val="13"/>
    <w:qFormat/>
    <w:uiPriority w:val="0"/>
    <w:pPr>
      <w:ind w:left="256" w:right="6" w:firstLine="624"/>
    </w:pPr>
    <w:rPr>
      <w:rFonts w:ascii="Arial" w:hAnsi="Arial" w:eastAsia="仿宋"/>
      <w:sz w:val="28"/>
    </w:rPr>
  </w:style>
  <w:style w:type="paragraph" w:customStyle="1" w:styleId="17">
    <w:name w:val="索引 51"/>
    <w:basedOn w:val="8"/>
    <w:next w:val="8"/>
    <w:qFormat/>
    <w:uiPriority w:val="0"/>
    <w:pPr>
      <w:ind w:left="798"/>
      <w:jc w:val="left"/>
    </w:pPr>
    <w:rPr>
      <w:rFonts w:ascii="Calibri" w:hAnsi="Calibri"/>
    </w:rPr>
  </w:style>
  <w:style w:type="paragraph" w:customStyle="1" w:styleId="18">
    <w:name w:val="页脚1"/>
    <w:basedOn w:val="8"/>
    <w:qFormat/>
    <w:uiPriority w:val="0"/>
    <w:pPr>
      <w:tabs>
        <w:tab w:val="center" w:pos="4153"/>
        <w:tab w:val="right" w:pos="8306"/>
      </w:tabs>
      <w:jc w:val="left"/>
    </w:pPr>
    <w:rPr>
      <w:sz w:val="18"/>
      <w:szCs w:val="18"/>
    </w:rPr>
  </w:style>
  <w:style w:type="character" w:customStyle="1" w:styleId="19">
    <w:name w:val="页码1"/>
    <w:link w:val="1"/>
    <w:qFormat/>
    <w:uiPriority w:val="0"/>
    <w:rPr>
      <w:rFonts w:hint="default"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2025-04-24T07:38:00Z</dcterms:created>
  <dc:creator>尹陈</dc:creator>
  <cp:lastModifiedBy>尹陈</cp:lastModifiedBy>
  <dcterms:modified xsi:type="dcterms:W3CDTF">2025-04-24T07:42:37Z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61E55966FDA9448691F44DC387FC8648</vt:lpwstr>
  </property>
</Properties>
</file>