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82562">
      <w:pPr>
        <w:pStyle w:val="3"/>
        <w:keepNext w:val="0"/>
        <w:keepLines w:val="0"/>
        <w:widowControl/>
        <w:suppressLineNumbers w:val="0"/>
        <w:spacing w:before="0" w:beforeAutospacing="1" w:after="0" w:afterAutospacing="1" w:line="27" w:lineRule="atLeast"/>
        <w:ind w:left="0" w:right="0"/>
        <w:rPr>
          <w:rFonts w:hint="eastAsia" w:ascii="宋体" w:hAnsi="宋体" w:eastAsia="宋体" w:cs="宋体"/>
          <w:color w:val="000000" w:themeColor="text1"/>
          <w:sz w:val="28"/>
          <w:szCs w:val="28"/>
          <w:highlight w:val="none"/>
          <w14:textFill>
            <w14:solidFill>
              <w14:schemeClr w14:val="tx1"/>
            </w14:solidFill>
          </w14:textFill>
        </w:rPr>
      </w:pPr>
    </w:p>
    <w:p w14:paraId="307F8E0D">
      <w:pPr>
        <w:pStyle w:val="3"/>
        <w:keepNext w:val="0"/>
        <w:keepLines w:val="0"/>
        <w:widowControl/>
        <w:suppressLineNumbers w:val="0"/>
        <w:spacing w:before="0" w:beforeAutospacing="1" w:after="0" w:afterAutospacing="1" w:line="27" w:lineRule="atLeast"/>
        <w:ind w:left="0" w:right="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附件： </w:t>
      </w:r>
    </w:p>
    <w:p w14:paraId="4BEA6B9C">
      <w:pPr>
        <w:pStyle w:val="3"/>
        <w:keepNext w:val="0"/>
        <w:keepLines w:val="0"/>
        <w:widowControl/>
        <w:suppressLineNumbers w:val="0"/>
        <w:spacing w:before="0" w:beforeAutospacing="1" w:after="0" w:afterAutospacing="1" w:line="27" w:lineRule="atLeast"/>
        <w:ind w:left="0" w:right="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如有建议或意见，请以书面形式并加盖公章、注明联系人、联系方式，于20</w:t>
      </w:r>
      <w:r>
        <w:rPr>
          <w:rFonts w:hint="eastAsia" w:ascii="宋体" w:hAnsi="宋体" w:eastAsia="宋体" w:cs="宋体"/>
          <w:color w:val="000000" w:themeColor="text1"/>
          <w:sz w:val="28"/>
          <w:szCs w:val="28"/>
          <w:highlight w:val="none"/>
          <w:lang w:val="en-US" w:eastAsia="zh-CN"/>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27</w:t>
      </w:r>
      <w:r>
        <w:rPr>
          <w:rFonts w:hint="eastAsia" w:ascii="宋体" w:hAnsi="宋体" w:eastAsia="宋体" w:cs="宋体"/>
          <w:color w:val="000000" w:themeColor="text1"/>
          <w:sz w:val="28"/>
          <w:szCs w:val="28"/>
          <w:highlight w:val="none"/>
          <w14:textFill>
            <w14:solidFill>
              <w14:schemeClr w14:val="tx1"/>
            </w14:solidFill>
          </w14:textFill>
        </w:rPr>
        <w:t>日</w:t>
      </w:r>
      <w:r>
        <w:rPr>
          <w:rFonts w:hint="eastAsia" w:ascii="宋体" w:hAnsi="宋体" w:eastAsia="宋体" w:cs="宋体"/>
          <w:color w:val="000000" w:themeColor="text1"/>
          <w:sz w:val="28"/>
          <w:szCs w:val="28"/>
          <w:highlight w:val="none"/>
          <w:lang w:val="en-US" w:eastAsia="zh-CN"/>
          <w14:textFill>
            <w14:solidFill>
              <w14:schemeClr w14:val="tx1"/>
            </w14:solidFill>
          </w14:textFill>
        </w:rPr>
        <w:t>17</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30</w:t>
      </w:r>
      <w:r>
        <w:rPr>
          <w:rFonts w:hint="eastAsia" w:ascii="宋体" w:hAnsi="宋体" w:eastAsia="宋体" w:cs="宋体"/>
          <w:color w:val="000000" w:themeColor="text1"/>
          <w:sz w:val="28"/>
          <w:szCs w:val="28"/>
          <w:highlight w:val="none"/>
          <w14:textFill>
            <w14:solidFill>
              <w14:schemeClr w14:val="tx1"/>
            </w14:solidFill>
          </w14:textFill>
        </w:rPr>
        <w:t>之前送至我单位，逾期不受理（如邮寄，20</w:t>
      </w:r>
      <w:r>
        <w:rPr>
          <w:rFonts w:hint="eastAsia" w:ascii="宋体" w:hAnsi="宋体" w:eastAsia="宋体" w:cs="宋体"/>
          <w:color w:val="000000" w:themeColor="text1"/>
          <w:sz w:val="28"/>
          <w:szCs w:val="28"/>
          <w:highlight w:val="none"/>
          <w:lang w:val="en-US" w:eastAsia="zh-CN"/>
          <w14:textFill>
            <w14:solidFill>
              <w14:schemeClr w14:val="tx1"/>
            </w14:solidFill>
          </w14:textFill>
        </w:rPr>
        <w:t>25</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0</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27</w:t>
      </w:r>
      <w:r>
        <w:rPr>
          <w:rFonts w:hint="eastAsia" w:ascii="宋体" w:hAnsi="宋体" w:eastAsia="宋体" w:cs="宋体"/>
          <w:color w:val="000000" w:themeColor="text1"/>
          <w:sz w:val="28"/>
          <w:szCs w:val="28"/>
          <w:highlight w:val="none"/>
          <w14:textFill>
            <w14:solidFill>
              <w14:schemeClr w14:val="tx1"/>
            </w14:solidFill>
          </w14:textFill>
        </w:rPr>
        <w:t>日</w:t>
      </w:r>
      <w:r>
        <w:rPr>
          <w:rFonts w:hint="eastAsia" w:ascii="宋体" w:hAnsi="宋体" w:eastAsia="宋体" w:cs="宋体"/>
          <w:color w:val="000000" w:themeColor="text1"/>
          <w:sz w:val="28"/>
          <w:szCs w:val="28"/>
          <w:highlight w:val="none"/>
          <w:lang w:val="en-US" w:eastAsia="zh-CN"/>
          <w14:textFill>
            <w14:solidFill>
              <w14:schemeClr w14:val="tx1"/>
            </w14:solidFill>
          </w14:textFill>
        </w:rPr>
        <w:t>17</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 xml:space="preserve">0之后到达本公司的邮件将不再受理。） </w:t>
      </w:r>
    </w:p>
    <w:p w14:paraId="25FB5345">
      <w:pPr>
        <w:pStyle w:val="6"/>
        <w:ind w:firstLine="0"/>
        <w:jc w:val="center"/>
        <w:rPr>
          <w:rFonts w:hint="eastAsia" w:ascii="宋体" w:hAnsi="宋体"/>
          <w:b/>
          <w:bCs/>
          <w:color w:val="auto"/>
          <w:sz w:val="36"/>
          <w:szCs w:val="36"/>
          <w:highlight w:val="none"/>
        </w:rPr>
      </w:pPr>
    </w:p>
    <w:p w14:paraId="55C92639">
      <w:pPr>
        <w:pStyle w:val="6"/>
        <w:ind w:firstLine="0"/>
        <w:jc w:val="center"/>
        <w:rPr>
          <w:rFonts w:hint="eastAsia" w:ascii="宋体" w:hAnsi="宋体"/>
          <w:b/>
          <w:bCs/>
          <w:color w:val="auto"/>
          <w:sz w:val="36"/>
          <w:szCs w:val="36"/>
          <w:highlight w:val="none"/>
        </w:rPr>
      </w:pPr>
    </w:p>
    <w:p w14:paraId="212C9680">
      <w:pPr>
        <w:pStyle w:val="6"/>
        <w:ind w:firstLine="0"/>
        <w:jc w:val="center"/>
        <w:rPr>
          <w:rFonts w:hint="eastAsia" w:ascii="宋体" w:hAnsi="宋体"/>
          <w:b/>
          <w:bCs/>
          <w:color w:val="auto"/>
          <w:sz w:val="36"/>
          <w:szCs w:val="36"/>
          <w:highlight w:val="none"/>
        </w:rPr>
      </w:pPr>
      <w:r>
        <w:rPr>
          <w:rFonts w:hint="eastAsia" w:ascii="宋体" w:hAnsi="宋体"/>
          <w:b/>
          <w:bCs/>
          <w:color w:val="auto"/>
          <w:sz w:val="36"/>
          <w:szCs w:val="36"/>
          <w:highlight w:val="none"/>
        </w:rPr>
        <w:t>项目要求（采购需求）</w:t>
      </w:r>
    </w:p>
    <w:p w14:paraId="6AF10F36">
      <w:pPr>
        <w:pStyle w:val="6"/>
        <w:ind w:firstLine="0"/>
        <w:rPr>
          <w:rFonts w:ascii="宋体" w:hAnsi="宋体"/>
          <w:color w:val="auto"/>
          <w:highlight w:val="none"/>
        </w:rPr>
      </w:pPr>
    </w:p>
    <w:p w14:paraId="36719F14">
      <w:pPr>
        <w:rPr>
          <w:rFonts w:hint="eastAsia"/>
        </w:rPr>
      </w:pPr>
      <w:r>
        <w:rPr>
          <w:rFonts w:hint="eastAsia"/>
        </w:rPr>
        <w:t>一、项目内容及说明</w:t>
      </w:r>
    </w:p>
    <w:p w14:paraId="1DEEACC1">
      <w:pPr>
        <w:rPr>
          <w:rFonts w:hint="eastAsia"/>
          <w:lang w:val="en-US" w:eastAsia="zh-CN"/>
        </w:rPr>
      </w:pPr>
      <w:r>
        <w:rPr>
          <w:rFonts w:hint="eastAsia"/>
          <w:lang w:val="en-US" w:eastAsia="zh-CN"/>
        </w:rPr>
        <w:t>项目内容：天地图沛县2024-2025年度数据融合</w:t>
      </w:r>
    </w:p>
    <w:p w14:paraId="47610F83">
      <w:pPr>
        <w:rPr>
          <w:rFonts w:hint="eastAsia"/>
          <w:lang w:val="en-US" w:eastAsia="zh-CN"/>
        </w:rPr>
      </w:pPr>
      <w:r>
        <w:rPr>
          <w:rFonts w:hint="eastAsia"/>
          <w:lang w:val="en-US" w:eastAsia="zh-CN"/>
        </w:rPr>
        <w:t>项目预算：本项目不接受超过151.2 万元（采购项目预算金额）的投标报价；报价包括全部费用，采购人不再支付报价以外的任何费用。</w:t>
      </w:r>
    </w:p>
    <w:p w14:paraId="0D7F1DB6">
      <w:pPr>
        <w:rPr>
          <w:rFonts w:hint="default"/>
        </w:rPr>
      </w:pPr>
      <w:r>
        <w:t>二、</w:t>
      </w:r>
      <w:r>
        <w:rPr>
          <w:rFonts w:hint="eastAsia"/>
        </w:rPr>
        <w:t>项目背景</w:t>
      </w:r>
    </w:p>
    <w:p w14:paraId="16AA07ED">
      <w:pPr>
        <w:rPr>
          <w:rFonts w:hint="default"/>
          <w:lang w:val="en-US" w:eastAsia="zh-CN"/>
        </w:rPr>
      </w:pPr>
      <w:r>
        <w:rPr>
          <w:rFonts w:hint="default"/>
          <w:lang w:val="en-US" w:eastAsia="zh-CN"/>
        </w:rPr>
        <w:t>2024年根据《自然资源部办公厅关于开展地理信息公共服务平台2024年综合评估工作的通知》(自然资办函〔2024〕 403号)，江苏省自然资源厅关于印发《2024年江苏省天地图市县节点数据更新技术要求》的通知，要求各设区</w:t>
      </w:r>
      <w:r>
        <w:rPr>
          <w:rFonts w:hint="eastAsia"/>
          <w:lang w:val="en-US" w:eastAsia="zh-CN"/>
        </w:rPr>
        <w:t>市自然资源主管部门组织辖区内各天地图节点管理建设单位遵照执行。</w:t>
      </w:r>
    </w:p>
    <w:p w14:paraId="38405866">
      <w:pPr>
        <w:rPr>
          <w:rFonts w:hint="default"/>
          <w:lang w:val="en-US" w:eastAsia="zh-CN"/>
        </w:rPr>
      </w:pPr>
      <w:r>
        <w:rPr>
          <w:rFonts w:hint="eastAsia"/>
          <w:lang w:val="en-US" w:eastAsia="zh-CN"/>
        </w:rPr>
        <w:t>沛县测制了县级</w:t>
      </w:r>
      <w:r>
        <w:rPr>
          <w:rFonts w:hint="default"/>
          <w:lang w:val="en-US" w:eastAsia="zh-CN"/>
        </w:rPr>
        <w:t>1：500、1：1000、1：2000大比例尺正射影像及地形图、全</w:t>
      </w:r>
      <w:r>
        <w:rPr>
          <w:rFonts w:hint="eastAsia"/>
          <w:lang w:val="en-US" w:eastAsia="zh-CN"/>
        </w:rPr>
        <w:t>县</w:t>
      </w:r>
      <w:r>
        <w:rPr>
          <w:rFonts w:hint="default"/>
          <w:lang w:val="en-US" w:eastAsia="zh-CN"/>
        </w:rPr>
        <w:t>域基础测绘DLG成果，成果均为保密数据，需要以电子地图服务的方式为政府部门、企事业单位、社会公众提供高精度的地图服务。</w:t>
      </w:r>
      <w:r>
        <w:rPr>
          <w:rFonts w:hint="eastAsia"/>
          <w:lang w:val="en-US" w:eastAsia="zh-CN"/>
        </w:rPr>
        <w:t>“天地图·沛县”于2</w:t>
      </w:r>
      <w:r>
        <w:rPr>
          <w:rFonts w:hint="default"/>
          <w:lang w:val="en-US" w:eastAsia="zh-CN"/>
        </w:rPr>
        <w:t>022</w:t>
      </w:r>
      <w:r>
        <w:rPr>
          <w:rFonts w:hint="eastAsia"/>
          <w:lang w:val="en-US" w:eastAsia="zh-CN"/>
        </w:rPr>
        <w:t>年改版上线以来，为沛县多个部门、社会公众提供了高质量的地理信息服务，电子地图数据亟需更新。</w:t>
      </w:r>
      <w:r>
        <w:rPr>
          <w:rFonts w:hint="default"/>
          <w:lang w:val="en-US" w:eastAsia="zh-CN"/>
        </w:rPr>
        <w:t>为更好地满足公众对地理位置、时空信息的查询、获取等方面的需求，配合好国家、省厅的相关工作，结合</w:t>
      </w:r>
      <w:r>
        <w:rPr>
          <w:rFonts w:hint="eastAsia"/>
          <w:lang w:val="en-US" w:eastAsia="zh-CN"/>
        </w:rPr>
        <w:t>沛县</w:t>
      </w:r>
      <w:r>
        <w:rPr>
          <w:rFonts w:hint="default"/>
          <w:lang w:val="en-US" w:eastAsia="zh-CN"/>
        </w:rPr>
        <w:t>的实际情况，亟需开展</w:t>
      </w:r>
      <w:r>
        <w:rPr>
          <w:rFonts w:hint="eastAsia"/>
          <w:lang w:val="en-US" w:eastAsia="zh-CN"/>
        </w:rPr>
        <w:t>“天地图·沛县”2</w:t>
      </w:r>
      <w:r>
        <w:rPr>
          <w:rFonts w:hint="default"/>
          <w:lang w:val="en-US" w:eastAsia="zh-CN"/>
        </w:rPr>
        <w:t>024-2025</w:t>
      </w:r>
      <w:r>
        <w:rPr>
          <w:rFonts w:hint="eastAsia"/>
          <w:lang w:val="en-US" w:eastAsia="zh-CN"/>
        </w:rPr>
        <w:t>年数据融合项目。</w:t>
      </w:r>
    </w:p>
    <w:p w14:paraId="15E6ED7E">
      <w:pPr>
        <w:rPr>
          <w:rFonts w:hint="default"/>
        </w:rPr>
      </w:pPr>
      <w:r>
        <w:rPr>
          <w:rFonts w:hint="eastAsia"/>
          <w:lang w:val="en-US" w:eastAsia="zh-CN"/>
        </w:rPr>
        <w:t>三</w:t>
      </w:r>
      <w:r>
        <w:rPr>
          <w:rFonts w:hint="eastAsia"/>
        </w:rPr>
        <w:t>、建设内容与要求</w:t>
      </w:r>
    </w:p>
    <w:p w14:paraId="53276532">
      <w:pPr>
        <w:rPr>
          <w:rFonts w:hint="default"/>
          <w:lang w:val="en-US" w:eastAsia="zh-CN"/>
        </w:rPr>
      </w:pPr>
      <w:r>
        <w:rPr>
          <w:rFonts w:hint="eastAsia"/>
          <w:lang w:val="en-US" w:eastAsia="zh-CN"/>
        </w:rPr>
        <w:t>主要建设内容包括：202</w:t>
      </w:r>
      <w:r>
        <w:rPr>
          <w:rFonts w:hint="default"/>
          <w:lang w:val="en-US" w:eastAsia="zh-CN"/>
        </w:rPr>
        <w:t>5</w:t>
      </w:r>
      <w:r>
        <w:rPr>
          <w:rFonts w:hint="eastAsia"/>
          <w:lang w:val="en-US" w:eastAsia="zh-CN"/>
        </w:rPr>
        <w:t>年“天地图·沛县”门户网站运行维护及202</w:t>
      </w:r>
      <w:r>
        <w:rPr>
          <w:rFonts w:hint="default"/>
          <w:lang w:val="en-US" w:eastAsia="zh-CN"/>
        </w:rPr>
        <w:t>4-2025</w:t>
      </w:r>
      <w:r>
        <w:rPr>
          <w:rFonts w:hint="eastAsia"/>
          <w:lang w:val="en-US" w:eastAsia="zh-CN"/>
        </w:rPr>
        <w:t>年数据维护；18-20级电子地图更新以及“天地图·沛县”数据融合工作。</w:t>
      </w:r>
    </w:p>
    <w:p w14:paraId="6742A60E">
      <w:pPr>
        <w:rPr>
          <w:rFonts w:hint="default"/>
        </w:rPr>
      </w:pPr>
      <w:r>
        <w:rPr>
          <w:rFonts w:hint="eastAsia"/>
        </w:rPr>
        <w:t>（一）建设要求</w:t>
      </w:r>
    </w:p>
    <w:p w14:paraId="4690A026">
      <w:pPr>
        <w:rPr>
          <w:rFonts w:hint="eastAsia"/>
          <w:lang w:val="en-US" w:eastAsia="zh-CN"/>
        </w:rPr>
      </w:pPr>
      <w:r>
        <w:rPr>
          <w:rFonts w:hint="eastAsia"/>
          <w:lang w:val="en-US" w:eastAsia="zh-CN"/>
        </w:rPr>
        <w:t>2.1测绘基准</w:t>
      </w:r>
    </w:p>
    <w:p w14:paraId="46647BF9">
      <w:pPr>
        <w:rPr>
          <w:rFonts w:hint="default"/>
          <w:lang w:val="en-US" w:eastAsia="zh-CN"/>
        </w:rPr>
      </w:pPr>
      <w:r>
        <w:rPr>
          <w:rFonts w:hint="eastAsia"/>
          <w:lang w:val="en-US" w:eastAsia="zh-CN"/>
        </w:rPr>
        <w:t>平面坐标系统：</w:t>
      </w:r>
      <w:r>
        <w:rPr>
          <w:rFonts w:hint="default"/>
          <w:lang w:val="en-US" w:eastAsia="zh-CN"/>
        </w:rPr>
        <w:t>2000国家大地坐标系；</w:t>
      </w:r>
    </w:p>
    <w:p w14:paraId="292CA97B">
      <w:pPr>
        <w:rPr>
          <w:rFonts w:hint="default"/>
          <w:lang w:val="en-US" w:eastAsia="zh-CN"/>
        </w:rPr>
      </w:pPr>
      <w:r>
        <w:rPr>
          <w:rFonts w:hint="eastAsia"/>
          <w:lang w:val="en-US" w:eastAsia="zh-CN"/>
        </w:rPr>
        <w:t>高程基准：</w:t>
      </w:r>
      <w:r>
        <w:rPr>
          <w:rFonts w:hint="default"/>
          <w:lang w:val="en-US" w:eastAsia="zh-CN"/>
        </w:rPr>
        <w:t>1985国家高程基准。</w:t>
      </w:r>
    </w:p>
    <w:p w14:paraId="5D7E9207">
      <w:pPr>
        <w:rPr>
          <w:rFonts w:hint="eastAsia"/>
          <w:lang w:val="en-US" w:eastAsia="zh-CN"/>
        </w:rPr>
      </w:pPr>
      <w:r>
        <w:rPr>
          <w:rFonts w:hint="eastAsia"/>
          <w:lang w:val="en-US" w:eastAsia="zh-CN"/>
        </w:rPr>
        <w:t>2.2电子地图制作要求</w:t>
      </w:r>
    </w:p>
    <w:p w14:paraId="2963C1FF">
      <w:pPr>
        <w:rPr>
          <w:rFonts w:hint="default"/>
          <w:lang w:val="en-US" w:eastAsia="zh-CN"/>
        </w:rPr>
      </w:pPr>
      <w:r>
        <w:rPr>
          <w:rFonts w:hint="default"/>
          <w:lang w:val="en-US" w:eastAsia="zh-CN"/>
        </w:rPr>
        <w:t>电子地图数据集包含矢量数据、地名地址与兴趣点数据等，现势性优于2025年，数据总体精细度优于“天地图•江苏”省级数据库。电子地图数据集生产处理按照《江苏省地理信息公共服务平台（天地图）市县级数据资源建设技术指南》的要求进行，电子地图制作应遵循《地理信息公共服务平台电子地图数据规范》等相关规范，公开地图应遵守《公开地图内容表示要求》等相关规范要求。</w:t>
      </w:r>
    </w:p>
    <w:p w14:paraId="7AEA36D0">
      <w:pPr>
        <w:rPr>
          <w:rFonts w:hint="eastAsia"/>
          <w:lang w:val="en-US" w:eastAsia="zh-CN"/>
        </w:rPr>
      </w:pPr>
      <w:r>
        <w:rPr>
          <w:rFonts w:hint="eastAsia"/>
          <w:lang w:val="en-US" w:eastAsia="zh-CN"/>
        </w:rPr>
        <w:t>2.3天地图数据融合更新要求</w:t>
      </w:r>
    </w:p>
    <w:p w14:paraId="0CAE0417">
      <w:pPr>
        <w:rPr>
          <w:rFonts w:hint="default"/>
          <w:lang w:val="en-US" w:eastAsia="zh-CN"/>
        </w:rPr>
      </w:pPr>
      <w:r>
        <w:rPr>
          <w:rFonts w:hint="default"/>
          <w:lang w:val="en-US" w:eastAsia="zh-CN"/>
        </w:rPr>
        <w:t>以“天地图•江苏”省级数据为本底，落实江苏省自然资源厅自然资源节约集约利用综合评价考核工作要求，按照《2024年江苏省天地图市县节点数据更新技术要求》及《2024年江苏省天地图专题数据更新要求》，将18-20级电子地图数据以增量的形式融入，并对多源数据间的图形矛盾、属性矛盾、空间关系矛盾进行处理，形成一套现势、准确、规范的融合数据集。</w:t>
      </w:r>
    </w:p>
    <w:p w14:paraId="1A500175">
      <w:pPr>
        <w:rPr>
          <w:rFonts w:hint="eastAsia"/>
          <w:lang w:val="en-US" w:eastAsia="zh-CN"/>
        </w:rPr>
      </w:pPr>
      <w:r>
        <w:rPr>
          <w:rFonts w:hint="eastAsia"/>
          <w:lang w:val="en-US" w:eastAsia="zh-CN"/>
        </w:rPr>
        <w:t>2.4数据基础</w:t>
      </w:r>
    </w:p>
    <w:p w14:paraId="77DA3DF0">
      <w:pPr>
        <w:rPr>
          <w:rFonts w:hint="default"/>
          <w:lang w:val="en-US" w:eastAsia="zh-CN"/>
        </w:rPr>
      </w:pPr>
      <w:r>
        <w:rPr>
          <w:rFonts w:hint="default"/>
          <w:lang w:val="en-US" w:eastAsia="zh-CN"/>
        </w:rPr>
        <w:t>（1）省级基础测绘更新成果。由省厅下发</w:t>
      </w:r>
      <w:r>
        <w:rPr>
          <w:rFonts w:hint="eastAsia"/>
          <w:lang w:val="en-US" w:eastAsia="zh-CN"/>
        </w:rPr>
        <w:t>，比例尺</w:t>
      </w:r>
      <w:r>
        <w:rPr>
          <w:rFonts w:hint="default"/>
          <w:lang w:val="en-US" w:eastAsia="zh-CN"/>
        </w:rPr>
        <w:t>为1:1</w:t>
      </w:r>
      <w:r>
        <w:rPr>
          <w:rFonts w:hint="eastAsia"/>
          <w:lang w:val="en-US" w:eastAsia="zh-CN"/>
        </w:rPr>
        <w:t>0</w:t>
      </w:r>
      <w:r>
        <w:rPr>
          <w:rFonts w:hint="default"/>
          <w:lang w:val="en-US" w:eastAsia="zh-CN"/>
        </w:rPr>
        <w:t>000，利用内容有：境界、政区、交通、水系、居民地、植被等。</w:t>
      </w:r>
    </w:p>
    <w:p w14:paraId="291807FC">
      <w:pPr>
        <w:rPr>
          <w:rFonts w:hint="default"/>
          <w:lang w:val="en-US" w:eastAsia="zh-CN"/>
        </w:rPr>
      </w:pPr>
      <w:r>
        <w:rPr>
          <w:rFonts w:hint="default"/>
          <w:lang w:val="en-US" w:eastAsia="zh-CN"/>
        </w:rPr>
        <w:t>（2）</w:t>
      </w:r>
      <w:r>
        <w:rPr>
          <w:rFonts w:hint="eastAsia"/>
          <w:lang w:val="en-US" w:eastAsia="zh-CN"/>
        </w:rPr>
        <w:t>亚米级遥感</w:t>
      </w:r>
      <w:r>
        <w:rPr>
          <w:rFonts w:hint="default"/>
          <w:lang w:val="en-US" w:eastAsia="zh-CN"/>
        </w:rPr>
        <w:t>影像。</w:t>
      </w:r>
    </w:p>
    <w:p w14:paraId="1D6E1623">
      <w:pPr>
        <w:rPr>
          <w:rFonts w:hint="default"/>
          <w:lang w:val="en-US" w:eastAsia="zh-CN"/>
        </w:rPr>
      </w:pPr>
      <w:r>
        <w:rPr>
          <w:rFonts w:hint="default"/>
          <w:lang w:val="en-US" w:eastAsia="zh-CN"/>
        </w:rPr>
        <w:t>（3）历史大比例尺地形图数据。</w:t>
      </w:r>
    </w:p>
    <w:p w14:paraId="145956A7">
      <w:pPr>
        <w:rPr>
          <w:rFonts w:hint="default"/>
          <w:lang w:val="en-US" w:eastAsia="zh-CN"/>
        </w:rPr>
      </w:pPr>
      <w:r>
        <w:rPr>
          <w:rFonts w:hint="default"/>
          <w:lang w:val="en-US" w:eastAsia="zh-CN"/>
        </w:rPr>
        <w:t>可利用内容有：境界、政区、交通、水系、居民地、植被等。</w:t>
      </w:r>
    </w:p>
    <w:p w14:paraId="2C61581A">
      <w:pPr>
        <w:rPr>
          <w:rFonts w:hint="default"/>
          <w:lang w:val="en-US" w:eastAsia="zh-CN"/>
        </w:rPr>
      </w:pPr>
      <w:r>
        <w:rPr>
          <w:rFonts w:hint="default"/>
          <w:lang w:val="en-US" w:eastAsia="zh-CN"/>
        </w:rPr>
        <w:t>（4）城镇地籍数据。可利用内容有：房屋、道路等</w:t>
      </w:r>
      <w:r>
        <w:rPr>
          <w:rFonts w:hint="eastAsia"/>
          <w:lang w:val="en-US" w:eastAsia="zh-CN"/>
        </w:rPr>
        <w:t>，用于补充房屋等要素的名称等信息</w:t>
      </w:r>
      <w:r>
        <w:rPr>
          <w:rFonts w:hint="default"/>
          <w:lang w:val="en-US" w:eastAsia="zh-CN"/>
        </w:rPr>
        <w:t>。</w:t>
      </w:r>
    </w:p>
    <w:p w14:paraId="0C84A378">
      <w:pPr>
        <w:rPr>
          <w:rFonts w:hint="default"/>
          <w:lang w:val="en-US" w:eastAsia="zh-CN"/>
        </w:rPr>
      </w:pPr>
      <w:r>
        <w:rPr>
          <w:rFonts w:hint="default"/>
          <w:lang w:val="en-US" w:eastAsia="zh-CN"/>
        </w:rPr>
        <w:t>（5）不动产登记数据。可利用内容有：自然幢、宗地等。</w:t>
      </w:r>
    </w:p>
    <w:p w14:paraId="75BFF362">
      <w:pPr>
        <w:rPr>
          <w:rFonts w:hint="default"/>
          <w:lang w:val="en-US" w:eastAsia="zh-CN"/>
        </w:rPr>
      </w:pPr>
      <w:r>
        <w:rPr>
          <w:rFonts w:hint="default"/>
          <w:lang w:val="en-US" w:eastAsia="zh-CN"/>
        </w:rPr>
        <w:t>（6）工程建设项目“多测合一”数据、工程竣工测量数据。可利用内容有：建筑工程及周边的交通、水系数据等。</w:t>
      </w:r>
    </w:p>
    <w:p w14:paraId="6BE8866F">
      <w:pPr>
        <w:rPr>
          <w:rFonts w:hint="default"/>
          <w:lang w:val="en-US" w:eastAsia="zh-CN"/>
        </w:rPr>
      </w:pPr>
      <w:r>
        <w:rPr>
          <w:rFonts w:hint="default"/>
          <w:lang w:val="en-US" w:eastAsia="zh-CN"/>
        </w:rPr>
        <w:t>（7）土地变更调查数据。可利用内容有：变化地类图斑、行政区划数据等。</w:t>
      </w:r>
    </w:p>
    <w:p w14:paraId="1723B4FD">
      <w:pPr>
        <w:rPr>
          <w:rFonts w:hint="default"/>
          <w:lang w:val="en-US" w:eastAsia="zh-CN"/>
        </w:rPr>
      </w:pPr>
      <w:r>
        <w:rPr>
          <w:rFonts w:hint="default"/>
          <w:lang w:val="en-US" w:eastAsia="zh-CN"/>
        </w:rPr>
        <w:t>（8）公安、交通、水利、文旅、市政、卫生等行业专题数据。可利用内容有：空间数据、名录资料等，如公安部门的地名地址数据、交通部门的公路数据、水利部门的</w:t>
      </w:r>
      <w:r>
        <w:rPr>
          <w:rFonts w:hint="eastAsia"/>
          <w:lang w:val="en-US" w:eastAsia="zh-CN"/>
        </w:rPr>
        <w:t>河流水系</w:t>
      </w:r>
      <w:r>
        <w:rPr>
          <w:rFonts w:hint="default"/>
          <w:lang w:val="en-US" w:eastAsia="zh-CN"/>
        </w:rPr>
        <w:t>数据、文旅部门的景区名录、卫生部门的医院名录等。</w:t>
      </w:r>
    </w:p>
    <w:p w14:paraId="1E5AE517">
      <w:pPr>
        <w:rPr>
          <w:rFonts w:hint="default"/>
        </w:rPr>
      </w:pPr>
      <w:r>
        <w:rPr>
          <w:rFonts w:hint="eastAsia"/>
        </w:rPr>
        <w:t>（二）建设内容</w:t>
      </w:r>
    </w:p>
    <w:p w14:paraId="7D8EDB80">
      <w:pPr>
        <w:rPr>
          <w:rFonts w:hint="default"/>
          <w:lang w:val="en-US" w:eastAsia="zh-CN"/>
        </w:rPr>
      </w:pPr>
      <w:r>
        <w:rPr>
          <w:rFonts w:hint="eastAsia"/>
          <w:lang w:val="en-US" w:eastAsia="zh-CN"/>
        </w:rPr>
        <w:t>2.</w:t>
      </w:r>
      <w:r>
        <w:rPr>
          <w:rFonts w:hint="default"/>
          <w:lang w:val="en-US" w:eastAsia="zh-CN"/>
        </w:rPr>
        <w:t>5</w:t>
      </w:r>
      <w:r>
        <w:rPr>
          <w:rFonts w:hint="eastAsia"/>
          <w:lang w:val="en-US" w:eastAsia="zh-CN"/>
        </w:rPr>
        <w:t xml:space="preserve"> “天地图·沛县”门户网站运行维护</w:t>
      </w:r>
    </w:p>
    <w:p w14:paraId="107277CF">
      <w:pPr>
        <w:rPr>
          <w:rFonts w:hint="default"/>
          <w:lang w:val="en-US" w:eastAsia="zh-CN"/>
        </w:rPr>
      </w:pPr>
      <w:r>
        <w:rPr>
          <w:rFonts w:hint="eastAsia"/>
          <w:lang w:val="en-US" w:eastAsia="zh-CN"/>
        </w:rPr>
        <w:t>（1）天地图沛县门户网站</w:t>
      </w:r>
      <w:r>
        <w:rPr>
          <w:rFonts w:hint="default"/>
          <w:lang w:val="en-US" w:eastAsia="zh-CN"/>
        </w:rPr>
        <w:fldChar w:fldCharType="begin"/>
      </w:r>
      <w:r>
        <w:rPr>
          <w:rFonts w:hint="default"/>
          <w:lang w:val="en-US" w:eastAsia="zh-CN"/>
        </w:rPr>
        <w:instrText xml:space="preserve"> HYPERLINK "http://jiangsu.tianditu.gov.cn/peixian/" </w:instrText>
      </w:r>
      <w:r>
        <w:rPr>
          <w:rFonts w:hint="default"/>
          <w:lang w:val="en-US" w:eastAsia="zh-CN"/>
        </w:rPr>
        <w:fldChar w:fldCharType="separate"/>
      </w:r>
      <w:r>
        <w:rPr>
          <w:rFonts w:hint="default"/>
          <w:lang w:val="en-US" w:eastAsia="zh-CN"/>
        </w:rPr>
        <w:t>http://jiangsu.tianditu.gov.cn/peixian/</w:t>
      </w:r>
      <w:r>
        <w:rPr>
          <w:rFonts w:hint="default"/>
          <w:lang w:val="en-US" w:eastAsia="zh-CN"/>
        </w:rPr>
        <w:fldChar w:fldCharType="end"/>
      </w:r>
      <w:r>
        <w:rPr>
          <w:rFonts w:hint="eastAsia"/>
          <w:lang w:val="en-US" w:eastAsia="zh-CN"/>
        </w:rPr>
        <w:t xml:space="preserve"> 需要7</w:t>
      </w:r>
      <w:r>
        <w:rPr>
          <w:rFonts w:hint="default"/>
          <w:lang w:val="en-US" w:eastAsia="zh-CN"/>
        </w:rPr>
        <w:t>*24</w:t>
      </w:r>
      <w:r>
        <w:rPr>
          <w:rFonts w:hint="eastAsia"/>
          <w:lang w:val="en-US" w:eastAsia="zh-CN"/>
        </w:rPr>
        <w:t>小时在线运行，保障县域节点与国家-省-市三级空间基础设施互联互通、服务接口规范兼容。</w:t>
      </w:r>
    </w:p>
    <w:p w14:paraId="4436C761">
      <w:pPr>
        <w:rPr>
          <w:rFonts w:hint="eastAsia"/>
          <w:lang w:val="en-US" w:eastAsia="zh-CN"/>
        </w:rPr>
      </w:pPr>
      <w:r>
        <w:rPr>
          <w:rFonts w:hint="eastAsia"/>
          <w:lang w:val="en-US" w:eastAsia="zh-CN"/>
        </w:rPr>
        <w:t>（2）对“全国地理信息资源目录服务系统”沛县子站进行维护，及时更新成果目录。</w:t>
      </w:r>
    </w:p>
    <w:p w14:paraId="539693D3">
      <w:pPr>
        <w:rPr>
          <w:rFonts w:hint="default"/>
          <w:lang w:val="en-US" w:eastAsia="zh-CN"/>
        </w:rPr>
      </w:pPr>
      <w:r>
        <w:rPr>
          <w:rFonts w:hint="eastAsia"/>
          <w:lang w:val="en-US" w:eastAsia="zh-CN"/>
        </w:rPr>
        <w:t>2.</w:t>
      </w:r>
      <w:r>
        <w:rPr>
          <w:rFonts w:hint="default"/>
          <w:lang w:val="en-US" w:eastAsia="zh-CN"/>
        </w:rPr>
        <w:t xml:space="preserve">6 </w:t>
      </w:r>
      <w:r>
        <w:rPr>
          <w:rFonts w:hint="eastAsia"/>
          <w:lang w:val="en-US" w:eastAsia="zh-CN"/>
        </w:rPr>
        <w:t>电子地图更新</w:t>
      </w:r>
    </w:p>
    <w:p w14:paraId="1415BC4D">
      <w:pPr>
        <w:rPr>
          <w:rFonts w:hint="default"/>
          <w:lang w:val="en-US" w:eastAsia="zh-CN"/>
        </w:rPr>
      </w:pPr>
      <w:r>
        <w:rPr>
          <w:rFonts w:hint="eastAsia"/>
          <w:lang w:val="en-US" w:eastAsia="zh-CN"/>
        </w:rPr>
        <w:t>结合省厅下发数据、“天地图·江苏”省级数据等数据资源，更新2025年度并整理2024年数据，经过对地理要素空间位置、几何图形、属性信息的精化、细化、校核补充等处理，完成覆盖沛县全域电子地图数据集建设，包含交通、水系、居民地、绿地、境界与政区、地名地址与兴趣点等内容，按照自然资源部要求对相关电子地图进行脱敏脱密处理，充分整合其他各类数据资源，</w:t>
      </w:r>
      <w:r>
        <w:rPr>
          <w:rFonts w:hint="default"/>
          <w:lang w:val="en-US" w:eastAsia="zh-CN"/>
        </w:rPr>
        <w:t>并根据电子地图制作规范，制作L18-L20级</w:t>
      </w:r>
      <w:r>
        <w:rPr>
          <w:rFonts w:hint="eastAsia"/>
          <w:lang w:val="en-US" w:eastAsia="zh-CN"/>
        </w:rPr>
        <w:t>矢量及影像</w:t>
      </w:r>
      <w:r>
        <w:rPr>
          <w:rFonts w:hint="default"/>
          <w:lang w:val="en-US" w:eastAsia="zh-CN"/>
        </w:rPr>
        <w:t>电子地图瓦片</w:t>
      </w:r>
      <w:r>
        <w:rPr>
          <w:rFonts w:hint="eastAsia"/>
          <w:lang w:val="en-US" w:eastAsia="zh-CN"/>
        </w:rPr>
        <w:t>，完成沛县全域范围L18-</w:t>
      </w:r>
      <w:r>
        <w:rPr>
          <w:rFonts w:hint="default"/>
          <w:lang w:val="en-US" w:eastAsia="zh-CN"/>
        </w:rPr>
        <w:t>L</w:t>
      </w:r>
      <w:r>
        <w:rPr>
          <w:rFonts w:hint="eastAsia"/>
          <w:lang w:val="en-US" w:eastAsia="zh-CN"/>
        </w:rPr>
        <w:t>20级电子地图的生产、更新，按照规范接口发布相应的电子地图服务。</w:t>
      </w:r>
    </w:p>
    <w:p w14:paraId="3BFB096B">
      <w:pPr>
        <w:rPr>
          <w:rFonts w:hint="default"/>
          <w:lang w:val="en-US" w:eastAsia="zh-CN"/>
        </w:rPr>
      </w:pPr>
      <w:r>
        <w:rPr>
          <w:rFonts w:hint="default"/>
          <w:lang w:val="en-US" w:eastAsia="zh-CN"/>
        </w:rPr>
        <w:t>电子地图数据建设与更新的技术路线如图1所示：</w:t>
      </w:r>
    </w:p>
    <w:p w14:paraId="4D31E503">
      <w:pPr>
        <w:rPr>
          <w:rFonts w:hint="default"/>
        </w:rPr>
      </w:pPr>
      <w:r>
        <w:rPr>
          <w:rFonts w:hint="default"/>
        </w:rPr>
        <w:drawing>
          <wp:inline distT="0" distB="0" distL="0" distR="0">
            <wp:extent cx="4203700" cy="6164580"/>
            <wp:effectExtent l="0" t="0" r="635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209856" cy="6173950"/>
                    </a:xfrm>
                    <a:prstGeom prst="rect">
                      <a:avLst/>
                    </a:prstGeom>
                    <a:noFill/>
                    <a:ln>
                      <a:noFill/>
                    </a:ln>
                  </pic:spPr>
                </pic:pic>
              </a:graphicData>
            </a:graphic>
          </wp:inline>
        </w:drawing>
      </w:r>
    </w:p>
    <w:p w14:paraId="218791CD">
      <w:pPr>
        <w:rPr>
          <w:lang w:val="en-US" w:eastAsia="zh-CN"/>
        </w:rPr>
      </w:pPr>
      <w:r>
        <w:rPr>
          <w:lang w:val="en-US" w:eastAsia="zh-CN"/>
        </w:rPr>
        <w:t>图 1电子地图数据建设与更新技术路线</w:t>
      </w:r>
    </w:p>
    <w:p w14:paraId="5883E0CE">
      <w:pPr>
        <w:rPr>
          <w:rFonts w:hint="eastAsia"/>
          <w:lang w:val="en-US" w:eastAsia="zh-CN"/>
        </w:rPr>
      </w:pPr>
      <w:r>
        <w:rPr>
          <w:rFonts w:hint="eastAsia"/>
          <w:lang w:val="en-US" w:eastAsia="zh-CN"/>
        </w:rPr>
        <w:t>（1）矢量图层处理</w:t>
      </w:r>
    </w:p>
    <w:p w14:paraId="104A21C4">
      <w:pPr>
        <w:rPr>
          <w:rFonts w:hint="eastAsia"/>
          <w:lang w:val="en-US" w:eastAsia="zh-CN"/>
        </w:rPr>
      </w:pPr>
      <w:r>
        <w:rPr>
          <w:rFonts w:hint="eastAsia"/>
          <w:lang w:val="en-US" w:eastAsia="zh-CN"/>
        </w:rPr>
        <w:t>矢量图层处理，包括对各要素进行相应图层的要素提取、制图表达、分类、分级、属性归整等处理，最终得到图形正确、属性完整的各要素矢量图层。</w:t>
      </w:r>
    </w:p>
    <w:p w14:paraId="2D889B65">
      <w:pPr>
        <w:rPr>
          <w:rFonts w:hint="eastAsia"/>
          <w:lang w:val="en-US" w:eastAsia="zh-CN"/>
        </w:rPr>
      </w:pPr>
      <w:r>
        <w:rPr>
          <w:rFonts w:hint="eastAsia"/>
          <w:lang w:val="en-US" w:eastAsia="zh-CN"/>
        </w:rPr>
        <w:t>1）要素提取</w:t>
      </w:r>
    </w:p>
    <w:p w14:paraId="4E424F43">
      <w:pPr>
        <w:rPr>
          <w:rFonts w:hint="default"/>
          <w:lang w:val="en-US" w:eastAsia="zh-CN"/>
        </w:rPr>
      </w:pPr>
      <w:r>
        <w:rPr>
          <w:rFonts w:hint="eastAsia"/>
          <w:lang w:val="en-US" w:eastAsia="zh-CN"/>
        </w:rPr>
        <w:t>提取各图层需在电子地图中表示的要素。以居民地图层要素为例，对有楼栋号的房屋进行了面转点处理，以便在电子地图上标注居民地楼栋号。</w:t>
      </w:r>
    </w:p>
    <w:p w14:paraId="771BC651">
      <w:pPr>
        <w:rPr>
          <w:rFonts w:hint="eastAsia"/>
          <w:lang w:val="en-US" w:eastAsia="zh-CN"/>
        </w:rPr>
      </w:pPr>
      <w:r>
        <w:rPr>
          <w:rFonts w:hint="eastAsia"/>
          <w:lang w:val="en-US" w:eastAsia="zh-CN"/>
        </w:rPr>
        <w:t>2）制图表达</w:t>
      </w:r>
    </w:p>
    <w:p w14:paraId="5C3A47D2">
      <w:pPr>
        <w:rPr>
          <w:rFonts w:hint="eastAsia"/>
          <w:lang w:val="en-US" w:eastAsia="zh-CN"/>
        </w:rPr>
      </w:pPr>
      <w:r>
        <w:rPr>
          <w:rFonts w:hint="eastAsia"/>
          <w:lang w:val="en-US" w:eastAsia="zh-CN"/>
        </w:rPr>
        <w:t>设置道路方向制图表达，并进行符号化处理。</w:t>
      </w:r>
    </w:p>
    <w:p w14:paraId="10ABD384">
      <w:pPr>
        <w:rPr>
          <w:rFonts w:hint="eastAsia"/>
          <w:lang w:val="en-US" w:eastAsia="zh-CN"/>
        </w:rPr>
      </w:pPr>
      <w:r>
        <w:rPr>
          <w:rFonts w:hint="eastAsia"/>
          <w:lang w:val="en-US" w:eastAsia="zh-CN"/>
        </w:rPr>
        <w:t>3）分类、分级</w:t>
      </w:r>
    </w:p>
    <w:p w14:paraId="5B385A91">
      <w:pPr>
        <w:rPr>
          <w:rFonts w:hint="eastAsia"/>
          <w:lang w:val="en-US" w:eastAsia="zh-CN"/>
        </w:rPr>
      </w:pPr>
      <w:r>
        <w:rPr>
          <w:rFonts w:hint="eastAsia"/>
          <w:lang w:val="en-US" w:eastAsia="zh-CN"/>
        </w:rPr>
        <w:t>道路图层要素分为高速、国道、省道、快速路、县乡道、乡村路、内部道路等多种类别，每一类道路在电子地图中的显示级别不同，设置不同类别道路在不同比例尺时的显示、标注。</w:t>
      </w:r>
    </w:p>
    <w:p w14:paraId="04F1D05A">
      <w:pPr>
        <w:rPr>
          <w:rFonts w:hint="eastAsia"/>
          <w:lang w:val="en-US" w:eastAsia="zh-CN"/>
        </w:rPr>
      </w:pPr>
      <w:r>
        <w:rPr>
          <w:rFonts w:hint="eastAsia"/>
          <w:lang w:val="en-US" w:eastAsia="zh-CN"/>
        </w:rPr>
        <w:t>4）属性规整</w:t>
      </w:r>
    </w:p>
    <w:p w14:paraId="1CC1B1D4">
      <w:pPr>
        <w:rPr>
          <w:rFonts w:hint="eastAsia"/>
          <w:lang w:val="en-US" w:eastAsia="zh-CN"/>
        </w:rPr>
      </w:pPr>
      <w:r>
        <w:rPr>
          <w:rFonts w:hint="eastAsia"/>
          <w:lang w:val="en-US" w:eastAsia="zh-CN"/>
        </w:rPr>
        <w:t>对在电子地图上表示的各类要素，进行了各项关键属性的修改整理。</w:t>
      </w:r>
    </w:p>
    <w:p w14:paraId="3F21A681">
      <w:pPr>
        <w:rPr>
          <w:rFonts w:hint="eastAsia"/>
          <w:lang w:val="en-US" w:eastAsia="zh-CN"/>
        </w:rPr>
      </w:pPr>
      <w:r>
        <w:rPr>
          <w:rFonts w:hint="eastAsia"/>
          <w:lang w:val="en-US" w:eastAsia="zh-CN"/>
        </w:rPr>
        <w:t>（2）POI要素处理</w:t>
      </w:r>
    </w:p>
    <w:p w14:paraId="000C44C8">
      <w:pPr>
        <w:rPr>
          <w:rFonts w:hint="eastAsia"/>
          <w:lang w:val="en-US" w:eastAsia="zh-CN"/>
        </w:rPr>
      </w:pPr>
      <w:r>
        <w:rPr>
          <w:rFonts w:hint="eastAsia"/>
          <w:lang w:val="en-US" w:eastAsia="zh-CN"/>
        </w:rPr>
        <w:t>1）要素分级</w:t>
      </w:r>
    </w:p>
    <w:p w14:paraId="0D22606C">
      <w:pPr>
        <w:rPr>
          <w:rFonts w:hint="eastAsia"/>
          <w:lang w:val="en-US" w:eastAsia="zh-CN"/>
        </w:rPr>
      </w:pPr>
      <w:r>
        <w:rPr>
          <w:rFonts w:hint="eastAsia"/>
          <w:lang w:val="en-US" w:eastAsia="zh-CN"/>
        </w:rPr>
        <w:t>参考《天地图电子地图符号与注记说明》，设置各类别POI要素显示级别。</w:t>
      </w:r>
    </w:p>
    <w:p w14:paraId="30B71B1F">
      <w:pPr>
        <w:rPr>
          <w:rFonts w:hint="eastAsia"/>
          <w:lang w:val="en-US" w:eastAsia="zh-CN"/>
        </w:rPr>
      </w:pPr>
      <w:r>
        <w:rPr>
          <w:rFonts w:hint="eastAsia"/>
          <w:lang w:val="en-US" w:eastAsia="zh-CN"/>
        </w:rPr>
        <w:t>2）属性规整</w:t>
      </w:r>
    </w:p>
    <w:p w14:paraId="5309F742">
      <w:pPr>
        <w:rPr>
          <w:rFonts w:hint="eastAsia"/>
          <w:lang w:val="en-US" w:eastAsia="zh-CN"/>
        </w:rPr>
      </w:pPr>
      <w:r>
        <w:rPr>
          <w:rFonts w:hint="eastAsia"/>
          <w:lang w:val="en-US" w:eastAsia="zh-CN"/>
        </w:rPr>
        <w:t>门、出入口类要素作为附属设施，其TYPE2018属性值与主体保持一致。</w:t>
      </w:r>
    </w:p>
    <w:p w14:paraId="11EF2961">
      <w:pPr>
        <w:rPr>
          <w:rFonts w:hint="eastAsia"/>
          <w:lang w:val="en-US" w:eastAsia="zh-CN"/>
        </w:rPr>
      </w:pPr>
      <w:r>
        <w:rPr>
          <w:rFonts w:hint="eastAsia"/>
          <w:lang w:val="en-US" w:eastAsia="zh-CN"/>
        </w:rPr>
        <w:t>3）同名点查重、空间位置重合处理</w:t>
      </w:r>
    </w:p>
    <w:p w14:paraId="6BB82DB5">
      <w:pPr>
        <w:rPr>
          <w:rFonts w:hint="eastAsia"/>
          <w:lang w:val="en-US" w:eastAsia="zh-CN"/>
        </w:rPr>
      </w:pPr>
      <w:r>
        <w:rPr>
          <w:rFonts w:hint="eastAsia"/>
          <w:lang w:val="en-US" w:eastAsia="zh-CN"/>
        </w:rPr>
        <w:t>利用自行开发的POI查重脚本工具，对除门、出入口类之外的POI要素按照200米的距离，进行同名点查重处理。</w:t>
      </w:r>
    </w:p>
    <w:p w14:paraId="16FFA8F7">
      <w:pPr>
        <w:rPr>
          <w:rFonts w:hint="eastAsia"/>
          <w:lang w:val="en-US" w:eastAsia="zh-CN"/>
        </w:rPr>
      </w:pPr>
      <w:r>
        <w:rPr>
          <w:rFonts w:hint="eastAsia"/>
          <w:lang w:val="en-US" w:eastAsia="zh-CN"/>
        </w:rPr>
        <w:t>3）点抽稀处理</w:t>
      </w:r>
    </w:p>
    <w:p w14:paraId="3C45ECD0">
      <w:pPr>
        <w:rPr>
          <w:rFonts w:hint="eastAsia"/>
          <w:lang w:val="en-US" w:eastAsia="zh-CN"/>
        </w:rPr>
      </w:pPr>
      <w:r>
        <w:rPr>
          <w:rFonts w:hint="eastAsia"/>
          <w:lang w:val="en-US" w:eastAsia="zh-CN"/>
        </w:rPr>
        <w:t>为避免一定比例尺下多个点重叠显示导致注记压盖，对不同比例尺范围标注的POI点，按照距离进行了抽稀处理。</w:t>
      </w:r>
    </w:p>
    <w:p w14:paraId="55EF556F">
      <w:pPr>
        <w:rPr>
          <w:rFonts w:hint="eastAsia"/>
          <w:lang w:val="en-US" w:eastAsia="zh-CN"/>
        </w:rPr>
      </w:pPr>
      <w:r>
        <w:rPr>
          <w:rFonts w:hint="eastAsia"/>
          <w:lang w:val="en-US" w:eastAsia="zh-CN"/>
        </w:rPr>
        <w:t>4）NAME标注简化、换行处理</w:t>
      </w:r>
    </w:p>
    <w:p w14:paraId="4D13890C">
      <w:pPr>
        <w:rPr>
          <w:rFonts w:hint="eastAsia"/>
          <w:lang w:val="en-US" w:eastAsia="zh-CN"/>
        </w:rPr>
      </w:pPr>
      <w:r>
        <w:rPr>
          <w:rFonts w:hint="eastAsia"/>
          <w:lang w:val="en-US" w:eastAsia="zh-CN"/>
        </w:rPr>
        <w:t>为避免标注文字过多造成互相压盖，对NAME字段长度超12的POI点，进行了NAME属性简化处理。</w:t>
      </w:r>
    </w:p>
    <w:p w14:paraId="648BE860">
      <w:pPr>
        <w:rPr>
          <w:rFonts w:hint="eastAsia"/>
          <w:lang w:val="en-US" w:eastAsia="zh-CN"/>
        </w:rPr>
      </w:pPr>
      <w:r>
        <w:rPr>
          <w:rFonts w:hint="eastAsia"/>
          <w:lang w:val="en-US" w:eastAsia="zh-CN"/>
        </w:rPr>
        <w:t>（3）电子地图配图</w:t>
      </w:r>
    </w:p>
    <w:p w14:paraId="574C5A96">
      <w:pPr>
        <w:rPr>
          <w:rFonts w:hint="eastAsia"/>
          <w:lang w:val="en-US" w:eastAsia="zh-CN"/>
        </w:rPr>
      </w:pPr>
      <w:r>
        <w:rPr>
          <w:rFonts w:hint="eastAsia"/>
          <w:lang w:val="en-US" w:eastAsia="zh-CN"/>
        </w:rPr>
        <w:t>1）数据提取分层</w:t>
      </w:r>
    </w:p>
    <w:p w14:paraId="4AA50101">
      <w:pPr>
        <w:rPr>
          <w:rFonts w:hint="eastAsia"/>
          <w:lang w:val="en-US" w:eastAsia="zh-CN"/>
        </w:rPr>
      </w:pPr>
      <w:r>
        <w:rPr>
          <w:rFonts w:hint="eastAsia"/>
          <w:lang w:val="en-US" w:eastAsia="zh-CN"/>
        </w:rPr>
        <w:t>依据CH/Z 9011-2011《地理信息公共服务平台电子地图数据规范》，从数据源中提取了在电子地图中显示的水系线、水系面、居民地及其附属设施、道路及其附属设施、境界与政区等要素，并将需要用不同符号表达的数据图层按照国标分类代码进行细分。如道路图层按照道路等级细分为：主要道路、匝道、县乡道、其他道路等，其中匝道又进一步细分为：高速匝道、快速路匝道、国道匝道、省道匝道、县乡道匝道。</w:t>
      </w:r>
    </w:p>
    <w:p w14:paraId="706AA0A6">
      <w:pPr>
        <w:rPr>
          <w:rFonts w:hint="eastAsia"/>
          <w:lang w:val="en-US" w:eastAsia="zh-CN"/>
        </w:rPr>
      </w:pPr>
      <w:r>
        <w:rPr>
          <w:rFonts w:hint="eastAsia"/>
          <w:lang w:val="en-US" w:eastAsia="zh-CN"/>
        </w:rPr>
        <w:t>2）压盖处理</w:t>
      </w:r>
    </w:p>
    <w:p w14:paraId="4738A424">
      <w:pPr>
        <w:rPr>
          <w:rFonts w:hint="eastAsia"/>
          <w:lang w:val="en-US" w:eastAsia="zh-CN"/>
        </w:rPr>
      </w:pPr>
      <w:r>
        <w:rPr>
          <w:rFonts w:hint="eastAsia"/>
          <w:lang w:val="en-US" w:eastAsia="zh-CN"/>
        </w:rPr>
        <w:t>设置不同图层的压盖顺序，包括各图层之间以及同一图层内不同类别要素之间的压盖顺序。</w:t>
      </w:r>
    </w:p>
    <w:p w14:paraId="6FE48276">
      <w:pPr>
        <w:rPr>
          <w:rFonts w:hint="eastAsia"/>
          <w:lang w:val="en-US" w:eastAsia="zh-CN"/>
        </w:rPr>
      </w:pPr>
      <w:r>
        <w:rPr>
          <w:rFonts w:hint="eastAsia"/>
          <w:lang w:val="en-US" w:eastAsia="zh-CN"/>
        </w:rPr>
        <w:t>3）注记配置</w:t>
      </w:r>
    </w:p>
    <w:p w14:paraId="0C84C978">
      <w:pPr>
        <w:rPr>
          <w:rFonts w:hint="eastAsia"/>
          <w:lang w:val="en-US" w:eastAsia="zh-CN"/>
        </w:rPr>
      </w:pPr>
      <w:r>
        <w:rPr>
          <w:rFonts w:hint="eastAsia"/>
          <w:lang w:val="en-US" w:eastAsia="zh-CN"/>
        </w:rPr>
        <w:t>按照《天地图电子地图符号与注记说明》附录B 矢量地图符号与注记，进行注记字段、字体、颜色、大小、方向等设置。</w:t>
      </w:r>
    </w:p>
    <w:p w14:paraId="56875240">
      <w:pPr>
        <w:rPr>
          <w:rFonts w:hint="eastAsia"/>
          <w:lang w:val="en-US" w:eastAsia="zh-CN"/>
        </w:rPr>
      </w:pPr>
      <w:r>
        <w:rPr>
          <w:rFonts w:hint="eastAsia"/>
          <w:lang w:val="en-US" w:eastAsia="zh-CN"/>
        </w:rPr>
        <w:t>4）符号表达</w:t>
      </w:r>
    </w:p>
    <w:p w14:paraId="295F0978">
      <w:pPr>
        <w:rPr>
          <w:rFonts w:hint="eastAsia"/>
          <w:lang w:val="en-US" w:eastAsia="zh-CN"/>
        </w:rPr>
      </w:pPr>
      <w:r>
        <w:rPr>
          <w:rFonts w:hint="eastAsia"/>
          <w:lang w:val="en-US" w:eastAsia="zh-CN"/>
        </w:rPr>
        <w:t>针对不同图层、同一图层内不同类别要素，设置不同的样式符号。</w:t>
      </w:r>
    </w:p>
    <w:p w14:paraId="32682CB1">
      <w:pPr>
        <w:rPr>
          <w:rFonts w:hint="eastAsia"/>
          <w:lang w:val="en-US" w:eastAsia="zh-CN"/>
        </w:rPr>
      </w:pPr>
      <w:r>
        <w:rPr>
          <w:rFonts w:hint="eastAsia"/>
          <w:lang w:val="en-US" w:eastAsia="zh-CN"/>
        </w:rPr>
        <w:t>5）制图分级</w:t>
      </w:r>
    </w:p>
    <w:p w14:paraId="75F303E0">
      <w:pPr>
        <w:rPr>
          <w:rFonts w:hint="eastAsia"/>
          <w:lang w:val="en-US" w:eastAsia="zh-CN"/>
        </w:rPr>
      </w:pPr>
      <w:r>
        <w:rPr>
          <w:rFonts w:hint="eastAsia"/>
          <w:lang w:val="en-US" w:eastAsia="zh-CN"/>
        </w:rPr>
        <w:t>建立数据图层与制图图层之间的对照关系，如制图图层中的“居民地附属设施面_体育场”图层，对应着数据图层中的RFCA、RFCL以及RFCL转面后所得图层。</w:t>
      </w:r>
    </w:p>
    <w:p w14:paraId="1B39756A">
      <w:pPr>
        <w:rPr>
          <w:rFonts w:hint="eastAsia"/>
          <w:lang w:val="en-US" w:eastAsia="zh-CN"/>
        </w:rPr>
      </w:pPr>
      <w:r>
        <w:rPr>
          <w:rFonts w:hint="eastAsia"/>
          <w:lang w:val="en-US" w:eastAsia="zh-CN"/>
        </w:rPr>
        <w:t>6）图面表达</w:t>
      </w:r>
    </w:p>
    <w:p w14:paraId="1CAD1905">
      <w:pPr>
        <w:rPr>
          <w:rFonts w:hint="eastAsia"/>
          <w:lang w:val="en-US" w:eastAsia="zh-CN"/>
        </w:rPr>
      </w:pPr>
      <w:r>
        <w:rPr>
          <w:rFonts w:hint="eastAsia"/>
          <w:lang w:val="en-US" w:eastAsia="zh-CN"/>
        </w:rPr>
        <w:t>在图面表现上按照固定信息量的原则，设置不同级别比例尺下图面应显示的不同要素内容。</w:t>
      </w:r>
    </w:p>
    <w:p w14:paraId="136C4134">
      <w:pPr>
        <w:rPr>
          <w:rFonts w:hint="default"/>
          <w:lang w:val="en-US" w:eastAsia="zh-CN"/>
        </w:rPr>
      </w:pPr>
      <w:r>
        <w:rPr>
          <w:rFonts w:hint="eastAsia"/>
          <w:lang w:val="en-US" w:eastAsia="zh-CN"/>
        </w:rPr>
        <w:t>（5）缓存压制：按照CH/Z 9011-2011《地理信息公共服务平台电子地图数据规范》规定，制作地图缓存。</w:t>
      </w:r>
    </w:p>
    <w:p w14:paraId="3E104DB1">
      <w:pPr>
        <w:rPr>
          <w:rFonts w:hint="eastAsia"/>
          <w:lang w:val="en-US" w:eastAsia="zh-CN"/>
        </w:rPr>
      </w:pPr>
      <w:r>
        <w:rPr>
          <w:rFonts w:hint="eastAsia"/>
          <w:lang w:val="en-US" w:eastAsia="zh-CN"/>
        </w:rPr>
        <w:t>根据沛县自然资源和规划局提供的影像数据，根据</w:t>
      </w:r>
      <w:r>
        <w:rPr>
          <w:rFonts w:hint="default"/>
          <w:lang w:val="en-US" w:eastAsia="zh-CN"/>
        </w:rPr>
        <w:t>GB/T 35764-2017《公开地图内容表示要求》，重采样降低分辨率</w:t>
      </w:r>
      <w:r>
        <w:rPr>
          <w:rFonts w:hint="eastAsia"/>
          <w:lang w:val="en-US" w:eastAsia="zh-CN"/>
        </w:rPr>
        <w:t>，</w:t>
      </w:r>
      <w:r>
        <w:rPr>
          <w:rFonts w:hint="default"/>
          <w:lang w:val="en-US" w:eastAsia="zh-CN"/>
        </w:rPr>
        <w:t>制作影像电子地图。</w:t>
      </w:r>
    </w:p>
    <w:p w14:paraId="54F69117">
      <w:pPr>
        <w:rPr>
          <w:rFonts w:hint="eastAsia"/>
          <w:lang w:val="en-US" w:eastAsia="zh-CN"/>
        </w:rPr>
      </w:pPr>
      <w:r>
        <w:rPr>
          <w:rFonts w:hint="eastAsia"/>
          <w:lang w:val="en-US" w:eastAsia="zh-CN"/>
        </w:rPr>
        <w:t>2.7 “天地图·沛县”数据融合</w:t>
      </w:r>
    </w:p>
    <w:p w14:paraId="56AD31DF">
      <w:pPr>
        <w:rPr>
          <w:rFonts w:hint="default"/>
          <w:lang w:val="en-US" w:eastAsia="zh-CN"/>
        </w:rPr>
      </w:pPr>
      <w:r>
        <w:rPr>
          <w:rFonts w:hint="eastAsia"/>
          <w:lang w:val="en-US" w:eastAsia="zh-CN"/>
        </w:rPr>
        <w:t>在上述作业环境下开展2025年度“天地图·沛县”数据更新工作及202</w:t>
      </w:r>
      <w:r>
        <w:rPr>
          <w:rFonts w:hint="default"/>
          <w:lang w:val="en-US" w:eastAsia="zh-CN"/>
        </w:rPr>
        <w:t>4</w:t>
      </w:r>
      <w:r>
        <w:rPr>
          <w:rFonts w:hint="eastAsia"/>
          <w:lang w:val="en-US" w:eastAsia="zh-CN"/>
        </w:rPr>
        <w:t>年至202</w:t>
      </w:r>
      <w:r>
        <w:rPr>
          <w:rFonts w:hint="default"/>
          <w:lang w:val="en-US" w:eastAsia="zh-CN"/>
        </w:rPr>
        <w:t>5</w:t>
      </w:r>
      <w:r>
        <w:rPr>
          <w:rFonts w:hint="eastAsia"/>
          <w:lang w:val="en-US" w:eastAsia="zh-CN"/>
        </w:rPr>
        <w:t>年数据融合工作，数据融合更新内容主要包括矢量、地名地址与兴趣点两类基础数据，共计27个图层。融合技术路线如图2所示。</w:t>
      </w:r>
    </w:p>
    <w:p w14:paraId="41A19C33">
      <w:pPr>
        <w:rPr>
          <w:rFonts w:hint="default"/>
        </w:rPr>
      </w:pPr>
      <w:r>
        <w:rPr>
          <w:rFonts w:hint="default"/>
        </w:rPr>
        <w:object>
          <v:shape id="_x0000_i1025" o:spt="75" type="#_x0000_t75" style="height:516pt;width:417.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r>
        <w:rPr>
          <w:rFonts w:hint="default"/>
        </w:rPr>
        <w:t>图 2省市县数据融合技术路线</w:t>
      </w:r>
    </w:p>
    <w:p w14:paraId="1207443B">
      <w:pPr>
        <w:rPr>
          <w:rFonts w:hint="default"/>
          <w:lang w:val="en-US" w:eastAsia="zh-CN"/>
        </w:rPr>
      </w:pPr>
      <w:r>
        <w:rPr>
          <w:rFonts w:hint="default"/>
          <w:lang w:val="en-US" w:eastAsia="zh-CN"/>
        </w:rPr>
        <w:t>各类数据的整合方法如下：</w:t>
      </w:r>
    </w:p>
    <w:p w14:paraId="0DB6E9FA">
      <w:pPr>
        <w:rPr>
          <w:rFonts w:hint="default"/>
          <w:lang w:val="en-US" w:eastAsia="zh-CN"/>
        </w:rPr>
      </w:pPr>
      <w:r>
        <w:rPr>
          <w:rFonts w:hint="eastAsia"/>
          <w:lang w:val="en-US" w:eastAsia="zh-CN"/>
        </w:rPr>
        <w:t>（1）</w:t>
      </w:r>
      <w:r>
        <w:rPr>
          <w:rFonts w:hint="default"/>
          <w:lang w:val="en-US" w:eastAsia="zh-CN"/>
        </w:rPr>
        <w:t>道路数据</w:t>
      </w:r>
    </w:p>
    <w:p w14:paraId="53C4DD1B">
      <w:pPr>
        <w:rPr>
          <w:rFonts w:hint="default"/>
          <w:lang w:val="en-US" w:eastAsia="zh-CN"/>
        </w:rPr>
      </w:pPr>
      <w:r>
        <w:rPr>
          <w:rFonts w:hint="default"/>
          <w:lang w:val="en-US" w:eastAsia="zh-CN"/>
        </w:rPr>
        <w:t>“天地图·江苏”省级道路数据采用导航路网模型，以道路中心线或车道中心线表达，若车道由物理隔离带分开，按照双线进行表达。道路数据融合时，应整体沿用“天地图·江苏”省级道路数据，保持导航路网结构，重点利用“天地图·沛县”18-20级电子地图数据做好道路的增补更新、平面位置的修正、路名等信息的完善，并注意处理增补道路的表达形态，正确区分上、下行线路。</w:t>
      </w:r>
    </w:p>
    <w:p w14:paraId="67CFFF8A">
      <w:pPr>
        <w:rPr>
          <w:rFonts w:hint="default"/>
          <w:lang w:val="en-US" w:eastAsia="zh-CN"/>
        </w:rPr>
      </w:pPr>
      <w:r>
        <w:rPr>
          <w:rFonts w:hint="eastAsia"/>
          <w:lang w:val="en-US" w:eastAsia="zh-CN"/>
        </w:rPr>
        <w:t>（2）</w:t>
      </w:r>
      <w:r>
        <w:rPr>
          <w:rFonts w:hint="default"/>
          <w:lang w:val="en-US" w:eastAsia="zh-CN"/>
        </w:rPr>
        <w:t>房屋及附属设施数据</w:t>
      </w:r>
    </w:p>
    <w:p w14:paraId="39515762">
      <w:pPr>
        <w:rPr>
          <w:rFonts w:hint="default"/>
          <w:lang w:val="en-US" w:eastAsia="zh-CN"/>
        </w:rPr>
      </w:pPr>
      <w:r>
        <w:rPr>
          <w:rFonts w:hint="default"/>
          <w:lang w:val="en-US" w:eastAsia="zh-CN"/>
        </w:rPr>
        <w:t>融合时整体沿用“天地图·沛县”18-20级电子地图数据，重点利用“天地图·江苏”省级数据做好图形与属性的增补。“天地图·江苏”省级数据库中未被采用的要素，进行逻辑删除。</w:t>
      </w:r>
    </w:p>
    <w:p w14:paraId="47C57541">
      <w:pPr>
        <w:rPr>
          <w:rFonts w:hint="default"/>
          <w:lang w:val="en-US" w:eastAsia="zh-CN"/>
        </w:rPr>
      </w:pPr>
      <w:r>
        <w:rPr>
          <w:rFonts w:hint="eastAsia"/>
          <w:lang w:val="en-US" w:eastAsia="zh-CN"/>
        </w:rPr>
        <w:t>（3）</w:t>
      </w:r>
      <w:r>
        <w:rPr>
          <w:rFonts w:hint="default"/>
          <w:lang w:val="en-US" w:eastAsia="zh-CN"/>
        </w:rPr>
        <w:t>水系与绿地数据</w:t>
      </w:r>
    </w:p>
    <w:p w14:paraId="5508DA93">
      <w:pPr>
        <w:rPr>
          <w:rFonts w:hint="default"/>
          <w:lang w:val="en-US" w:eastAsia="zh-CN"/>
        </w:rPr>
      </w:pPr>
      <w:r>
        <w:rPr>
          <w:rFonts w:hint="default"/>
          <w:lang w:val="en-US" w:eastAsia="zh-CN"/>
        </w:rPr>
        <w:t>从“天地图·沛县”18-20级电子地图水系、绿地数据和“天地图·江苏”省级数据中择优选用精细度较高的数据作为融合基础，并利用其它数据做好要素的增补。</w:t>
      </w:r>
    </w:p>
    <w:p w14:paraId="0E0E9721">
      <w:pPr>
        <w:rPr>
          <w:rFonts w:hint="default"/>
          <w:lang w:val="en-US" w:eastAsia="zh-CN"/>
        </w:rPr>
      </w:pPr>
      <w:r>
        <w:rPr>
          <w:rFonts w:hint="eastAsia"/>
          <w:lang w:val="en-US" w:eastAsia="zh-CN"/>
        </w:rPr>
        <w:t>（4）</w:t>
      </w:r>
      <w:r>
        <w:rPr>
          <w:rFonts w:hint="default"/>
          <w:lang w:val="en-US" w:eastAsia="zh-CN"/>
        </w:rPr>
        <w:t>境界与政区</w:t>
      </w:r>
    </w:p>
    <w:p w14:paraId="6B7975D2">
      <w:pPr>
        <w:rPr>
          <w:rFonts w:hint="default"/>
          <w:lang w:val="en-US" w:eastAsia="zh-CN"/>
        </w:rPr>
      </w:pPr>
      <w:r>
        <w:rPr>
          <w:rFonts w:hint="default"/>
          <w:lang w:val="en-US" w:eastAsia="zh-CN"/>
        </w:rPr>
        <w:t>境界与政区的融合方法同水系数据，整体采用精细度更高的数据源。</w:t>
      </w:r>
    </w:p>
    <w:p w14:paraId="7B162B11">
      <w:pPr>
        <w:rPr>
          <w:rFonts w:hint="default"/>
          <w:lang w:val="en-US" w:eastAsia="zh-CN"/>
        </w:rPr>
      </w:pPr>
      <w:r>
        <w:rPr>
          <w:rFonts w:hint="eastAsia"/>
          <w:lang w:val="en-US" w:eastAsia="zh-CN"/>
        </w:rPr>
        <w:t>（5）</w:t>
      </w:r>
      <w:r>
        <w:rPr>
          <w:rFonts w:hint="default"/>
          <w:lang w:val="en-US" w:eastAsia="zh-CN"/>
        </w:rPr>
        <w:t>POI数据</w:t>
      </w:r>
    </w:p>
    <w:p w14:paraId="749DE602">
      <w:pPr>
        <w:rPr>
          <w:rFonts w:hint="default"/>
          <w:lang w:val="en-US" w:eastAsia="zh-CN"/>
        </w:rPr>
      </w:pPr>
      <w:r>
        <w:rPr>
          <w:rFonts w:hint="default"/>
          <w:lang w:val="en-US" w:eastAsia="zh-CN"/>
        </w:rPr>
        <w:t>整体沿用“天地图·江苏”省级数据，重点利用“天地图·沛县”18-20级电子地图数据做好POI的增补更新、平面位置的修正、属性信息的完善等。</w:t>
      </w:r>
    </w:p>
    <w:p w14:paraId="283F4D3E">
      <w:pPr>
        <w:rPr>
          <w:rFonts w:hint="default"/>
          <w:lang w:val="en-US" w:eastAsia="zh-CN"/>
        </w:rPr>
      </w:pPr>
      <w:r>
        <w:rPr>
          <w:rFonts w:hint="eastAsia"/>
          <w:lang w:val="en-US" w:eastAsia="zh-CN"/>
        </w:rPr>
        <w:t>成果分层与具体内容见表1。更新成果分批分专题提交，数据包括建成区房屋专题、政务兴趣点专题、政务兴趣面专题、年度更新成果、季度更新成果。</w:t>
      </w:r>
    </w:p>
    <w:p w14:paraId="46DCD723">
      <w:pPr>
        <w:rPr>
          <w:rFonts w:hint="default"/>
        </w:rPr>
      </w:pPr>
      <w:r>
        <w:rPr>
          <w:rFonts w:hint="eastAsia"/>
        </w:rPr>
        <w:t>表1成果分层与具体内容</w:t>
      </w:r>
    </w:p>
    <w:tbl>
      <w:tblPr>
        <w:tblStyle w:val="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039"/>
        <w:gridCol w:w="1373"/>
        <w:gridCol w:w="2730"/>
        <w:gridCol w:w="2650"/>
      </w:tblGrid>
      <w:tr w14:paraId="6FBF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425" w:type="pct"/>
            <w:shd w:val="clear" w:color="auto" w:fill="BFBFBF"/>
            <w:vAlign w:val="center"/>
          </w:tcPr>
          <w:p w14:paraId="6CB63B0A">
            <w:pPr>
              <w:rPr>
                <w:rFonts w:hint="default"/>
              </w:rPr>
            </w:pPr>
            <w:r>
              <w:rPr>
                <w:rFonts w:hint="default"/>
              </w:rPr>
              <w:t>类别</w:t>
            </w:r>
          </w:p>
        </w:tc>
        <w:tc>
          <w:tcPr>
            <w:tcW w:w="610" w:type="pct"/>
            <w:shd w:val="clear" w:color="auto" w:fill="BFBFBF"/>
            <w:vAlign w:val="center"/>
          </w:tcPr>
          <w:p w14:paraId="459A6DB3">
            <w:pPr>
              <w:rPr>
                <w:rFonts w:hint="default"/>
              </w:rPr>
            </w:pPr>
            <w:r>
              <w:rPr>
                <w:rFonts w:hint="default"/>
              </w:rPr>
              <w:t>数据层</w:t>
            </w:r>
          </w:p>
        </w:tc>
        <w:tc>
          <w:tcPr>
            <w:tcW w:w="806" w:type="pct"/>
            <w:shd w:val="clear" w:color="auto" w:fill="BFBFBF"/>
            <w:vAlign w:val="center"/>
          </w:tcPr>
          <w:p w14:paraId="0832241C">
            <w:pPr>
              <w:rPr>
                <w:rFonts w:hint="default"/>
              </w:rPr>
            </w:pPr>
            <w:r>
              <w:rPr>
                <w:rFonts w:hint="default"/>
              </w:rPr>
              <w:t>数据层标识</w:t>
            </w:r>
          </w:p>
        </w:tc>
        <w:tc>
          <w:tcPr>
            <w:tcW w:w="1603" w:type="pct"/>
            <w:shd w:val="clear" w:color="auto" w:fill="BFBFBF"/>
            <w:vAlign w:val="center"/>
          </w:tcPr>
          <w:p w14:paraId="159395CE">
            <w:pPr>
              <w:rPr>
                <w:rFonts w:hint="default"/>
              </w:rPr>
            </w:pPr>
            <w:r>
              <w:rPr>
                <w:rFonts w:hint="default"/>
              </w:rPr>
              <w:t>数据内容（必做）</w:t>
            </w:r>
          </w:p>
        </w:tc>
        <w:tc>
          <w:tcPr>
            <w:tcW w:w="1557" w:type="pct"/>
            <w:shd w:val="clear" w:color="auto" w:fill="BFBFBF"/>
            <w:vAlign w:val="center"/>
          </w:tcPr>
          <w:p w14:paraId="6844A387">
            <w:pPr>
              <w:rPr>
                <w:rFonts w:hint="default"/>
              </w:rPr>
            </w:pPr>
            <w:r>
              <w:rPr>
                <w:rFonts w:hint="default"/>
              </w:rPr>
              <w:t>数据内容（选做）</w:t>
            </w:r>
          </w:p>
        </w:tc>
      </w:tr>
      <w:tr w14:paraId="136B6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restart"/>
            <w:vAlign w:val="center"/>
          </w:tcPr>
          <w:p w14:paraId="3D936495">
            <w:pPr>
              <w:rPr>
                <w:rFonts w:hint="default"/>
              </w:rPr>
            </w:pPr>
            <w:r>
              <w:rPr>
                <w:rFonts w:hint="default"/>
              </w:rPr>
              <w:t>矢量数据</w:t>
            </w:r>
          </w:p>
        </w:tc>
        <w:tc>
          <w:tcPr>
            <w:tcW w:w="610" w:type="pct"/>
            <w:vAlign w:val="center"/>
          </w:tcPr>
          <w:p w14:paraId="112F536E">
            <w:pPr>
              <w:rPr>
                <w:rFonts w:hint="default"/>
              </w:rPr>
            </w:pPr>
            <w:r>
              <w:rPr>
                <w:rFonts w:hint="default"/>
              </w:rPr>
              <w:t>道路(线)</w:t>
            </w:r>
          </w:p>
        </w:tc>
        <w:tc>
          <w:tcPr>
            <w:tcW w:w="806" w:type="pct"/>
            <w:vAlign w:val="center"/>
          </w:tcPr>
          <w:p w14:paraId="4146E3B1">
            <w:pPr>
              <w:rPr>
                <w:rFonts w:hint="default"/>
              </w:rPr>
            </w:pPr>
            <w:r>
              <w:rPr>
                <w:rFonts w:hint="default"/>
              </w:rPr>
              <w:t>ROALN</w:t>
            </w:r>
          </w:p>
        </w:tc>
        <w:tc>
          <w:tcPr>
            <w:tcW w:w="1603" w:type="pct"/>
            <w:vAlign w:val="center"/>
          </w:tcPr>
          <w:p w14:paraId="786441C3">
            <w:pPr>
              <w:rPr>
                <w:rFonts w:hint="default"/>
              </w:rPr>
            </w:pPr>
            <w:r>
              <w:rPr>
                <w:rFonts w:hint="default"/>
              </w:rPr>
              <w:t>高速公路、国道、省道、县道、乡道、主干道、次干道、快速路、高架路、引道、支线、内部道路、隧道、专用公路、其他公路、匝道、机耕路、乡村路、具有与外界唯一相通作用的小路</w:t>
            </w:r>
          </w:p>
        </w:tc>
        <w:tc>
          <w:tcPr>
            <w:tcW w:w="1557" w:type="pct"/>
            <w:vAlign w:val="center"/>
          </w:tcPr>
          <w:p w14:paraId="026A56C0">
            <w:pPr>
              <w:rPr>
                <w:rFonts w:hint="default"/>
              </w:rPr>
            </w:pPr>
            <w:r>
              <w:rPr>
                <w:rFonts w:hint="default"/>
              </w:rPr>
              <w:t>栈道、阶梯人行路、休闲人行路、时令路、不具有与外界唯一相通作用的小路</w:t>
            </w:r>
          </w:p>
        </w:tc>
      </w:tr>
      <w:tr w14:paraId="482A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vAlign w:val="center"/>
          </w:tcPr>
          <w:p w14:paraId="4D58FB31">
            <w:pPr>
              <w:rPr>
                <w:rFonts w:hint="default"/>
              </w:rPr>
            </w:pPr>
          </w:p>
        </w:tc>
        <w:tc>
          <w:tcPr>
            <w:tcW w:w="610" w:type="pct"/>
            <w:vAlign w:val="center"/>
          </w:tcPr>
          <w:p w14:paraId="1FDE40C2">
            <w:pPr>
              <w:rPr>
                <w:rFonts w:hint="default"/>
              </w:rPr>
            </w:pPr>
            <w:r>
              <w:rPr>
                <w:rFonts w:hint="default"/>
              </w:rPr>
              <w:t>道路附属设施（点）</w:t>
            </w:r>
          </w:p>
        </w:tc>
        <w:tc>
          <w:tcPr>
            <w:tcW w:w="806" w:type="pct"/>
            <w:vAlign w:val="center"/>
          </w:tcPr>
          <w:p w14:paraId="255980B1">
            <w:pPr>
              <w:rPr>
                <w:rFonts w:hint="default"/>
              </w:rPr>
            </w:pPr>
            <w:r>
              <w:rPr>
                <w:rFonts w:hint="default"/>
              </w:rPr>
              <w:t>LFCP</w:t>
            </w:r>
          </w:p>
        </w:tc>
        <w:tc>
          <w:tcPr>
            <w:tcW w:w="1603" w:type="pct"/>
            <w:vAlign w:val="center"/>
          </w:tcPr>
          <w:p w14:paraId="2C423C75">
            <w:pPr>
              <w:rPr>
                <w:rFonts w:hint="default"/>
              </w:rPr>
            </w:pPr>
            <w:r>
              <w:rPr>
                <w:rFonts w:hint="default"/>
              </w:rPr>
              <w:t>火车站、民用机场、高速服务区</w:t>
            </w:r>
          </w:p>
        </w:tc>
        <w:tc>
          <w:tcPr>
            <w:tcW w:w="1557" w:type="pct"/>
            <w:vAlign w:val="center"/>
          </w:tcPr>
          <w:p w14:paraId="0B84CBF4">
            <w:pPr>
              <w:rPr>
                <w:rFonts w:hint="default"/>
              </w:rPr>
            </w:pPr>
            <w:r>
              <w:rPr>
                <w:rFonts w:hint="default"/>
              </w:rPr>
              <w:t>长途汽车站、公交站、信号灯、停车场、收费站、加油站、高速公路入口、高速公路出口、小桥</w:t>
            </w:r>
          </w:p>
        </w:tc>
      </w:tr>
      <w:tr w14:paraId="6160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vAlign w:val="center"/>
          </w:tcPr>
          <w:p w14:paraId="50120BBF">
            <w:pPr>
              <w:rPr>
                <w:rFonts w:hint="default"/>
              </w:rPr>
            </w:pPr>
          </w:p>
        </w:tc>
        <w:tc>
          <w:tcPr>
            <w:tcW w:w="610" w:type="pct"/>
            <w:vAlign w:val="center"/>
          </w:tcPr>
          <w:p w14:paraId="34306576">
            <w:pPr>
              <w:rPr>
                <w:rFonts w:hint="default"/>
              </w:rPr>
            </w:pPr>
            <w:r>
              <w:rPr>
                <w:rFonts w:hint="default"/>
              </w:rPr>
              <w:t>道路附属设施（线）</w:t>
            </w:r>
          </w:p>
        </w:tc>
        <w:tc>
          <w:tcPr>
            <w:tcW w:w="806" w:type="pct"/>
            <w:vAlign w:val="center"/>
          </w:tcPr>
          <w:p w14:paraId="6AEC19AB">
            <w:pPr>
              <w:rPr>
                <w:rFonts w:hint="default"/>
              </w:rPr>
            </w:pPr>
            <w:r>
              <w:rPr>
                <w:rFonts w:hint="default"/>
              </w:rPr>
              <w:t>LFCL</w:t>
            </w:r>
          </w:p>
        </w:tc>
        <w:tc>
          <w:tcPr>
            <w:tcW w:w="1603" w:type="pct"/>
            <w:vAlign w:val="center"/>
          </w:tcPr>
          <w:p w14:paraId="16C2F83E">
            <w:pPr>
              <w:rPr>
                <w:rFonts w:hint="default"/>
              </w:rPr>
            </w:pPr>
            <w:r>
              <w:rPr>
                <w:rFonts w:hint="default"/>
              </w:rPr>
              <w:t>-</w:t>
            </w:r>
          </w:p>
        </w:tc>
        <w:tc>
          <w:tcPr>
            <w:tcW w:w="1557" w:type="pct"/>
            <w:vAlign w:val="center"/>
          </w:tcPr>
          <w:p w14:paraId="34E985C1">
            <w:pPr>
              <w:rPr>
                <w:rFonts w:hint="default"/>
              </w:rPr>
            </w:pPr>
            <w:r>
              <w:rPr>
                <w:rFonts w:hint="default"/>
              </w:rPr>
              <w:t>火车渡、汽车渡、人渡、级面桥、人形拱桥、人行桥、栈桥、缆索桥、亭桥、廊桥、过河缆</w:t>
            </w:r>
          </w:p>
        </w:tc>
      </w:tr>
      <w:tr w14:paraId="43F8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vAlign w:val="center"/>
          </w:tcPr>
          <w:p w14:paraId="3AA26297">
            <w:pPr>
              <w:rPr>
                <w:rFonts w:hint="default"/>
              </w:rPr>
            </w:pPr>
          </w:p>
        </w:tc>
        <w:tc>
          <w:tcPr>
            <w:tcW w:w="610" w:type="pct"/>
            <w:vAlign w:val="center"/>
          </w:tcPr>
          <w:p w14:paraId="3296BC36">
            <w:pPr>
              <w:rPr>
                <w:rFonts w:hint="default"/>
              </w:rPr>
            </w:pPr>
            <w:r>
              <w:rPr>
                <w:rFonts w:hint="default"/>
              </w:rPr>
              <w:t>道路附属设施（面）</w:t>
            </w:r>
          </w:p>
        </w:tc>
        <w:tc>
          <w:tcPr>
            <w:tcW w:w="806" w:type="pct"/>
            <w:vAlign w:val="center"/>
          </w:tcPr>
          <w:p w14:paraId="5DEF5F8C">
            <w:pPr>
              <w:rPr>
                <w:rFonts w:hint="default"/>
              </w:rPr>
            </w:pPr>
            <w:r>
              <w:rPr>
                <w:rFonts w:hint="default"/>
              </w:rPr>
              <w:t>LFCA</w:t>
            </w:r>
          </w:p>
        </w:tc>
        <w:tc>
          <w:tcPr>
            <w:tcW w:w="1603" w:type="pct"/>
            <w:vAlign w:val="center"/>
          </w:tcPr>
          <w:p w14:paraId="13A0ACAD">
            <w:pPr>
              <w:rPr>
                <w:rFonts w:hint="default"/>
              </w:rPr>
            </w:pPr>
            <w:r>
              <w:rPr>
                <w:rFonts w:hint="default"/>
              </w:rPr>
              <w:t>特大桥、大桥、中桥、快速路与城市主次干道上方的过街天桥</w:t>
            </w:r>
          </w:p>
        </w:tc>
        <w:tc>
          <w:tcPr>
            <w:tcW w:w="1557" w:type="pct"/>
            <w:vAlign w:val="center"/>
          </w:tcPr>
          <w:p w14:paraId="06DC344A">
            <w:pPr>
              <w:rPr>
                <w:rFonts w:hint="default"/>
              </w:rPr>
            </w:pPr>
            <w:r>
              <w:rPr>
                <w:rFonts w:hint="default"/>
              </w:rPr>
              <w:t>栈桥、缆索桥、亭桥、廊桥、立体停车场、过街天桥、地下人行通道</w:t>
            </w:r>
          </w:p>
        </w:tc>
      </w:tr>
      <w:tr w14:paraId="7624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7EDDDFA1">
            <w:pPr>
              <w:rPr>
                <w:rFonts w:hint="default"/>
              </w:rPr>
            </w:pPr>
          </w:p>
        </w:tc>
        <w:tc>
          <w:tcPr>
            <w:tcW w:w="610" w:type="pct"/>
            <w:vAlign w:val="center"/>
          </w:tcPr>
          <w:p w14:paraId="7B6E3DC6">
            <w:pPr>
              <w:rPr>
                <w:rFonts w:hint="default"/>
              </w:rPr>
            </w:pPr>
            <w:r>
              <w:rPr>
                <w:rFonts w:hint="default"/>
              </w:rPr>
              <w:t>铁路(线)</w:t>
            </w:r>
          </w:p>
        </w:tc>
        <w:tc>
          <w:tcPr>
            <w:tcW w:w="806" w:type="pct"/>
            <w:vAlign w:val="center"/>
          </w:tcPr>
          <w:p w14:paraId="406FA4BE">
            <w:pPr>
              <w:rPr>
                <w:rFonts w:hint="default"/>
              </w:rPr>
            </w:pPr>
            <w:r>
              <w:rPr>
                <w:rFonts w:hint="default"/>
              </w:rPr>
              <w:t>RAILN</w:t>
            </w:r>
          </w:p>
        </w:tc>
        <w:tc>
          <w:tcPr>
            <w:tcW w:w="1603" w:type="pct"/>
            <w:vAlign w:val="center"/>
          </w:tcPr>
          <w:p w14:paraId="391437C3">
            <w:pPr>
              <w:rPr>
                <w:rFonts w:hint="default"/>
              </w:rPr>
            </w:pPr>
            <w:r>
              <w:rPr>
                <w:rFonts w:hint="default"/>
              </w:rPr>
              <w:t>高速铁路、普通铁路</w:t>
            </w:r>
          </w:p>
        </w:tc>
        <w:tc>
          <w:tcPr>
            <w:tcW w:w="1557" w:type="pct"/>
            <w:vAlign w:val="center"/>
          </w:tcPr>
          <w:p w14:paraId="5FD66865">
            <w:pPr>
              <w:rPr>
                <w:rFonts w:hint="default"/>
              </w:rPr>
            </w:pPr>
            <w:r>
              <w:rPr>
                <w:rFonts w:hint="default"/>
              </w:rPr>
              <w:t>-</w:t>
            </w:r>
          </w:p>
        </w:tc>
      </w:tr>
      <w:tr w14:paraId="5DE4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18BF77C3">
            <w:pPr>
              <w:rPr>
                <w:rFonts w:hint="default"/>
              </w:rPr>
            </w:pPr>
          </w:p>
        </w:tc>
        <w:tc>
          <w:tcPr>
            <w:tcW w:w="610" w:type="pct"/>
            <w:vAlign w:val="center"/>
          </w:tcPr>
          <w:p w14:paraId="76C22164">
            <w:pPr>
              <w:rPr>
                <w:rFonts w:hint="default"/>
              </w:rPr>
            </w:pPr>
            <w:r>
              <w:rPr>
                <w:rFonts w:hint="default"/>
              </w:rPr>
              <w:t>地铁(线)</w:t>
            </w:r>
          </w:p>
        </w:tc>
        <w:tc>
          <w:tcPr>
            <w:tcW w:w="806" w:type="pct"/>
            <w:vAlign w:val="center"/>
          </w:tcPr>
          <w:p w14:paraId="7C8F3D09">
            <w:pPr>
              <w:rPr>
                <w:rFonts w:hint="default"/>
              </w:rPr>
            </w:pPr>
            <w:r>
              <w:rPr>
                <w:rFonts w:hint="default"/>
              </w:rPr>
              <w:t>SUBLN</w:t>
            </w:r>
          </w:p>
        </w:tc>
        <w:tc>
          <w:tcPr>
            <w:tcW w:w="1603" w:type="pct"/>
            <w:vAlign w:val="center"/>
          </w:tcPr>
          <w:p w14:paraId="5594EF81">
            <w:pPr>
              <w:rPr>
                <w:rFonts w:hint="default"/>
              </w:rPr>
            </w:pPr>
            <w:r>
              <w:rPr>
                <w:rFonts w:hint="default"/>
              </w:rPr>
              <w:t>地铁、轻轨、有轨电车轨道</w:t>
            </w:r>
          </w:p>
        </w:tc>
        <w:tc>
          <w:tcPr>
            <w:tcW w:w="1557" w:type="pct"/>
            <w:vAlign w:val="center"/>
          </w:tcPr>
          <w:p w14:paraId="09C516BE">
            <w:pPr>
              <w:rPr>
                <w:rFonts w:hint="default"/>
              </w:rPr>
            </w:pPr>
            <w:r>
              <w:rPr>
                <w:rFonts w:hint="default"/>
              </w:rPr>
              <w:t>-</w:t>
            </w:r>
          </w:p>
        </w:tc>
      </w:tr>
      <w:tr w14:paraId="22BB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422EF873">
            <w:pPr>
              <w:rPr>
                <w:rFonts w:hint="default"/>
              </w:rPr>
            </w:pPr>
          </w:p>
        </w:tc>
        <w:tc>
          <w:tcPr>
            <w:tcW w:w="610" w:type="pct"/>
            <w:vAlign w:val="center"/>
          </w:tcPr>
          <w:p w14:paraId="076D83C7">
            <w:pPr>
              <w:rPr>
                <w:rFonts w:hint="default"/>
              </w:rPr>
            </w:pPr>
            <w:r>
              <w:rPr>
                <w:rFonts w:hint="default"/>
              </w:rPr>
              <w:t>地铁(点)</w:t>
            </w:r>
          </w:p>
        </w:tc>
        <w:tc>
          <w:tcPr>
            <w:tcW w:w="806" w:type="pct"/>
            <w:vAlign w:val="center"/>
          </w:tcPr>
          <w:p w14:paraId="2833C996">
            <w:pPr>
              <w:rPr>
                <w:rFonts w:hint="default"/>
              </w:rPr>
            </w:pPr>
            <w:r>
              <w:rPr>
                <w:rFonts w:hint="default"/>
              </w:rPr>
              <w:t>SUBPT</w:t>
            </w:r>
          </w:p>
        </w:tc>
        <w:tc>
          <w:tcPr>
            <w:tcW w:w="1603" w:type="pct"/>
            <w:vAlign w:val="center"/>
          </w:tcPr>
          <w:p w14:paraId="04BF0FB4">
            <w:pPr>
              <w:rPr>
                <w:rFonts w:hint="default"/>
              </w:rPr>
            </w:pPr>
            <w:r>
              <w:rPr>
                <w:rFonts w:hint="default"/>
              </w:rPr>
              <w:t>地铁（轻轨、有轨电车）站点及出入口</w:t>
            </w:r>
          </w:p>
        </w:tc>
        <w:tc>
          <w:tcPr>
            <w:tcW w:w="1557" w:type="pct"/>
            <w:vAlign w:val="center"/>
          </w:tcPr>
          <w:p w14:paraId="777CD05C">
            <w:pPr>
              <w:rPr>
                <w:rFonts w:hint="default"/>
              </w:rPr>
            </w:pPr>
            <w:r>
              <w:rPr>
                <w:rFonts w:hint="default"/>
              </w:rPr>
              <w:t>-</w:t>
            </w:r>
          </w:p>
        </w:tc>
      </w:tr>
      <w:tr w14:paraId="5856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7108BD26">
            <w:pPr>
              <w:rPr>
                <w:rFonts w:hint="default"/>
              </w:rPr>
            </w:pPr>
          </w:p>
        </w:tc>
        <w:tc>
          <w:tcPr>
            <w:tcW w:w="610" w:type="pct"/>
            <w:vAlign w:val="center"/>
          </w:tcPr>
          <w:p w14:paraId="79D9EC2C">
            <w:pPr>
              <w:rPr>
                <w:rFonts w:hint="default"/>
              </w:rPr>
            </w:pPr>
            <w:r>
              <w:rPr>
                <w:rFonts w:hint="default"/>
              </w:rPr>
              <w:t>地铁(面)</w:t>
            </w:r>
          </w:p>
        </w:tc>
        <w:tc>
          <w:tcPr>
            <w:tcW w:w="806" w:type="pct"/>
            <w:vAlign w:val="center"/>
          </w:tcPr>
          <w:p w14:paraId="594DBE74">
            <w:pPr>
              <w:rPr>
                <w:rFonts w:hint="default"/>
              </w:rPr>
            </w:pPr>
            <w:r>
              <w:rPr>
                <w:rFonts w:hint="default"/>
              </w:rPr>
              <w:t>SUBPL</w:t>
            </w:r>
          </w:p>
        </w:tc>
        <w:tc>
          <w:tcPr>
            <w:tcW w:w="1603" w:type="pct"/>
            <w:vAlign w:val="center"/>
          </w:tcPr>
          <w:p w14:paraId="15096C61">
            <w:pPr>
              <w:rPr>
                <w:rFonts w:hint="default"/>
              </w:rPr>
            </w:pPr>
            <w:r>
              <w:rPr>
                <w:rFonts w:hint="default"/>
              </w:rPr>
              <w:t>站台、通道</w:t>
            </w:r>
          </w:p>
        </w:tc>
        <w:tc>
          <w:tcPr>
            <w:tcW w:w="1557" w:type="pct"/>
            <w:vAlign w:val="center"/>
          </w:tcPr>
          <w:p w14:paraId="1518E04A">
            <w:pPr>
              <w:rPr>
                <w:rFonts w:hint="default"/>
              </w:rPr>
            </w:pPr>
            <w:r>
              <w:rPr>
                <w:rFonts w:hint="default"/>
              </w:rPr>
              <w:t>-</w:t>
            </w:r>
          </w:p>
        </w:tc>
      </w:tr>
      <w:tr w14:paraId="6AAB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6BB4672D">
            <w:pPr>
              <w:rPr>
                <w:rFonts w:hint="default"/>
              </w:rPr>
            </w:pPr>
          </w:p>
        </w:tc>
        <w:tc>
          <w:tcPr>
            <w:tcW w:w="610" w:type="pct"/>
            <w:vAlign w:val="center"/>
          </w:tcPr>
          <w:p w14:paraId="79AF190C">
            <w:pPr>
              <w:rPr>
                <w:rFonts w:hint="default"/>
              </w:rPr>
            </w:pPr>
            <w:r>
              <w:rPr>
                <w:rFonts w:hint="default"/>
              </w:rPr>
              <w:t>水系(线)</w:t>
            </w:r>
          </w:p>
        </w:tc>
        <w:tc>
          <w:tcPr>
            <w:tcW w:w="806" w:type="pct"/>
            <w:vAlign w:val="center"/>
          </w:tcPr>
          <w:p w14:paraId="4217A380">
            <w:pPr>
              <w:rPr>
                <w:rFonts w:hint="default"/>
              </w:rPr>
            </w:pPr>
            <w:r>
              <w:rPr>
                <w:rFonts w:hint="default"/>
              </w:rPr>
              <w:t>HYDLN</w:t>
            </w:r>
          </w:p>
        </w:tc>
        <w:tc>
          <w:tcPr>
            <w:tcW w:w="1603" w:type="pct"/>
            <w:vAlign w:val="center"/>
          </w:tcPr>
          <w:p w14:paraId="09BA5D1D">
            <w:pPr>
              <w:rPr>
                <w:rFonts w:hint="default"/>
              </w:rPr>
            </w:pPr>
            <w:r>
              <w:rPr>
                <w:rFonts w:hint="default"/>
              </w:rPr>
              <w:t>河流、沟渠等</w:t>
            </w:r>
          </w:p>
        </w:tc>
        <w:tc>
          <w:tcPr>
            <w:tcW w:w="1557" w:type="pct"/>
            <w:vAlign w:val="center"/>
          </w:tcPr>
          <w:p w14:paraId="0ABA283A">
            <w:pPr>
              <w:rPr>
                <w:rFonts w:hint="default"/>
              </w:rPr>
            </w:pPr>
          </w:p>
        </w:tc>
      </w:tr>
      <w:tr w14:paraId="08D2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720E45F0">
            <w:pPr>
              <w:rPr>
                <w:rFonts w:hint="default"/>
              </w:rPr>
            </w:pPr>
          </w:p>
        </w:tc>
        <w:tc>
          <w:tcPr>
            <w:tcW w:w="610" w:type="pct"/>
            <w:vAlign w:val="center"/>
          </w:tcPr>
          <w:p w14:paraId="49BC3C60">
            <w:pPr>
              <w:rPr>
                <w:rFonts w:hint="default"/>
              </w:rPr>
            </w:pPr>
            <w:r>
              <w:rPr>
                <w:rFonts w:hint="default"/>
              </w:rPr>
              <w:t>水系(面)</w:t>
            </w:r>
          </w:p>
        </w:tc>
        <w:tc>
          <w:tcPr>
            <w:tcW w:w="806" w:type="pct"/>
            <w:vAlign w:val="center"/>
          </w:tcPr>
          <w:p w14:paraId="34183D25">
            <w:pPr>
              <w:rPr>
                <w:rFonts w:hint="default"/>
              </w:rPr>
            </w:pPr>
            <w:r>
              <w:rPr>
                <w:rFonts w:hint="default"/>
              </w:rPr>
              <w:t>HYDPL</w:t>
            </w:r>
          </w:p>
        </w:tc>
        <w:tc>
          <w:tcPr>
            <w:tcW w:w="1603" w:type="pct"/>
            <w:vAlign w:val="center"/>
          </w:tcPr>
          <w:p w14:paraId="5E90491E">
            <w:pPr>
              <w:rPr>
                <w:rFonts w:hint="default"/>
              </w:rPr>
            </w:pPr>
            <w:r>
              <w:rPr>
                <w:rFonts w:hint="default"/>
              </w:rPr>
              <w:t>河流、运河、沟渠、湖泊、池塘、水库</w:t>
            </w:r>
          </w:p>
        </w:tc>
        <w:tc>
          <w:tcPr>
            <w:tcW w:w="1557" w:type="pct"/>
            <w:vAlign w:val="center"/>
          </w:tcPr>
          <w:p w14:paraId="3C7618CE">
            <w:pPr>
              <w:rPr>
                <w:rFonts w:hint="default"/>
              </w:rPr>
            </w:pPr>
            <w:r>
              <w:rPr>
                <w:rFonts w:hint="default"/>
              </w:rPr>
              <w:t>-</w:t>
            </w:r>
          </w:p>
        </w:tc>
      </w:tr>
      <w:tr w14:paraId="602B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1A51605B">
            <w:pPr>
              <w:rPr>
                <w:rFonts w:hint="default"/>
              </w:rPr>
            </w:pPr>
          </w:p>
        </w:tc>
        <w:tc>
          <w:tcPr>
            <w:tcW w:w="610" w:type="pct"/>
            <w:vAlign w:val="center"/>
          </w:tcPr>
          <w:p w14:paraId="4CD953D7">
            <w:pPr>
              <w:rPr>
                <w:rFonts w:hint="default"/>
              </w:rPr>
            </w:pPr>
            <w:r>
              <w:rPr>
                <w:rFonts w:hint="default"/>
              </w:rPr>
              <w:t>水系注记线</w:t>
            </w:r>
          </w:p>
        </w:tc>
        <w:tc>
          <w:tcPr>
            <w:tcW w:w="806" w:type="pct"/>
            <w:vAlign w:val="center"/>
          </w:tcPr>
          <w:p w14:paraId="565E3B69">
            <w:pPr>
              <w:rPr>
                <w:rFonts w:hint="default"/>
              </w:rPr>
            </w:pPr>
            <w:r>
              <w:rPr>
                <w:rFonts w:hint="default"/>
              </w:rPr>
              <w:t>HCTLN</w:t>
            </w:r>
          </w:p>
        </w:tc>
        <w:tc>
          <w:tcPr>
            <w:tcW w:w="1603" w:type="pct"/>
            <w:vAlign w:val="center"/>
          </w:tcPr>
          <w:p w14:paraId="09F16A15">
            <w:pPr>
              <w:rPr>
                <w:rFonts w:hint="default"/>
              </w:rPr>
            </w:pPr>
            <w:r>
              <w:rPr>
                <w:rFonts w:hint="default"/>
              </w:rPr>
              <w:t>有名称水系的注记线</w:t>
            </w:r>
          </w:p>
        </w:tc>
        <w:tc>
          <w:tcPr>
            <w:tcW w:w="1557" w:type="pct"/>
            <w:vAlign w:val="center"/>
          </w:tcPr>
          <w:p w14:paraId="3BA7E223">
            <w:pPr>
              <w:rPr>
                <w:rFonts w:hint="default"/>
              </w:rPr>
            </w:pPr>
            <w:r>
              <w:rPr>
                <w:rFonts w:hint="default"/>
              </w:rPr>
              <w:t>-</w:t>
            </w:r>
          </w:p>
        </w:tc>
      </w:tr>
      <w:tr w14:paraId="0BDEA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192BBA0F">
            <w:pPr>
              <w:rPr>
                <w:rFonts w:hint="default"/>
              </w:rPr>
            </w:pPr>
          </w:p>
        </w:tc>
        <w:tc>
          <w:tcPr>
            <w:tcW w:w="610" w:type="pct"/>
            <w:vAlign w:val="center"/>
          </w:tcPr>
          <w:p w14:paraId="1CCC16AB">
            <w:pPr>
              <w:rPr>
                <w:rFonts w:hint="default"/>
              </w:rPr>
            </w:pPr>
            <w:r>
              <w:rPr>
                <w:rFonts w:hint="default"/>
              </w:rPr>
              <w:t>水系附属设施（面）</w:t>
            </w:r>
          </w:p>
        </w:tc>
        <w:tc>
          <w:tcPr>
            <w:tcW w:w="806" w:type="pct"/>
            <w:vAlign w:val="center"/>
          </w:tcPr>
          <w:p w14:paraId="15A862B0">
            <w:pPr>
              <w:rPr>
                <w:rFonts w:hint="default"/>
              </w:rPr>
            </w:pPr>
            <w:r>
              <w:rPr>
                <w:rFonts w:hint="default"/>
              </w:rPr>
              <w:t>HFCA</w:t>
            </w:r>
          </w:p>
        </w:tc>
        <w:tc>
          <w:tcPr>
            <w:tcW w:w="1603" w:type="pct"/>
            <w:vAlign w:val="center"/>
          </w:tcPr>
          <w:p w14:paraId="745E0572">
            <w:pPr>
              <w:rPr>
                <w:rFonts w:hint="default"/>
              </w:rPr>
            </w:pPr>
            <w:r>
              <w:rPr>
                <w:rFonts w:hint="default"/>
              </w:rPr>
              <w:t>人工岛、河（湖）岛</w:t>
            </w:r>
          </w:p>
        </w:tc>
        <w:tc>
          <w:tcPr>
            <w:tcW w:w="1557" w:type="pct"/>
            <w:vAlign w:val="center"/>
          </w:tcPr>
          <w:p w14:paraId="6F3AEBA3">
            <w:pPr>
              <w:rPr>
                <w:rFonts w:hint="default"/>
              </w:rPr>
            </w:pPr>
            <w:r>
              <w:rPr>
                <w:rFonts w:hint="default"/>
              </w:rPr>
              <w:t>沙滩、沙砾滩、淤泥滩、岩石滩、岸滩、沙泥滩、砾石滩、贝类养殖滩、明礁、明礁、明礁、沙洲、水中滩、泉、危险岸区</w:t>
            </w:r>
          </w:p>
        </w:tc>
      </w:tr>
      <w:tr w14:paraId="6FA6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12FE9745">
            <w:pPr>
              <w:rPr>
                <w:rFonts w:hint="default"/>
              </w:rPr>
            </w:pPr>
          </w:p>
        </w:tc>
        <w:tc>
          <w:tcPr>
            <w:tcW w:w="610" w:type="pct"/>
            <w:vAlign w:val="center"/>
          </w:tcPr>
          <w:p w14:paraId="0E656268">
            <w:pPr>
              <w:rPr>
                <w:rFonts w:hint="default"/>
              </w:rPr>
            </w:pPr>
            <w:r>
              <w:rPr>
                <w:rFonts w:hint="default"/>
              </w:rPr>
              <w:t>居民地(面)</w:t>
            </w:r>
          </w:p>
        </w:tc>
        <w:tc>
          <w:tcPr>
            <w:tcW w:w="806" w:type="pct"/>
            <w:vAlign w:val="center"/>
          </w:tcPr>
          <w:p w14:paraId="1F37F84D">
            <w:pPr>
              <w:rPr>
                <w:rFonts w:hint="default"/>
              </w:rPr>
            </w:pPr>
            <w:r>
              <w:rPr>
                <w:rFonts w:hint="default"/>
              </w:rPr>
              <w:t>RESPL</w:t>
            </w:r>
          </w:p>
        </w:tc>
        <w:tc>
          <w:tcPr>
            <w:tcW w:w="1603" w:type="pct"/>
            <w:vAlign w:val="center"/>
          </w:tcPr>
          <w:p w14:paraId="01321045">
            <w:pPr>
              <w:rPr>
                <w:rFonts w:hint="default"/>
              </w:rPr>
            </w:pPr>
            <w:r>
              <w:rPr>
                <w:rFonts w:hint="default"/>
              </w:rPr>
              <w:t>单幢房屋、建筑中房屋、简单房屋、突出房屋、相对固定的棚房（如加油站；临时性或者违建棚房不采集）、架空房屋</w:t>
            </w:r>
          </w:p>
        </w:tc>
        <w:tc>
          <w:tcPr>
            <w:tcW w:w="1557" w:type="pct"/>
            <w:vAlign w:val="center"/>
          </w:tcPr>
          <w:p w14:paraId="2558E55B">
            <w:pPr>
              <w:rPr>
                <w:rFonts w:hint="default"/>
              </w:rPr>
            </w:pPr>
            <w:r>
              <w:rPr>
                <w:rFonts w:hint="default"/>
              </w:rPr>
              <w:t>破坏房屋、廊房、飘楼、柱廊、门顶、雨罩子、阳台、檐廊、挑廊等</w:t>
            </w:r>
          </w:p>
        </w:tc>
      </w:tr>
      <w:tr w14:paraId="7D33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7D1F1B4E">
            <w:pPr>
              <w:rPr>
                <w:rFonts w:hint="default"/>
              </w:rPr>
            </w:pPr>
          </w:p>
        </w:tc>
        <w:tc>
          <w:tcPr>
            <w:tcW w:w="610" w:type="pct"/>
            <w:vAlign w:val="center"/>
          </w:tcPr>
          <w:p w14:paraId="121634F2">
            <w:pPr>
              <w:rPr>
                <w:rFonts w:hint="default"/>
              </w:rPr>
            </w:pPr>
            <w:r>
              <w:rPr>
                <w:rFonts w:hint="default"/>
              </w:rPr>
              <w:t>居民地附属</w:t>
            </w:r>
          </w:p>
          <w:p w14:paraId="4B6E343E">
            <w:pPr>
              <w:rPr>
                <w:rFonts w:hint="default"/>
              </w:rPr>
            </w:pPr>
            <w:r>
              <w:rPr>
                <w:rFonts w:hint="default"/>
              </w:rPr>
              <w:t>设施（点）</w:t>
            </w:r>
          </w:p>
        </w:tc>
        <w:tc>
          <w:tcPr>
            <w:tcW w:w="806" w:type="pct"/>
            <w:vAlign w:val="center"/>
          </w:tcPr>
          <w:p w14:paraId="7F0BD791">
            <w:pPr>
              <w:rPr>
                <w:rFonts w:hint="default"/>
              </w:rPr>
            </w:pPr>
            <w:r>
              <w:rPr>
                <w:rFonts w:hint="default"/>
              </w:rPr>
              <w:t>RFCP</w:t>
            </w:r>
          </w:p>
        </w:tc>
        <w:tc>
          <w:tcPr>
            <w:tcW w:w="1603" w:type="pct"/>
            <w:vAlign w:val="center"/>
          </w:tcPr>
          <w:p w14:paraId="6CDCBBF2">
            <w:pPr>
              <w:rPr>
                <w:rFonts w:hint="default"/>
              </w:rPr>
            </w:pPr>
            <w:r>
              <w:rPr>
                <w:rFonts w:hint="default"/>
              </w:rPr>
              <w:t>-</w:t>
            </w:r>
          </w:p>
        </w:tc>
        <w:tc>
          <w:tcPr>
            <w:tcW w:w="1557" w:type="pct"/>
            <w:vAlign w:val="center"/>
          </w:tcPr>
          <w:p w14:paraId="62C61596">
            <w:pPr>
              <w:rPr>
                <w:rFonts w:hint="default"/>
              </w:rPr>
            </w:pPr>
            <w:r>
              <w:rPr>
                <w:rFonts w:hint="default"/>
              </w:rPr>
              <w:t>公墓、坟地、独立大坟、古迹遗址、钟鼓楼、城楼、古关塞、亭、庙宇、土地庙、清真寺、教堂、宝塔、经塔、路灯、纪念碑、牌楼、牌坊、彩门、文物碑石、旗杆、塑像</w:t>
            </w:r>
          </w:p>
        </w:tc>
      </w:tr>
      <w:tr w14:paraId="3C98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453E4774">
            <w:pPr>
              <w:rPr>
                <w:rFonts w:hint="default"/>
              </w:rPr>
            </w:pPr>
          </w:p>
        </w:tc>
        <w:tc>
          <w:tcPr>
            <w:tcW w:w="610" w:type="pct"/>
            <w:vAlign w:val="center"/>
          </w:tcPr>
          <w:p w14:paraId="54B2105D">
            <w:pPr>
              <w:rPr>
                <w:rFonts w:hint="default"/>
              </w:rPr>
            </w:pPr>
            <w:r>
              <w:rPr>
                <w:rFonts w:hint="default"/>
              </w:rPr>
              <w:t>居民地附属</w:t>
            </w:r>
          </w:p>
          <w:p w14:paraId="17E0196D">
            <w:pPr>
              <w:rPr>
                <w:rFonts w:hint="default"/>
              </w:rPr>
            </w:pPr>
            <w:r>
              <w:rPr>
                <w:rFonts w:hint="default"/>
              </w:rPr>
              <w:t>设施（线）</w:t>
            </w:r>
          </w:p>
        </w:tc>
        <w:tc>
          <w:tcPr>
            <w:tcW w:w="806" w:type="pct"/>
            <w:vAlign w:val="center"/>
          </w:tcPr>
          <w:p w14:paraId="322DCB97">
            <w:pPr>
              <w:rPr>
                <w:rFonts w:hint="default"/>
              </w:rPr>
            </w:pPr>
            <w:r>
              <w:rPr>
                <w:rFonts w:hint="default"/>
              </w:rPr>
              <w:t>RFCL</w:t>
            </w:r>
          </w:p>
        </w:tc>
        <w:tc>
          <w:tcPr>
            <w:tcW w:w="1603" w:type="pct"/>
            <w:vAlign w:val="center"/>
          </w:tcPr>
          <w:p w14:paraId="4B2563F0">
            <w:pPr>
              <w:rPr>
                <w:rFonts w:hint="default"/>
              </w:rPr>
            </w:pPr>
            <w:r>
              <w:rPr>
                <w:rFonts w:hint="default"/>
              </w:rPr>
              <w:t>体育场的内轮廓线</w:t>
            </w:r>
          </w:p>
        </w:tc>
        <w:tc>
          <w:tcPr>
            <w:tcW w:w="1557" w:type="pct"/>
            <w:vAlign w:val="center"/>
          </w:tcPr>
          <w:p w14:paraId="3EA3B1F2">
            <w:pPr>
              <w:rPr>
                <w:rFonts w:hint="default"/>
              </w:rPr>
            </w:pPr>
            <w:r>
              <w:rPr>
                <w:rFonts w:hint="default"/>
              </w:rPr>
              <w:t>牌楼、牌坊、彩门、砖石城墙</w:t>
            </w:r>
          </w:p>
        </w:tc>
      </w:tr>
      <w:tr w14:paraId="698A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3B1C383B">
            <w:pPr>
              <w:rPr>
                <w:rFonts w:hint="default"/>
              </w:rPr>
            </w:pPr>
          </w:p>
        </w:tc>
        <w:tc>
          <w:tcPr>
            <w:tcW w:w="610" w:type="pct"/>
            <w:vAlign w:val="center"/>
          </w:tcPr>
          <w:p w14:paraId="742762DB">
            <w:pPr>
              <w:rPr>
                <w:rFonts w:hint="default"/>
              </w:rPr>
            </w:pPr>
            <w:r>
              <w:rPr>
                <w:rFonts w:hint="default"/>
              </w:rPr>
              <w:t>居民地附属</w:t>
            </w:r>
          </w:p>
          <w:p w14:paraId="4B427D89">
            <w:pPr>
              <w:rPr>
                <w:rFonts w:hint="default"/>
              </w:rPr>
            </w:pPr>
            <w:r>
              <w:rPr>
                <w:rFonts w:hint="default"/>
              </w:rPr>
              <w:t>设施（面）</w:t>
            </w:r>
          </w:p>
        </w:tc>
        <w:tc>
          <w:tcPr>
            <w:tcW w:w="806" w:type="pct"/>
            <w:vAlign w:val="center"/>
          </w:tcPr>
          <w:p w14:paraId="344255FF">
            <w:pPr>
              <w:rPr>
                <w:rFonts w:hint="default"/>
              </w:rPr>
            </w:pPr>
            <w:r>
              <w:rPr>
                <w:rFonts w:hint="default"/>
              </w:rPr>
              <w:t>RFCA</w:t>
            </w:r>
          </w:p>
        </w:tc>
        <w:tc>
          <w:tcPr>
            <w:tcW w:w="1603" w:type="pct"/>
            <w:vAlign w:val="center"/>
          </w:tcPr>
          <w:p w14:paraId="338AA645">
            <w:pPr>
              <w:rPr>
                <w:rFonts w:hint="default"/>
              </w:rPr>
            </w:pPr>
            <w:r>
              <w:rPr>
                <w:rFonts w:hint="default"/>
              </w:rPr>
              <w:t>露天体育场</w:t>
            </w:r>
          </w:p>
        </w:tc>
        <w:tc>
          <w:tcPr>
            <w:tcW w:w="1557" w:type="pct"/>
            <w:vAlign w:val="center"/>
          </w:tcPr>
          <w:p w14:paraId="79E38440">
            <w:pPr>
              <w:rPr>
                <w:rFonts w:hint="default"/>
              </w:rPr>
            </w:pPr>
            <w:r>
              <w:rPr>
                <w:rFonts w:hint="default"/>
              </w:rPr>
              <w:t>盐田、盐场、水产养殖场、温室、大棚、露天舞台、观礼台、厕所、公墓、坟地、独立大坟、古迹遗址、钟鼓楼、城楼、古关塞、土地庙、砖石城墙、纪念碑、报刊亭、岗亭、岗楼</w:t>
            </w:r>
          </w:p>
        </w:tc>
      </w:tr>
      <w:tr w14:paraId="7C6C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72B9CCF5">
            <w:pPr>
              <w:rPr>
                <w:rFonts w:hint="default"/>
              </w:rPr>
            </w:pPr>
          </w:p>
        </w:tc>
        <w:tc>
          <w:tcPr>
            <w:tcW w:w="610" w:type="pct"/>
            <w:vAlign w:val="center"/>
          </w:tcPr>
          <w:p w14:paraId="4E7932AB">
            <w:pPr>
              <w:rPr>
                <w:rFonts w:hint="default"/>
              </w:rPr>
            </w:pPr>
            <w:r>
              <w:rPr>
                <w:rFonts w:hint="default"/>
              </w:rPr>
              <w:t>绿地(面)</w:t>
            </w:r>
          </w:p>
        </w:tc>
        <w:tc>
          <w:tcPr>
            <w:tcW w:w="806" w:type="pct"/>
            <w:vAlign w:val="center"/>
          </w:tcPr>
          <w:p w14:paraId="6400A227">
            <w:pPr>
              <w:rPr>
                <w:rFonts w:hint="default"/>
              </w:rPr>
            </w:pPr>
            <w:r>
              <w:rPr>
                <w:rFonts w:hint="default"/>
              </w:rPr>
              <w:t>VEGPL</w:t>
            </w:r>
          </w:p>
        </w:tc>
        <w:tc>
          <w:tcPr>
            <w:tcW w:w="1603" w:type="pct"/>
            <w:vAlign w:val="center"/>
          </w:tcPr>
          <w:p w14:paraId="5876DA0C">
            <w:pPr>
              <w:rPr>
                <w:rFonts w:hint="default"/>
              </w:rPr>
            </w:pPr>
            <w:r>
              <w:rPr>
                <w:rFonts w:hint="default"/>
              </w:rPr>
              <w:t>公园、植物园、高尔夫球场、风景区内部的绿地</w:t>
            </w:r>
          </w:p>
        </w:tc>
        <w:tc>
          <w:tcPr>
            <w:tcW w:w="1557" w:type="pct"/>
            <w:vAlign w:val="center"/>
          </w:tcPr>
          <w:p w14:paraId="14C5B90F">
            <w:pPr>
              <w:rPr>
                <w:rFonts w:hint="default"/>
              </w:rPr>
            </w:pPr>
            <w:r>
              <w:rPr>
                <w:rFonts w:hint="default"/>
              </w:rPr>
              <w:t>单位院落、工矿企业、居住小区等内部的人工绿地与花圃花坛、道路沿线的人工绿地与花圃花坛</w:t>
            </w:r>
          </w:p>
        </w:tc>
      </w:tr>
      <w:tr w14:paraId="6B03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vAlign w:val="center"/>
          </w:tcPr>
          <w:p w14:paraId="4866D1BA">
            <w:pPr>
              <w:rPr>
                <w:rFonts w:hint="default"/>
              </w:rPr>
            </w:pPr>
          </w:p>
        </w:tc>
        <w:tc>
          <w:tcPr>
            <w:tcW w:w="610" w:type="pct"/>
            <w:vAlign w:val="center"/>
          </w:tcPr>
          <w:p w14:paraId="17CF54F4">
            <w:pPr>
              <w:rPr>
                <w:rFonts w:hint="default"/>
              </w:rPr>
            </w:pPr>
            <w:r>
              <w:rPr>
                <w:rFonts w:hint="default"/>
              </w:rPr>
              <w:t>道路顶层线</w:t>
            </w:r>
          </w:p>
        </w:tc>
        <w:tc>
          <w:tcPr>
            <w:tcW w:w="806" w:type="pct"/>
            <w:vAlign w:val="center"/>
          </w:tcPr>
          <w:p w14:paraId="15D859CB">
            <w:pPr>
              <w:rPr>
                <w:rFonts w:hint="default"/>
              </w:rPr>
            </w:pPr>
            <w:r>
              <w:rPr>
                <w:rFonts w:hint="default"/>
              </w:rPr>
              <w:t>ROLLN</w:t>
            </w:r>
          </w:p>
        </w:tc>
        <w:tc>
          <w:tcPr>
            <w:tcW w:w="1603" w:type="pct"/>
            <w:vAlign w:val="center"/>
          </w:tcPr>
          <w:p w14:paraId="0BB8218F">
            <w:pPr>
              <w:rPr>
                <w:rFonts w:hint="default"/>
              </w:rPr>
            </w:pPr>
            <w:r>
              <w:rPr>
                <w:rFonts w:hint="default"/>
              </w:rPr>
              <w:t>道路立交区域的顶层线</w:t>
            </w:r>
          </w:p>
        </w:tc>
        <w:tc>
          <w:tcPr>
            <w:tcW w:w="1557" w:type="pct"/>
            <w:vAlign w:val="center"/>
          </w:tcPr>
          <w:p w14:paraId="245B7DA9">
            <w:pPr>
              <w:rPr>
                <w:rFonts w:hint="default"/>
              </w:rPr>
            </w:pPr>
            <w:r>
              <w:rPr>
                <w:rFonts w:hint="default"/>
              </w:rPr>
              <w:t>-</w:t>
            </w:r>
          </w:p>
        </w:tc>
      </w:tr>
      <w:tr w14:paraId="6846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425" w:type="pct"/>
            <w:vMerge w:val="continue"/>
          </w:tcPr>
          <w:p w14:paraId="5753E9EA">
            <w:pPr>
              <w:rPr>
                <w:rFonts w:hint="default"/>
              </w:rPr>
            </w:pPr>
          </w:p>
        </w:tc>
        <w:tc>
          <w:tcPr>
            <w:tcW w:w="610" w:type="pct"/>
            <w:vAlign w:val="center"/>
          </w:tcPr>
          <w:p w14:paraId="079A789E">
            <w:pPr>
              <w:rPr>
                <w:rFonts w:hint="default"/>
              </w:rPr>
            </w:pPr>
            <w:r>
              <w:rPr>
                <w:rFonts w:hint="default"/>
              </w:rPr>
              <w:t>省级政区(面)</w:t>
            </w:r>
          </w:p>
        </w:tc>
        <w:tc>
          <w:tcPr>
            <w:tcW w:w="806" w:type="pct"/>
            <w:vAlign w:val="center"/>
          </w:tcPr>
          <w:p w14:paraId="63F6B5CC">
            <w:pPr>
              <w:rPr>
                <w:rFonts w:hint="default"/>
              </w:rPr>
            </w:pPr>
            <w:r>
              <w:rPr>
                <w:rFonts w:hint="default"/>
              </w:rPr>
              <w:t>PROPL</w:t>
            </w:r>
          </w:p>
        </w:tc>
        <w:tc>
          <w:tcPr>
            <w:tcW w:w="1603" w:type="pct"/>
            <w:vAlign w:val="center"/>
          </w:tcPr>
          <w:p w14:paraId="4FC2F1DA">
            <w:pPr>
              <w:rPr>
                <w:rFonts w:hint="default"/>
              </w:rPr>
            </w:pPr>
            <w:r>
              <w:rPr>
                <w:rFonts w:hint="default"/>
              </w:rPr>
              <w:t>省级政区范围</w:t>
            </w:r>
          </w:p>
        </w:tc>
        <w:tc>
          <w:tcPr>
            <w:tcW w:w="1557" w:type="pct"/>
            <w:vAlign w:val="center"/>
          </w:tcPr>
          <w:p w14:paraId="7C04DCC0">
            <w:pPr>
              <w:rPr>
                <w:rFonts w:hint="default"/>
              </w:rPr>
            </w:pPr>
            <w:r>
              <w:rPr>
                <w:rFonts w:hint="default"/>
              </w:rPr>
              <w:t>-</w:t>
            </w:r>
          </w:p>
        </w:tc>
      </w:tr>
      <w:tr w14:paraId="66C0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70EFD1E0">
            <w:pPr>
              <w:rPr>
                <w:rFonts w:hint="default"/>
              </w:rPr>
            </w:pPr>
          </w:p>
        </w:tc>
        <w:tc>
          <w:tcPr>
            <w:tcW w:w="610" w:type="pct"/>
            <w:vAlign w:val="center"/>
          </w:tcPr>
          <w:p w14:paraId="39B70AAD">
            <w:pPr>
              <w:rPr>
                <w:rFonts w:hint="default"/>
              </w:rPr>
            </w:pPr>
            <w:r>
              <w:rPr>
                <w:rFonts w:hint="default"/>
              </w:rPr>
              <w:t>地级政区(面)</w:t>
            </w:r>
          </w:p>
        </w:tc>
        <w:tc>
          <w:tcPr>
            <w:tcW w:w="806" w:type="pct"/>
            <w:vAlign w:val="center"/>
          </w:tcPr>
          <w:p w14:paraId="4F6141E6">
            <w:pPr>
              <w:rPr>
                <w:rFonts w:hint="default"/>
              </w:rPr>
            </w:pPr>
            <w:r>
              <w:rPr>
                <w:rFonts w:hint="default"/>
              </w:rPr>
              <w:t>DISPL</w:t>
            </w:r>
          </w:p>
        </w:tc>
        <w:tc>
          <w:tcPr>
            <w:tcW w:w="1603" w:type="pct"/>
            <w:vAlign w:val="center"/>
          </w:tcPr>
          <w:p w14:paraId="423C98B4">
            <w:pPr>
              <w:rPr>
                <w:rFonts w:hint="default"/>
              </w:rPr>
            </w:pPr>
            <w:r>
              <w:rPr>
                <w:rFonts w:hint="default"/>
              </w:rPr>
              <w:t>地级政区范围</w:t>
            </w:r>
          </w:p>
        </w:tc>
        <w:tc>
          <w:tcPr>
            <w:tcW w:w="1557" w:type="pct"/>
            <w:vAlign w:val="center"/>
          </w:tcPr>
          <w:p w14:paraId="1F797117">
            <w:pPr>
              <w:rPr>
                <w:rFonts w:hint="default"/>
              </w:rPr>
            </w:pPr>
            <w:r>
              <w:rPr>
                <w:rFonts w:hint="default"/>
              </w:rPr>
              <w:t>-</w:t>
            </w:r>
          </w:p>
        </w:tc>
      </w:tr>
      <w:tr w14:paraId="4CDD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16C3EFE6">
            <w:pPr>
              <w:rPr>
                <w:rFonts w:hint="default"/>
              </w:rPr>
            </w:pPr>
          </w:p>
        </w:tc>
        <w:tc>
          <w:tcPr>
            <w:tcW w:w="610" w:type="pct"/>
            <w:vAlign w:val="center"/>
          </w:tcPr>
          <w:p w14:paraId="34A9A7FB">
            <w:pPr>
              <w:rPr>
                <w:rFonts w:hint="default"/>
              </w:rPr>
            </w:pPr>
            <w:r>
              <w:rPr>
                <w:rFonts w:hint="default"/>
              </w:rPr>
              <w:t>县级政区(面)</w:t>
            </w:r>
          </w:p>
        </w:tc>
        <w:tc>
          <w:tcPr>
            <w:tcW w:w="806" w:type="pct"/>
            <w:vAlign w:val="center"/>
          </w:tcPr>
          <w:p w14:paraId="3F248AD2">
            <w:pPr>
              <w:rPr>
                <w:rFonts w:hint="default"/>
              </w:rPr>
            </w:pPr>
            <w:r>
              <w:rPr>
                <w:rFonts w:hint="default"/>
              </w:rPr>
              <w:t>COUPL</w:t>
            </w:r>
          </w:p>
        </w:tc>
        <w:tc>
          <w:tcPr>
            <w:tcW w:w="1603" w:type="pct"/>
            <w:vAlign w:val="center"/>
          </w:tcPr>
          <w:p w14:paraId="42ACC29A">
            <w:pPr>
              <w:rPr>
                <w:rFonts w:hint="default"/>
              </w:rPr>
            </w:pPr>
            <w:r>
              <w:rPr>
                <w:rFonts w:hint="default"/>
              </w:rPr>
              <w:t>县级政区范围</w:t>
            </w:r>
          </w:p>
        </w:tc>
        <w:tc>
          <w:tcPr>
            <w:tcW w:w="1557" w:type="pct"/>
            <w:vAlign w:val="center"/>
          </w:tcPr>
          <w:p w14:paraId="6483D263">
            <w:pPr>
              <w:rPr>
                <w:rFonts w:hint="default"/>
              </w:rPr>
            </w:pPr>
            <w:r>
              <w:rPr>
                <w:rFonts w:hint="default"/>
              </w:rPr>
              <w:t>-</w:t>
            </w:r>
          </w:p>
        </w:tc>
      </w:tr>
      <w:tr w14:paraId="3387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3DCA441A">
            <w:pPr>
              <w:rPr>
                <w:rFonts w:hint="default"/>
              </w:rPr>
            </w:pPr>
          </w:p>
        </w:tc>
        <w:tc>
          <w:tcPr>
            <w:tcW w:w="610" w:type="pct"/>
            <w:vAlign w:val="center"/>
          </w:tcPr>
          <w:p w14:paraId="36A5B89E">
            <w:pPr>
              <w:rPr>
                <w:rFonts w:hint="default"/>
              </w:rPr>
            </w:pPr>
            <w:r>
              <w:rPr>
                <w:rFonts w:hint="default"/>
              </w:rPr>
              <w:t>乡级政区(面)</w:t>
            </w:r>
          </w:p>
        </w:tc>
        <w:tc>
          <w:tcPr>
            <w:tcW w:w="806" w:type="pct"/>
            <w:vAlign w:val="center"/>
          </w:tcPr>
          <w:p w14:paraId="2D72360A">
            <w:pPr>
              <w:rPr>
                <w:rFonts w:hint="default"/>
              </w:rPr>
            </w:pPr>
            <w:r>
              <w:rPr>
                <w:rFonts w:hint="default"/>
              </w:rPr>
              <w:t>TOWPL</w:t>
            </w:r>
          </w:p>
        </w:tc>
        <w:tc>
          <w:tcPr>
            <w:tcW w:w="1603" w:type="pct"/>
            <w:vAlign w:val="center"/>
          </w:tcPr>
          <w:p w14:paraId="2E781049">
            <w:pPr>
              <w:rPr>
                <w:rFonts w:hint="default"/>
              </w:rPr>
            </w:pPr>
            <w:r>
              <w:rPr>
                <w:rFonts w:hint="default"/>
              </w:rPr>
              <w:t>乡级政区范围</w:t>
            </w:r>
          </w:p>
        </w:tc>
        <w:tc>
          <w:tcPr>
            <w:tcW w:w="1557" w:type="pct"/>
            <w:vAlign w:val="center"/>
          </w:tcPr>
          <w:p w14:paraId="3A1E2D4D">
            <w:pPr>
              <w:rPr>
                <w:rFonts w:hint="default"/>
              </w:rPr>
            </w:pPr>
            <w:r>
              <w:rPr>
                <w:rFonts w:hint="default"/>
              </w:rPr>
              <w:t>-</w:t>
            </w:r>
          </w:p>
        </w:tc>
      </w:tr>
      <w:tr w14:paraId="3FBB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tcPr>
          <w:p w14:paraId="619F3C91">
            <w:pPr>
              <w:rPr>
                <w:rFonts w:hint="default"/>
              </w:rPr>
            </w:pPr>
          </w:p>
        </w:tc>
        <w:tc>
          <w:tcPr>
            <w:tcW w:w="610" w:type="pct"/>
            <w:vAlign w:val="center"/>
          </w:tcPr>
          <w:p w14:paraId="2A14CEAB">
            <w:pPr>
              <w:rPr>
                <w:rFonts w:hint="default"/>
              </w:rPr>
            </w:pPr>
            <w:r>
              <w:rPr>
                <w:rFonts w:hint="default"/>
              </w:rPr>
              <w:t>村级政区（面）</w:t>
            </w:r>
          </w:p>
        </w:tc>
        <w:tc>
          <w:tcPr>
            <w:tcW w:w="806" w:type="pct"/>
            <w:vAlign w:val="center"/>
          </w:tcPr>
          <w:p w14:paraId="1722118C">
            <w:pPr>
              <w:rPr>
                <w:rFonts w:hint="default"/>
              </w:rPr>
            </w:pPr>
            <w:r>
              <w:rPr>
                <w:rFonts w:hint="default"/>
              </w:rPr>
              <w:t>VILPL</w:t>
            </w:r>
          </w:p>
        </w:tc>
        <w:tc>
          <w:tcPr>
            <w:tcW w:w="1603" w:type="pct"/>
            <w:vAlign w:val="center"/>
          </w:tcPr>
          <w:p w14:paraId="05BC2F2B">
            <w:pPr>
              <w:rPr>
                <w:rFonts w:hint="default"/>
              </w:rPr>
            </w:pPr>
            <w:r>
              <w:rPr>
                <w:rFonts w:hint="default"/>
              </w:rPr>
              <w:t>-</w:t>
            </w:r>
          </w:p>
        </w:tc>
        <w:tc>
          <w:tcPr>
            <w:tcW w:w="1557" w:type="pct"/>
            <w:vAlign w:val="center"/>
          </w:tcPr>
          <w:p w14:paraId="07761F1D">
            <w:pPr>
              <w:rPr>
                <w:rFonts w:hint="default"/>
              </w:rPr>
            </w:pPr>
            <w:r>
              <w:rPr>
                <w:rFonts w:hint="default"/>
              </w:rPr>
              <w:t>村级政区范围</w:t>
            </w:r>
          </w:p>
        </w:tc>
      </w:tr>
      <w:tr w14:paraId="4F3B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vAlign w:val="center"/>
          </w:tcPr>
          <w:p w14:paraId="0A96F482">
            <w:pPr>
              <w:rPr>
                <w:rFonts w:hint="default"/>
              </w:rPr>
            </w:pPr>
          </w:p>
        </w:tc>
        <w:tc>
          <w:tcPr>
            <w:tcW w:w="610" w:type="pct"/>
            <w:vAlign w:val="center"/>
          </w:tcPr>
          <w:p w14:paraId="2FA6C916">
            <w:pPr>
              <w:rPr>
                <w:rFonts w:hint="default"/>
              </w:rPr>
            </w:pPr>
            <w:r>
              <w:rPr>
                <w:rFonts w:hint="default"/>
              </w:rPr>
              <w:t>境界(线)</w:t>
            </w:r>
          </w:p>
        </w:tc>
        <w:tc>
          <w:tcPr>
            <w:tcW w:w="806" w:type="pct"/>
            <w:vAlign w:val="center"/>
          </w:tcPr>
          <w:p w14:paraId="4F9E8002">
            <w:pPr>
              <w:rPr>
                <w:rFonts w:hint="default"/>
              </w:rPr>
            </w:pPr>
            <w:r>
              <w:rPr>
                <w:rFonts w:hint="default"/>
              </w:rPr>
              <w:t>BOULN</w:t>
            </w:r>
          </w:p>
        </w:tc>
        <w:tc>
          <w:tcPr>
            <w:tcW w:w="1603" w:type="pct"/>
            <w:vAlign w:val="center"/>
          </w:tcPr>
          <w:p w14:paraId="39123E8E">
            <w:pPr>
              <w:rPr>
                <w:rFonts w:hint="default"/>
              </w:rPr>
            </w:pPr>
            <w:r>
              <w:rPr>
                <w:rFonts w:hint="default"/>
              </w:rPr>
              <w:t>省级界线、地级界线、县级界线、乡级界线</w:t>
            </w:r>
          </w:p>
        </w:tc>
        <w:tc>
          <w:tcPr>
            <w:tcW w:w="1557" w:type="pct"/>
            <w:vAlign w:val="center"/>
          </w:tcPr>
          <w:p w14:paraId="07D92D2F">
            <w:pPr>
              <w:rPr>
                <w:rFonts w:hint="default"/>
              </w:rPr>
            </w:pPr>
            <w:r>
              <w:rPr>
                <w:rFonts w:hint="default"/>
              </w:rPr>
              <w:t>村级界线</w:t>
            </w:r>
          </w:p>
        </w:tc>
      </w:tr>
      <w:tr w14:paraId="13A0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Merge w:val="continue"/>
            <w:vAlign w:val="center"/>
          </w:tcPr>
          <w:p w14:paraId="15D47BC4">
            <w:pPr>
              <w:rPr>
                <w:rFonts w:hint="default"/>
              </w:rPr>
            </w:pPr>
          </w:p>
        </w:tc>
        <w:tc>
          <w:tcPr>
            <w:tcW w:w="610" w:type="pct"/>
            <w:vAlign w:val="center"/>
          </w:tcPr>
          <w:p w14:paraId="46A43F24">
            <w:pPr>
              <w:rPr>
                <w:rFonts w:hint="default"/>
              </w:rPr>
            </w:pPr>
            <w:r>
              <w:rPr>
                <w:rFonts w:hint="default"/>
              </w:rPr>
              <w:t>综合功能单元（面）</w:t>
            </w:r>
          </w:p>
        </w:tc>
        <w:tc>
          <w:tcPr>
            <w:tcW w:w="806" w:type="pct"/>
            <w:vAlign w:val="center"/>
          </w:tcPr>
          <w:p w14:paraId="480589C0">
            <w:pPr>
              <w:rPr>
                <w:rFonts w:hint="default"/>
              </w:rPr>
            </w:pPr>
            <w:r>
              <w:rPr>
                <w:rFonts w:hint="default"/>
              </w:rPr>
              <w:t>BUCA</w:t>
            </w:r>
          </w:p>
        </w:tc>
        <w:tc>
          <w:tcPr>
            <w:tcW w:w="1603" w:type="pct"/>
            <w:vAlign w:val="center"/>
          </w:tcPr>
          <w:p w14:paraId="6C02370D">
            <w:pPr>
              <w:rPr>
                <w:rFonts w:hint="default"/>
              </w:rPr>
            </w:pPr>
            <w:r>
              <w:rPr>
                <w:rFonts w:hint="default"/>
              </w:rPr>
              <w:t>居住小区、政府机构、中小学、中专、职高、大专院校、综合体育中心、综合医院、专科医院、旅游度假区、风景名胜、公园、规模较大的商业综合体及购物广场（确有困难的，可放宽对集镇区及农村地区的要求，集镇区采集拥有独立院落的重要政府机构、医院及学校即可，农村地区可不采集）</w:t>
            </w:r>
          </w:p>
        </w:tc>
        <w:tc>
          <w:tcPr>
            <w:tcW w:w="1557" w:type="pct"/>
            <w:vAlign w:val="center"/>
          </w:tcPr>
          <w:p w14:paraId="113CC276">
            <w:pPr>
              <w:rPr>
                <w:rFonts w:hint="default"/>
              </w:rPr>
            </w:pPr>
            <w:r>
              <w:rPr>
                <w:rFonts w:hint="default"/>
              </w:rPr>
              <w:t>公司企业、幼儿园、托儿所、技校、驾校、党校、社区医疗、防疫站、体检机构、规模较大的旅游休闲场所（如广场、游乐园、动物园、高尔夫俱乐部）及娱乐购物场所（如电影院、剧院、戏院、博物馆等）</w:t>
            </w:r>
          </w:p>
        </w:tc>
      </w:tr>
      <w:tr w14:paraId="4BA2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5" w:type="pct"/>
            <w:vAlign w:val="center"/>
          </w:tcPr>
          <w:p w14:paraId="5A5F7409">
            <w:pPr>
              <w:rPr>
                <w:rFonts w:hint="default"/>
              </w:rPr>
            </w:pPr>
            <w:r>
              <w:rPr>
                <w:rFonts w:hint="default"/>
              </w:rPr>
              <w:t>地名地址与兴趣点数据</w:t>
            </w:r>
          </w:p>
        </w:tc>
        <w:tc>
          <w:tcPr>
            <w:tcW w:w="610" w:type="pct"/>
            <w:vAlign w:val="center"/>
          </w:tcPr>
          <w:p w14:paraId="5D0754BA">
            <w:pPr>
              <w:rPr>
                <w:rFonts w:hint="default"/>
              </w:rPr>
            </w:pPr>
            <w:r>
              <w:rPr>
                <w:rFonts w:hint="default"/>
              </w:rPr>
              <w:t>地名地址与</w:t>
            </w:r>
          </w:p>
          <w:p w14:paraId="03851498">
            <w:pPr>
              <w:rPr>
                <w:rFonts w:hint="default"/>
              </w:rPr>
            </w:pPr>
            <w:r>
              <w:rPr>
                <w:rFonts w:hint="default"/>
              </w:rPr>
              <w:t>兴趣点</w:t>
            </w:r>
          </w:p>
        </w:tc>
        <w:tc>
          <w:tcPr>
            <w:tcW w:w="806" w:type="pct"/>
            <w:vAlign w:val="center"/>
          </w:tcPr>
          <w:p w14:paraId="739BD7D1">
            <w:pPr>
              <w:rPr>
                <w:rFonts w:hint="default"/>
              </w:rPr>
            </w:pPr>
            <w:r>
              <w:rPr>
                <w:rFonts w:hint="default"/>
              </w:rPr>
              <w:t>PLAPT</w:t>
            </w:r>
          </w:p>
        </w:tc>
        <w:tc>
          <w:tcPr>
            <w:tcW w:w="1603" w:type="pct"/>
            <w:vAlign w:val="center"/>
          </w:tcPr>
          <w:p w14:paraId="79B21E54">
            <w:pPr>
              <w:rPr>
                <w:rFonts w:hint="default"/>
              </w:rPr>
            </w:pPr>
            <w:r>
              <w:rPr>
                <w:rFonts w:hint="default"/>
              </w:rPr>
              <w:t>区县级以上（含）政府机构、乡镇级以上（含）地名及政府驻地、重要场所（机场、火车站、汽车客运站、小区、医院、学校、公园、商业综合体、综合体育中心、城市标志性建筑、风景名胜区、规模较大的城市广场、休闲度假区等）</w:t>
            </w:r>
          </w:p>
        </w:tc>
        <w:tc>
          <w:tcPr>
            <w:tcW w:w="1557" w:type="pct"/>
            <w:vAlign w:val="center"/>
          </w:tcPr>
          <w:p w14:paraId="13F82745">
            <w:pPr>
              <w:rPr>
                <w:rFonts w:hint="default"/>
              </w:rPr>
            </w:pPr>
            <w:r>
              <w:rPr>
                <w:rFonts w:hint="default"/>
              </w:rPr>
              <w:t>行政村、自然村、村屯级地名、村组级地名、社区、集镇、区片名、村（居）委会、农村居民点地名、地址、各类兴趣点（包含政府、教育、文化、卫生、餐饮、住宿、运动、休闲、娱乐、金融、交通等类别）</w:t>
            </w:r>
          </w:p>
        </w:tc>
      </w:tr>
    </w:tbl>
    <w:p w14:paraId="5F0CEAE6">
      <w:pPr>
        <w:rPr>
          <w:rFonts w:hint="default"/>
        </w:rPr>
      </w:pPr>
    </w:p>
    <w:p w14:paraId="02970658">
      <w:pPr>
        <w:rPr>
          <w:rFonts w:hint="default"/>
        </w:rPr>
      </w:pPr>
      <w:r>
        <w:rPr>
          <w:rFonts w:hint="eastAsia"/>
          <w:lang w:val="en-US" w:eastAsia="zh-CN"/>
        </w:rPr>
        <w:t>四</w:t>
      </w:r>
      <w:r>
        <w:rPr>
          <w:rFonts w:hint="eastAsia"/>
        </w:rPr>
        <w:t>、建设周期</w:t>
      </w:r>
    </w:p>
    <w:p w14:paraId="3792A106">
      <w:pPr>
        <w:rPr>
          <w:rFonts w:hint="eastAsia"/>
          <w:lang w:val="en-US" w:eastAsia="zh-CN"/>
        </w:rPr>
      </w:pPr>
      <w:r>
        <w:rPr>
          <w:rFonts w:hint="eastAsia"/>
          <w:lang w:val="en-US" w:eastAsia="zh-CN"/>
        </w:rPr>
        <w:t>本项目建设周期：合同签订之日起到2025年12月31日。</w:t>
      </w:r>
    </w:p>
    <w:p w14:paraId="7B36C3A0">
      <w:pPr>
        <w:rPr>
          <w:rFonts w:hint="default"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本项目</w:t>
      </w:r>
      <w:r>
        <w:rPr>
          <w:rFonts w:hint="default" w:ascii="宋体" w:hAnsi="宋体" w:eastAsia="宋体" w:cs="宋体"/>
          <w:b/>
          <w:bCs/>
          <w:spacing w:val="3"/>
          <w:sz w:val="24"/>
          <w:szCs w:val="24"/>
          <w:lang w:val="en-US" w:eastAsia="zh-CN"/>
        </w:rPr>
        <w:t>申请人的资格要求：</w:t>
      </w:r>
    </w:p>
    <w:p w14:paraId="266EDEBF">
      <w:pPr>
        <w:pStyle w:val="2"/>
        <w:numPr>
          <w:ilvl w:val="0"/>
          <w:numId w:val="0"/>
        </w:numPr>
        <w:spacing w:before="212" w:line="360" w:lineRule="auto"/>
        <w:ind w:right="43" w:rightChars="0"/>
        <w:jc w:val="both"/>
        <w:rPr>
          <w:rFonts w:hint="eastAsia" w:ascii="宋体" w:hAnsi="宋体" w:eastAsia="宋体" w:cs="宋体"/>
          <w:b w:val="0"/>
          <w:bCs w:val="0"/>
          <w:spacing w:val="3"/>
          <w:sz w:val="24"/>
          <w:szCs w:val="24"/>
          <w:lang w:val="en-US" w:eastAsia="zh-CN"/>
        </w:rPr>
      </w:pPr>
      <w:r>
        <w:rPr>
          <w:rFonts w:hint="default" w:ascii="宋体" w:hAnsi="宋体" w:eastAsia="宋体" w:cs="宋体"/>
          <w:b w:val="0"/>
          <w:bCs w:val="0"/>
          <w:spacing w:val="3"/>
          <w:sz w:val="24"/>
          <w:szCs w:val="24"/>
          <w:lang w:val="en-US" w:eastAsia="zh-CN"/>
        </w:rPr>
        <w:t>满足《中华人民共和国政府采购法》第二十二条规定</w:t>
      </w:r>
      <w:r>
        <w:rPr>
          <w:rFonts w:hint="eastAsia" w:ascii="宋体" w:hAnsi="宋体" w:cs="宋体"/>
          <w:b w:val="0"/>
          <w:bCs w:val="0"/>
          <w:spacing w:val="3"/>
          <w:sz w:val="24"/>
          <w:szCs w:val="24"/>
          <w:lang w:val="en-US" w:eastAsia="zh-CN"/>
        </w:rPr>
        <w:t>：</w:t>
      </w:r>
    </w:p>
    <w:p w14:paraId="3F716D17">
      <w:pPr>
        <w:widowControl w:val="0"/>
        <w:spacing w:beforeAutospacing="0" w:afterAutospacing="0" w:line="400" w:lineRule="exact"/>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1.提供合法有效的法人的营业执照（或事业单位法人证书）或其他组织应提供合法证明文件的扫描件。</w:t>
      </w:r>
    </w:p>
    <w:p w14:paraId="6AD82B61">
      <w:pPr>
        <w:widowControl w:val="0"/>
        <w:spacing w:beforeAutospacing="0" w:afterAutospacing="0" w:line="400" w:lineRule="exact"/>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2.财务状况报告，至少提供：供应商的“首次响应文件提交的截止时间”前6个月内任何1月（不含“首次响应文件提交的截止时间”当月）的资产负债表的扫描件1份；供应商的“首次响应文件提交的截止时间”前6个月内任何1月（不含“首次响应文件提交的截止时间”当月）的利润表月报表的扫描件1份；或提供2024年度财务报告应包括审计报告正文、资产负债表、现金流量表、利润表）。</w:t>
      </w:r>
    </w:p>
    <w:p w14:paraId="2B59A796">
      <w:pPr>
        <w:widowControl w:val="0"/>
        <w:spacing w:beforeAutospacing="0" w:afterAutospacing="0" w:line="400" w:lineRule="exact"/>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3.供应商的“首次响应文件提交的截止时间”前6个月内任何1月的依法缴纳税收和社会保障资金的相关材料的扫描件（依法免税或不需要缴纳社会保障资金的供应商,应提供相应文件证明其依法免税或不需要缴纳社会保障资金)。</w:t>
      </w:r>
    </w:p>
    <w:p w14:paraId="4DCCE877">
      <w:pPr>
        <w:widowControl w:val="0"/>
        <w:spacing w:beforeAutospacing="0" w:afterAutospacing="0" w:line="400" w:lineRule="exact"/>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4.具备履行合同所必需的设备和专业技术能力的书面声明。响应文件中提供《具备履行合同所必需的设备和专业技术能力的书面声明》（加盖电子签章，格式见《磋商文件》附件）；</w:t>
      </w:r>
    </w:p>
    <w:p w14:paraId="6BC92429">
      <w:pPr>
        <w:widowControl w:val="0"/>
        <w:spacing w:beforeAutospacing="0" w:afterAutospacing="0" w:line="400" w:lineRule="exact"/>
        <w:jc w:val="both"/>
        <w:rPr>
          <w:rFonts w:hint="eastAsia" w:ascii="宋体" w:hAnsi="宋体" w:eastAsia="宋体" w:cs="Times New Roman"/>
          <w:color w:val="auto"/>
          <w:sz w:val="24"/>
          <w:szCs w:val="24"/>
          <w:highlight w:val="none"/>
          <w:lang w:val="en-US" w:eastAsia="zh-CN" w:bidi="ar-SA"/>
        </w:rPr>
      </w:pPr>
      <w:r>
        <w:rPr>
          <w:rFonts w:hint="eastAsia" w:ascii="宋体" w:hAnsi="宋体" w:eastAsia="宋体" w:cs="Times New Roman"/>
          <w:color w:val="auto"/>
          <w:sz w:val="24"/>
          <w:szCs w:val="24"/>
          <w:highlight w:val="none"/>
          <w:lang w:val="en-US" w:eastAsia="zh-CN" w:bidi="ar-SA"/>
        </w:rPr>
        <w:t>5.供应商参加政府采购活动前3年内在经营活动中没有重大违法记录的书面声明（加盖电子签章，格式见《磋商文件》附件）；</w:t>
      </w:r>
    </w:p>
    <w:p w14:paraId="63FD60C4">
      <w:pPr>
        <w:widowControl w:val="0"/>
        <w:spacing w:beforeAutospacing="0" w:afterAutospacing="0" w:line="360" w:lineRule="auto"/>
        <w:jc w:val="both"/>
        <w:rPr>
          <w:rFonts w:hint="default" w:ascii="宋体" w:hAnsi="宋体" w:eastAsia="宋体" w:cs="宋体"/>
          <w:b w:val="0"/>
          <w:bCs w:val="0"/>
          <w:spacing w:val="3"/>
          <w:sz w:val="24"/>
          <w:szCs w:val="24"/>
          <w:lang w:val="en-US" w:eastAsia="zh-CN"/>
        </w:rPr>
      </w:pPr>
      <w:r>
        <w:rPr>
          <w:rFonts w:hint="eastAsia" w:ascii="宋体" w:hAnsi="宋体" w:eastAsia="宋体" w:cs="Times New Roman"/>
          <w:i w:val="0"/>
          <w:iCs w:val="0"/>
          <w:color w:val="auto"/>
          <w:sz w:val="24"/>
          <w:szCs w:val="24"/>
          <w:highlight w:val="none"/>
          <w:lang w:val="en-US" w:eastAsia="zh-CN" w:bidi="ar-SA"/>
        </w:rPr>
        <w:t>6.本项目的特定资格条件：</w:t>
      </w:r>
      <w:r>
        <w:rPr>
          <w:rFonts w:hint="eastAsia" w:ascii="宋体" w:hAnsi="宋体" w:eastAsia="宋体" w:cs="宋体"/>
          <w:b/>
          <w:bCs/>
          <w:color w:val="auto"/>
          <w:sz w:val="24"/>
          <w:szCs w:val="24"/>
          <w:highlight w:val="none"/>
          <w:lang w:val="en-US" w:eastAsia="zh-CN" w:bidi="ar-SA"/>
        </w:rPr>
        <w:t>投标人具备有效的甲级测绘资质</w:t>
      </w:r>
      <w:r>
        <w:rPr>
          <w:rFonts w:hint="eastAsia" w:ascii="宋体" w:hAnsi="宋体" w:eastAsia="宋体" w:cs="Times New Roman"/>
          <w:i w:val="0"/>
          <w:iCs w:val="0"/>
          <w:color w:val="auto"/>
          <w:sz w:val="24"/>
          <w:szCs w:val="24"/>
          <w:highlight w:val="none"/>
          <w:lang w:val="en-US" w:eastAsia="zh-CN" w:bidi="ar-SA"/>
        </w:rPr>
        <w:t>。</w:t>
      </w:r>
    </w:p>
    <w:p w14:paraId="242707C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D616D"/>
    <w:rsid w:val="062D0E51"/>
    <w:rsid w:val="0B3B4666"/>
    <w:rsid w:val="0F7E7E10"/>
    <w:rsid w:val="11ED616D"/>
    <w:rsid w:val="174171DE"/>
    <w:rsid w:val="17A43C9E"/>
    <w:rsid w:val="19B17A41"/>
    <w:rsid w:val="1D2E78BA"/>
    <w:rsid w:val="206C6470"/>
    <w:rsid w:val="21355558"/>
    <w:rsid w:val="244B286A"/>
    <w:rsid w:val="25F3714D"/>
    <w:rsid w:val="26253E74"/>
    <w:rsid w:val="28387E79"/>
    <w:rsid w:val="318E1FC7"/>
    <w:rsid w:val="332B764D"/>
    <w:rsid w:val="4A573E87"/>
    <w:rsid w:val="4DDA685F"/>
    <w:rsid w:val="4DF711BF"/>
    <w:rsid w:val="54353136"/>
    <w:rsid w:val="67372436"/>
    <w:rsid w:val="69E43CAC"/>
    <w:rsid w:val="6C1D57AE"/>
    <w:rsid w:val="6CED5E0F"/>
    <w:rsid w:val="70536476"/>
    <w:rsid w:val="72944210"/>
    <w:rsid w:val="7AD1145B"/>
    <w:rsid w:val="7B70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sz w:val="20"/>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列出段落2"/>
    <w:basedOn w:val="7"/>
    <w:qFormat/>
    <w:uiPriority w:val="0"/>
    <w:pPr>
      <w:ind w:firstLine="420"/>
    </w:pPr>
    <w:rPr>
      <w:rFonts w:ascii="Times New Roman" w:hAnsi="Times New Roman" w:eastAsia="宋体"/>
    </w:rPr>
  </w:style>
  <w:style w:type="paragraph" w:customStyle="1" w:styleId="7">
    <w:name w:val="正文1"/>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脚注文本1"/>
    <w:basedOn w:val="9"/>
    <w:next w:val="14"/>
    <w:unhideWhenUsed/>
    <w:qFormat/>
    <w:uiPriority w:val="99"/>
    <w:pPr>
      <w:spacing w:after="40"/>
    </w:pPr>
    <w:rPr>
      <w:sz w:val="18"/>
    </w:rPr>
  </w:style>
  <w:style w:type="paragraph" w:customStyle="1" w:styleId="9">
    <w:name w:val="正文111"/>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文本1"/>
    <w:basedOn w:val="11"/>
    <w:next w:val="13"/>
    <w:qFormat/>
    <w:uiPriority w:val="0"/>
    <w:pPr>
      <w:widowControl w:val="0"/>
      <w:spacing w:after="120"/>
      <w:jc w:val="both"/>
    </w:pPr>
    <w:rPr>
      <w:rFonts w:ascii="Calibri" w:hAnsi="Calibri"/>
      <w:sz w:val="21"/>
      <w:szCs w:val="24"/>
    </w:rPr>
  </w:style>
  <w:style w:type="paragraph" w:customStyle="1" w:styleId="11">
    <w:name w:val="正文12"/>
    <w:next w:val="12"/>
    <w:qFormat/>
    <w:uiPriority w:val="0"/>
    <w:pPr>
      <w:widowControl w:val="0"/>
      <w:jc w:val="both"/>
    </w:pPr>
    <w:rPr>
      <w:rFonts w:hint="default" w:ascii="Calibri" w:hAnsi="Calibri" w:eastAsia="Calibri" w:cs="Times New Roman"/>
      <w:sz w:val="21"/>
      <w:szCs w:val="24"/>
      <w:lang w:val="en-US" w:eastAsia="zh-CN" w:bidi="ar-SA"/>
    </w:rPr>
  </w:style>
  <w:style w:type="paragraph" w:customStyle="1" w:styleId="12">
    <w:name w:val="目录 111"/>
    <w:basedOn w:val="9"/>
    <w:next w:val="11"/>
    <w:qFormat/>
    <w:uiPriority w:val="0"/>
    <w:pPr>
      <w:tabs>
        <w:tab w:val="right" w:leader="dot" w:pos="8296"/>
      </w:tabs>
      <w:spacing w:before="120" w:after="120" w:line="360" w:lineRule="auto"/>
      <w:ind w:firstLine="0"/>
      <w:jc w:val="left"/>
    </w:pPr>
  </w:style>
  <w:style w:type="paragraph" w:customStyle="1" w:styleId="13">
    <w:name w:val="正文11"/>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4">
    <w:name w:val="索引 51"/>
    <w:basedOn w:val="7"/>
    <w:next w:val="13"/>
    <w:qFormat/>
    <w:uiPriority w:val="0"/>
    <w:pPr>
      <w:ind w:left="798" w:firstLine="482"/>
      <w:jc w:val="left"/>
    </w:pPr>
    <w:rPr>
      <w:rFonts w:ascii="Calibri" w:hAnsi="Calibri"/>
    </w:rPr>
  </w:style>
  <w:style w:type="paragraph" w:customStyle="1" w:styleId="15">
    <w:name w:val="正文13"/>
    <w:qFormat/>
    <w:uiPriority w:val="0"/>
    <w:pPr>
      <w:widowControl w:val="0"/>
      <w:jc w:val="both"/>
    </w:pPr>
    <w:rPr>
      <w:rFonts w:hint="default"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emf"/><Relationship Id="rId5" Type="http://schemas.openxmlformats.org/officeDocument/2006/relationships/package" Target="embeddings/Microsoft_Visio___1.vsdx"/><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5627</Words>
  <Characters>6025</Characters>
  <Lines>0</Lines>
  <Paragraphs>0</Paragraphs>
  <TotalTime>43</TotalTime>
  <ScaleCrop>false</ScaleCrop>
  <LinksUpToDate>false</LinksUpToDate>
  <CharactersWithSpaces>6039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2025-02-10T09:30:00Z</dcterms:created>
  <dc:creator>Administrator</dc:creator>
  <cp:lastModifiedBy>徐州辰拓</cp:lastModifiedBy>
  <dcterms:modified xsi:type="dcterms:W3CDTF">2025-04-21T07:25:22Z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5EAFED95BD1C44B59FCA3F9BDF200FF7_13</vt:lpwstr>
  </property>
  <property fmtid="{D5CDD505-2E9C-101B-9397-08002B2CF9AE}" pid="4" name="KSOTemplateDocerSaveRecord">
    <vt:lpwstr>eyJoZGlkIjoiOGNjODMzYjVlMzk0NWQ3YTFlYjVhMGI3MzM4MGQ5NTEiLCJ1c2VySWQiOiIxMzg0NTY4NjY4In0=</vt:lpwstr>
  </property>
</Properties>
</file>