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560" w:firstLineChars="200"/>
        <w:jc w:val="both"/>
        <w:rPr>
          <w:rFonts w:hint="eastAsia" w:ascii="宋体" w:hAnsi="宋体" w:eastAsia="宋体" w:cs="宋体"/>
          <w:sz w:val="28"/>
          <w:szCs w:val="28"/>
        </w:rPr>
      </w:pPr>
      <w:r>
        <w:rPr>
          <w:rFonts w:hint="eastAsia" w:ascii="宋体" w:hAnsi="宋体" w:eastAsia="宋体" w:cs="宋体"/>
          <w:sz w:val="28"/>
          <w:szCs w:val="28"/>
        </w:rPr>
        <w:t>如有建议或意见，请以书面形式并加盖公章、注明联系人、联系方式，于202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3</w:t>
      </w:r>
      <w:r>
        <w:rPr>
          <w:rFonts w:hint="eastAsia" w:ascii="宋体" w:hAnsi="宋体" w:eastAsia="宋体" w:cs="宋体"/>
          <w:sz w:val="28"/>
          <w:szCs w:val="28"/>
        </w:rPr>
        <w:t>日17:00之前送至我单位，逾期不受理（如邮寄，202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3</w:t>
      </w:r>
      <w:r>
        <w:rPr>
          <w:rFonts w:hint="eastAsia" w:ascii="宋体" w:hAnsi="宋体" w:eastAsia="宋体" w:cs="宋体"/>
          <w:sz w:val="28"/>
          <w:szCs w:val="28"/>
        </w:rPr>
        <w:t>日17:00之后到达本公司的邮件将不再受理）。</w:t>
      </w:r>
    </w:p>
    <w:p>
      <w:pPr>
        <w:rPr>
          <w:rFonts w:hint="eastAsia" w:ascii="宋体" w:hAnsi="宋体" w:cs="宋体"/>
          <w:b/>
          <w:bCs/>
          <w:color w:val="000000" w:themeColor="text1"/>
          <w:sz w:val="30"/>
          <w:szCs w:val="44"/>
          <w14:textFill>
            <w14:solidFill>
              <w14:schemeClr w14:val="tx1"/>
            </w14:solidFill>
          </w14:textFill>
        </w:rPr>
      </w:pPr>
      <w:r>
        <w:rPr>
          <w:rFonts w:hint="eastAsia" w:ascii="宋体" w:hAnsi="宋体" w:cs="宋体"/>
          <w:b/>
          <w:bCs/>
          <w:color w:val="000000" w:themeColor="text1"/>
          <w:sz w:val="30"/>
          <w:szCs w:val="44"/>
          <w14:textFill>
            <w14:solidFill>
              <w14:schemeClr w14:val="tx1"/>
            </w14:solidFill>
          </w14:textFill>
        </w:rPr>
        <w:br w:type="page"/>
      </w:r>
    </w:p>
    <w:p>
      <w:pPr>
        <w:pStyle w:val="25"/>
        <w:keepNext/>
        <w:keepLines/>
        <w:pageBreakBefore w:val="0"/>
        <w:widowControl w:val="0"/>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t>第六章  采购需求</w:t>
      </w:r>
    </w:p>
    <w:p>
      <w:pPr>
        <w:pStyle w:val="13"/>
        <w:keepNext w:val="0"/>
        <w:keepLines w:val="0"/>
        <w:pageBreakBefore w:val="0"/>
        <w:tabs>
          <w:tab w:val="left" w:pos="0"/>
        </w:tabs>
        <w:kinsoku/>
        <w:wordWrap/>
        <w:overflowPunct/>
        <w:topLinePunct w:val="0"/>
        <w:autoSpaceDE/>
        <w:autoSpaceDN/>
        <w:bidi w:val="0"/>
        <w:adjustRightInd/>
        <w:snapToGrid/>
        <w:spacing w:line="440" w:lineRule="exact"/>
        <w:ind w:left="0" w:firstLine="562" w:firstLineChars="20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一、项目概况</w:t>
      </w:r>
    </w:p>
    <w:p>
      <w:pPr>
        <w:pStyle w:val="13"/>
        <w:keepNext w:val="0"/>
        <w:keepLines w:val="0"/>
        <w:pageBreakBefore w:val="0"/>
        <w:tabs>
          <w:tab w:val="left" w:pos="0"/>
        </w:tabs>
        <w:kinsoku/>
        <w:wordWrap/>
        <w:overflowPunct/>
        <w:topLinePunct w:val="0"/>
        <w:autoSpaceDE/>
        <w:autoSpaceDN/>
        <w:bidi w:val="0"/>
        <w:adjustRightInd/>
        <w:snapToGrid/>
        <w:spacing w:line="440" w:lineRule="exact"/>
        <w:ind w:left="0" w:firstLine="560" w:firstLineChars="200"/>
        <w:jc w:val="lef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（一）项目名称：2025年云龙区食品安全抽检</w:t>
      </w:r>
    </w:p>
    <w:p>
      <w:pPr>
        <w:pStyle w:val="13"/>
        <w:keepNext w:val="0"/>
        <w:keepLines w:val="0"/>
        <w:pageBreakBefore w:val="0"/>
        <w:tabs>
          <w:tab w:val="left" w:pos="0"/>
        </w:tabs>
        <w:kinsoku/>
        <w:wordWrap/>
        <w:overflowPunct/>
        <w:topLinePunct w:val="0"/>
        <w:autoSpaceDE/>
        <w:autoSpaceDN/>
        <w:bidi w:val="0"/>
        <w:adjustRightInd/>
        <w:snapToGrid/>
        <w:spacing w:line="440" w:lineRule="exact"/>
        <w:ind w:left="0" w:firstLine="560" w:firstLineChars="200"/>
        <w:jc w:val="lef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（二）项目预算金额：</w:t>
      </w:r>
    </w:p>
    <w:p>
      <w:pPr>
        <w:pStyle w:val="13"/>
        <w:keepNext w:val="0"/>
        <w:keepLines w:val="0"/>
        <w:pageBreakBefore w:val="0"/>
        <w:tabs>
          <w:tab w:val="left" w:pos="0"/>
        </w:tabs>
        <w:kinsoku/>
        <w:wordWrap/>
        <w:overflowPunct/>
        <w:topLinePunct w:val="0"/>
        <w:autoSpaceDE/>
        <w:autoSpaceDN/>
        <w:bidi w:val="0"/>
        <w:adjustRightInd/>
        <w:snapToGrid/>
        <w:spacing w:line="44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采购包一不接受超过 40万元人民币（预算金额）的投标报价；</w:t>
      </w:r>
    </w:p>
    <w:p>
      <w:pPr>
        <w:pStyle w:val="13"/>
        <w:keepNext w:val="0"/>
        <w:keepLines w:val="0"/>
        <w:pageBreakBefore w:val="0"/>
        <w:tabs>
          <w:tab w:val="left" w:pos="0"/>
        </w:tabs>
        <w:kinsoku/>
        <w:wordWrap/>
        <w:overflowPunct/>
        <w:topLinePunct w:val="0"/>
        <w:autoSpaceDE/>
        <w:autoSpaceDN/>
        <w:bidi w:val="0"/>
        <w:adjustRightInd/>
        <w:snapToGrid/>
        <w:spacing w:line="440" w:lineRule="exact"/>
        <w:ind w:left="0" w:firstLine="560" w:firstLineChars="200"/>
        <w:jc w:val="lef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val="en-US" w:eastAsia="zh-CN"/>
        </w:rPr>
        <w:t>采购包二不接受超过 39.5万元人民币（预算金额）的投标报价。</w:t>
      </w:r>
    </w:p>
    <w:p>
      <w:pPr>
        <w:pStyle w:val="13"/>
        <w:keepNext w:val="0"/>
        <w:keepLines w:val="0"/>
        <w:pageBreakBefore w:val="0"/>
        <w:tabs>
          <w:tab w:val="left" w:pos="0"/>
        </w:tabs>
        <w:kinsoku/>
        <w:wordWrap/>
        <w:overflowPunct/>
        <w:topLinePunct w:val="0"/>
        <w:autoSpaceDE/>
        <w:autoSpaceDN/>
        <w:bidi w:val="0"/>
        <w:adjustRightInd/>
        <w:snapToGrid/>
        <w:spacing w:line="440" w:lineRule="exact"/>
        <w:ind w:left="0" w:firstLine="560" w:firstLineChars="200"/>
        <w:jc w:val="left"/>
        <w:textAlignment w:val="auto"/>
        <w:rPr>
          <w:rFonts w:hint="eastAsia" w:ascii="仿宋" w:hAnsi="仿宋" w:eastAsia="仿宋" w:cs="仿宋"/>
          <w:b w:val="0"/>
          <w:bCs w:val="0"/>
          <w:color w:val="auto"/>
          <w:sz w:val="28"/>
          <w:szCs w:val="28"/>
          <w:highlight w:val="none"/>
          <w:lang w:eastAsia="zh-CN"/>
        </w:rPr>
      </w:pPr>
      <w:r>
        <w:rPr>
          <w:rFonts w:hint="eastAsia" w:ascii="仿宋" w:hAnsi="仿宋" w:eastAsia="仿宋" w:cs="仿宋"/>
          <w:b w:val="0"/>
          <w:bCs w:val="0"/>
          <w:color w:val="auto"/>
          <w:sz w:val="28"/>
          <w:szCs w:val="28"/>
          <w:highlight w:val="none"/>
          <w:lang w:eastAsia="zh-CN"/>
        </w:rPr>
        <w:t>（三）</w:t>
      </w:r>
      <w:r>
        <w:rPr>
          <w:rFonts w:hint="eastAsia" w:ascii="仿宋" w:hAnsi="仿宋" w:eastAsia="仿宋" w:cs="仿宋"/>
          <w:b w:val="0"/>
          <w:bCs w:val="0"/>
          <w:color w:val="auto"/>
          <w:sz w:val="28"/>
          <w:szCs w:val="28"/>
          <w:highlight w:val="none"/>
          <w:lang w:val="en-US" w:eastAsia="zh-CN"/>
        </w:rPr>
        <w:t>投标人的投标</w:t>
      </w:r>
      <w:r>
        <w:rPr>
          <w:rFonts w:hint="eastAsia" w:ascii="仿宋" w:hAnsi="仿宋" w:eastAsia="仿宋" w:cs="仿宋"/>
          <w:b w:val="0"/>
          <w:bCs w:val="0"/>
          <w:color w:val="auto"/>
          <w:sz w:val="28"/>
          <w:szCs w:val="28"/>
          <w:highlight w:val="none"/>
          <w:lang w:eastAsia="zh-CN"/>
        </w:rPr>
        <w:t>报价内容包括</w:t>
      </w:r>
      <w:r>
        <w:rPr>
          <w:rFonts w:hint="eastAsia" w:ascii="仿宋" w:hAnsi="仿宋" w:eastAsia="仿宋" w:cs="仿宋"/>
          <w:b w:val="0"/>
          <w:bCs w:val="0"/>
          <w:color w:val="auto"/>
          <w:sz w:val="28"/>
          <w:szCs w:val="28"/>
          <w:highlight w:val="none"/>
          <w:lang w:val="en-US" w:eastAsia="zh-CN"/>
        </w:rPr>
        <w:t>采样费、检测费、买样费</w:t>
      </w:r>
      <w:r>
        <w:rPr>
          <w:rFonts w:hint="eastAsia" w:ascii="仿宋" w:hAnsi="仿宋" w:eastAsia="仿宋" w:cs="仿宋"/>
          <w:b w:val="0"/>
          <w:bCs w:val="0"/>
          <w:color w:val="auto"/>
          <w:sz w:val="28"/>
          <w:szCs w:val="28"/>
          <w:highlight w:val="none"/>
          <w:lang w:eastAsia="zh-CN"/>
        </w:rPr>
        <w:t>、各种税费、交通费、人工、保险、利润、税金、复检合格应支付给复检机构的复检费用及合同包含的所有风险、责任等各项应有的全部费用，采购人不再支付报价以外的任何费用。</w:t>
      </w:r>
    </w:p>
    <w:p>
      <w:pPr>
        <w:pStyle w:val="26"/>
        <w:keepNext w:val="0"/>
        <w:keepLines w:val="0"/>
        <w:pageBreakBefore w:val="0"/>
        <w:numPr>
          <w:ilvl w:val="0"/>
          <w:numId w:val="0"/>
        </w:numPr>
        <w:kinsoku/>
        <w:wordWrap/>
        <w:overflowPunct/>
        <w:topLinePunct w:val="0"/>
        <w:autoSpaceDE/>
        <w:autoSpaceDN/>
        <w:bidi w:val="0"/>
        <w:adjustRightInd/>
        <w:snapToGrid/>
        <w:spacing w:after="0" w:line="440" w:lineRule="exact"/>
        <w:ind w:left="0" w:leftChars="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eastAsia="zh-CN"/>
        </w:rPr>
        <w:t>（四）服务期限：</w:t>
      </w:r>
      <w:r>
        <w:rPr>
          <w:rFonts w:hint="eastAsia" w:ascii="仿宋" w:hAnsi="仿宋" w:eastAsia="仿宋" w:cs="仿宋"/>
          <w:b w:val="0"/>
          <w:bCs w:val="0"/>
          <w:color w:val="auto"/>
          <w:sz w:val="28"/>
          <w:szCs w:val="28"/>
          <w:highlight w:val="none"/>
          <w:lang w:val="en-US" w:eastAsia="zh-CN" w:bidi="ar-SA"/>
        </w:rPr>
        <w:t>合同签订后至2026年</w:t>
      </w:r>
      <w:bookmarkStart w:id="2" w:name="_GoBack"/>
      <w:bookmarkEnd w:id="2"/>
      <w:r>
        <w:rPr>
          <w:rFonts w:hint="eastAsia" w:ascii="仿宋" w:hAnsi="仿宋" w:eastAsia="仿宋" w:cs="仿宋"/>
          <w:b w:val="0"/>
          <w:bCs w:val="0"/>
          <w:color w:val="auto"/>
          <w:sz w:val="28"/>
          <w:szCs w:val="28"/>
          <w:highlight w:val="none"/>
          <w:lang w:val="en-US" w:eastAsia="zh-CN" w:bidi="ar-SA"/>
        </w:rPr>
        <w:t>4月30日完成全部抽样检测任务</w:t>
      </w:r>
      <w:r>
        <w:rPr>
          <w:rFonts w:hint="eastAsia" w:ascii="仿宋" w:hAnsi="仿宋" w:eastAsia="仿宋" w:cs="仿宋"/>
          <w:b w:val="0"/>
          <w:bCs w:val="0"/>
          <w:color w:val="auto"/>
          <w:sz w:val="28"/>
          <w:szCs w:val="28"/>
          <w:highlight w:val="none"/>
          <w:lang w:val="en-US" w:eastAsia="zh-CN"/>
        </w:rPr>
        <w:t>。</w:t>
      </w:r>
    </w:p>
    <w:p>
      <w:pPr>
        <w:pStyle w:val="13"/>
        <w:keepNext w:val="0"/>
        <w:keepLines w:val="0"/>
        <w:pageBreakBefore w:val="0"/>
        <w:tabs>
          <w:tab w:val="left" w:pos="0"/>
        </w:tabs>
        <w:kinsoku/>
        <w:wordWrap/>
        <w:overflowPunct/>
        <w:topLinePunct w:val="0"/>
        <w:autoSpaceDE/>
        <w:autoSpaceDN/>
        <w:bidi w:val="0"/>
        <w:adjustRightInd/>
        <w:snapToGrid/>
        <w:spacing w:line="44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（五）为确保徐州市云龙区食品安全抽检监测工作顺利开展，现向全国范围内进行检验机构招标，承担2025年徐州市云龙区食品安全抽检监测任务。（本项目不专门面向中小微企业）</w:t>
      </w:r>
    </w:p>
    <w:p>
      <w:pPr>
        <w:pStyle w:val="13"/>
        <w:keepNext w:val="0"/>
        <w:keepLines w:val="0"/>
        <w:pageBreakBefore w:val="0"/>
        <w:tabs>
          <w:tab w:val="left" w:pos="0"/>
        </w:tabs>
        <w:kinsoku/>
        <w:wordWrap/>
        <w:overflowPunct/>
        <w:topLinePunct w:val="0"/>
        <w:autoSpaceDE/>
        <w:autoSpaceDN/>
        <w:bidi w:val="0"/>
        <w:adjustRightInd/>
        <w:snapToGrid/>
        <w:spacing w:line="440" w:lineRule="exact"/>
        <w:ind w:left="0" w:firstLine="562" w:firstLineChars="200"/>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（六）本项目共划分2个采购包，投标人可参加所有采购包投标，但只允许中标一个采购包，定标顺序为采购包一至采购包二。</w:t>
      </w:r>
    </w:p>
    <w:p>
      <w:pPr>
        <w:pStyle w:val="5"/>
        <w:keepNext w:val="0"/>
        <w:keepLines w:val="0"/>
        <w:pageBreakBefore w:val="0"/>
        <w:kinsoku/>
        <w:wordWrap/>
        <w:overflowPunct/>
        <w:topLinePunct w:val="0"/>
        <w:autoSpaceDE/>
        <w:autoSpaceDN/>
        <w:bidi w:val="0"/>
        <w:adjustRightInd/>
        <w:snapToGrid/>
        <w:spacing w:line="440" w:lineRule="exact"/>
        <w:ind w:left="0" w:firstLine="562" w:firstLineChars="200"/>
        <w:jc w:val="left"/>
        <w:textAlignment w:val="auto"/>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二、服务范围及批次</w:t>
      </w:r>
    </w:p>
    <w:p>
      <w:pPr>
        <w:pStyle w:val="26"/>
        <w:keepNext w:val="0"/>
        <w:keepLines w:val="0"/>
        <w:pageBreakBefore w:val="0"/>
        <w:widowControl w:val="0"/>
        <w:spacing w:line="520" w:lineRule="exact"/>
        <w:ind w:left="0" w:firstLine="480"/>
        <w:rPr>
          <w:rFonts w:hint="eastAsia" w:ascii="仿宋" w:hAnsi="仿宋" w:eastAsia="仿宋" w:cs="仿宋"/>
          <w:color w:val="000000"/>
          <w:sz w:val="28"/>
          <w:szCs w:val="28"/>
          <w:highlight w:val="none"/>
        </w:rPr>
      </w:pPr>
      <w:r>
        <w:rPr>
          <w:rFonts w:hint="eastAsia" w:ascii="仿宋" w:hAnsi="仿宋" w:eastAsia="仿宋" w:cs="仿宋"/>
          <w:bCs/>
          <w:color w:val="000000"/>
          <w:sz w:val="28"/>
          <w:szCs w:val="28"/>
          <w:highlight w:val="none"/>
        </w:rPr>
        <w:t>食品安全抽检服务范围：对</w:t>
      </w:r>
      <w:r>
        <w:rPr>
          <w:rFonts w:hint="eastAsia" w:ascii="仿宋" w:hAnsi="仿宋" w:eastAsia="仿宋" w:cs="仿宋"/>
          <w:bCs/>
          <w:color w:val="000000"/>
          <w:sz w:val="28"/>
          <w:szCs w:val="28"/>
          <w:highlight w:val="none"/>
          <w:lang w:val="en-US" w:eastAsia="zh-CN"/>
        </w:rPr>
        <w:t>云龙辖区</w:t>
      </w:r>
      <w:r>
        <w:rPr>
          <w:rFonts w:hint="eastAsia" w:ascii="仿宋" w:hAnsi="仿宋" w:eastAsia="仿宋" w:cs="仿宋"/>
          <w:bCs/>
          <w:color w:val="000000"/>
          <w:sz w:val="28"/>
          <w:szCs w:val="28"/>
          <w:highlight w:val="none"/>
        </w:rPr>
        <w:t>开展</w:t>
      </w:r>
      <w:r>
        <w:rPr>
          <w:rFonts w:hint="eastAsia" w:ascii="仿宋" w:hAnsi="仿宋" w:eastAsia="仿宋" w:cs="仿宋"/>
          <w:bCs/>
          <w:color w:val="000000"/>
          <w:sz w:val="28"/>
          <w:szCs w:val="28"/>
          <w:highlight w:val="none"/>
          <w:lang w:val="en-US" w:eastAsia="zh-CN"/>
        </w:rPr>
        <w:t>食品生产</w:t>
      </w:r>
      <w:r>
        <w:rPr>
          <w:rFonts w:hint="eastAsia" w:ascii="仿宋" w:hAnsi="仿宋" w:eastAsia="仿宋" w:cs="仿宋"/>
          <w:bCs/>
          <w:color w:val="000000"/>
          <w:sz w:val="28"/>
          <w:szCs w:val="28"/>
          <w:highlight w:val="none"/>
        </w:rPr>
        <w:t>、</w:t>
      </w:r>
      <w:r>
        <w:rPr>
          <w:rFonts w:hint="eastAsia" w:ascii="仿宋" w:hAnsi="仿宋" w:eastAsia="仿宋" w:cs="仿宋"/>
          <w:bCs/>
          <w:color w:val="000000"/>
          <w:sz w:val="28"/>
          <w:szCs w:val="28"/>
          <w:highlight w:val="none"/>
          <w:lang w:val="en-US" w:eastAsia="zh-CN"/>
        </w:rPr>
        <w:t>流通、餐饮各环节</w:t>
      </w:r>
      <w:r>
        <w:rPr>
          <w:rFonts w:hint="eastAsia" w:ascii="仿宋" w:hAnsi="仿宋" w:eastAsia="仿宋" w:cs="仿宋"/>
          <w:bCs/>
          <w:color w:val="000000"/>
          <w:sz w:val="28"/>
          <w:szCs w:val="28"/>
          <w:highlight w:val="none"/>
        </w:rPr>
        <w:t>及应急投诉等食品安全监督抽检。</w:t>
      </w:r>
    </w:p>
    <w:p>
      <w:pPr>
        <w:pStyle w:val="26"/>
        <w:numPr>
          <w:ilvl w:val="0"/>
          <w:numId w:val="0"/>
        </w:numPr>
        <w:ind w:left="420"/>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采购包一：</w:t>
      </w:r>
    </w:p>
    <w:tbl>
      <w:tblPr>
        <w:tblStyle w:val="29"/>
        <w:tblW w:w="0" w:type="auto"/>
        <w:tblInd w:w="6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7"/>
        <w:gridCol w:w="1950"/>
        <w:gridCol w:w="1515"/>
        <w:gridCol w:w="2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517" w:type="dxa"/>
            <w:noWrap w:val="0"/>
            <w:vAlign w:val="center"/>
          </w:tcPr>
          <w:p>
            <w:pPr>
              <w:pStyle w:val="11"/>
              <w:spacing w:line="520" w:lineRule="exact"/>
              <w:jc w:val="center"/>
              <w:rPr>
                <w:rFonts w:hint="eastAsia" w:ascii="仿宋" w:hAnsi="仿宋" w:eastAsia="仿宋" w:cs="仿宋"/>
                <w:b/>
                <w:bCs/>
                <w:color w:val="000000"/>
                <w:sz w:val="28"/>
                <w:szCs w:val="28"/>
                <w:highlight w:val="none"/>
                <w:vertAlign w:val="baseline"/>
                <w:lang w:val="en-US" w:eastAsia="zh-CN"/>
              </w:rPr>
            </w:pPr>
            <w:r>
              <w:rPr>
                <w:rFonts w:hint="eastAsia" w:ascii="仿宋" w:hAnsi="仿宋" w:eastAsia="仿宋" w:cs="仿宋"/>
                <w:b/>
                <w:bCs/>
                <w:sz w:val="28"/>
                <w:szCs w:val="28"/>
                <w:highlight w:val="none"/>
              </w:rPr>
              <w:t>抽检区域</w:t>
            </w:r>
          </w:p>
        </w:tc>
        <w:tc>
          <w:tcPr>
            <w:tcW w:w="1950" w:type="dxa"/>
            <w:noWrap w:val="0"/>
            <w:vAlign w:val="center"/>
          </w:tcPr>
          <w:p>
            <w:pPr>
              <w:pStyle w:val="11"/>
              <w:spacing w:line="520" w:lineRule="exact"/>
              <w:jc w:val="center"/>
              <w:rPr>
                <w:rFonts w:hint="eastAsia" w:ascii="仿宋" w:hAnsi="仿宋" w:eastAsia="仿宋" w:cs="仿宋"/>
                <w:b/>
                <w:bCs/>
                <w:color w:val="000000"/>
                <w:sz w:val="28"/>
                <w:szCs w:val="28"/>
                <w:highlight w:val="none"/>
                <w:vertAlign w:val="baseline"/>
                <w:lang w:val="en-US" w:eastAsia="zh-CN"/>
              </w:rPr>
            </w:pPr>
            <w:r>
              <w:rPr>
                <w:rFonts w:hint="eastAsia" w:ascii="仿宋" w:hAnsi="仿宋" w:eastAsia="仿宋" w:cs="仿宋"/>
                <w:b/>
                <w:bCs/>
                <w:sz w:val="28"/>
                <w:szCs w:val="28"/>
                <w:highlight w:val="none"/>
              </w:rPr>
              <w:t>抽检类型</w:t>
            </w:r>
          </w:p>
        </w:tc>
        <w:tc>
          <w:tcPr>
            <w:tcW w:w="1515" w:type="dxa"/>
            <w:noWrap w:val="0"/>
            <w:vAlign w:val="center"/>
          </w:tcPr>
          <w:p>
            <w:pPr>
              <w:pStyle w:val="11"/>
              <w:spacing w:line="520" w:lineRule="exact"/>
              <w:jc w:val="center"/>
              <w:rPr>
                <w:rFonts w:hint="eastAsia" w:ascii="仿宋" w:hAnsi="仿宋" w:eastAsia="仿宋" w:cs="仿宋"/>
                <w:b/>
                <w:bCs/>
                <w:i w:val="0"/>
                <w:iCs w:val="0"/>
                <w:color w:val="000000"/>
                <w:sz w:val="28"/>
                <w:szCs w:val="28"/>
                <w:highlight w:val="none"/>
                <w:u w:val="none"/>
                <w:lang w:val="en-US" w:eastAsia="zh-CN" w:bidi="en-US"/>
              </w:rPr>
            </w:pPr>
            <w:r>
              <w:rPr>
                <w:rFonts w:hint="eastAsia" w:ascii="仿宋" w:hAnsi="仿宋" w:eastAsia="仿宋" w:cs="仿宋"/>
                <w:b/>
                <w:bCs/>
                <w:sz w:val="28"/>
                <w:szCs w:val="28"/>
                <w:highlight w:val="none"/>
              </w:rPr>
              <w:t>总批次</w:t>
            </w:r>
          </w:p>
        </w:tc>
        <w:tc>
          <w:tcPr>
            <w:tcW w:w="2154" w:type="dxa"/>
            <w:noWrap w:val="0"/>
            <w:vAlign w:val="center"/>
          </w:tcPr>
          <w:p>
            <w:pPr>
              <w:pStyle w:val="11"/>
              <w:spacing w:line="520" w:lineRule="exact"/>
              <w:jc w:val="center"/>
              <w:rPr>
                <w:rFonts w:hint="eastAsia" w:ascii="仿宋" w:hAnsi="仿宋" w:eastAsia="仿宋" w:cs="仿宋"/>
                <w:b/>
                <w:bCs/>
                <w:i w:val="0"/>
                <w:iCs w:val="0"/>
                <w:color w:val="000000"/>
                <w:sz w:val="28"/>
                <w:szCs w:val="28"/>
                <w:highlight w:val="none"/>
                <w:u w:val="none"/>
                <w:lang w:val="en-US" w:eastAsia="zh-CN" w:bidi="en-US"/>
              </w:rPr>
            </w:pPr>
            <w:r>
              <w:rPr>
                <w:rFonts w:hint="eastAsia" w:ascii="仿宋" w:hAnsi="仿宋" w:eastAsia="仿宋" w:cs="仿宋"/>
                <w:b/>
                <w:bCs/>
                <w:sz w:val="28"/>
                <w:szCs w:val="28"/>
                <w:highlight w:val="none"/>
              </w:rPr>
              <w:t>预算</w:t>
            </w:r>
            <w:r>
              <w:rPr>
                <w:rFonts w:hint="eastAsia" w:ascii="仿宋" w:hAnsi="仿宋" w:eastAsia="仿宋" w:cs="仿宋"/>
                <w:b/>
                <w:bCs/>
                <w:sz w:val="28"/>
                <w:szCs w:val="28"/>
                <w:highlight w:val="none"/>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517" w:type="dxa"/>
            <w:noWrap w:val="0"/>
            <w:vAlign w:val="center"/>
          </w:tcPr>
          <w:p>
            <w:pPr>
              <w:keepNext w:val="0"/>
              <w:keepLines w:val="0"/>
              <w:widowControl/>
              <w:suppressLineNumbers w:val="0"/>
              <w:jc w:val="center"/>
              <w:rPr>
                <w:rFonts w:hint="eastAsia" w:ascii="仿宋" w:hAnsi="仿宋" w:eastAsia="仿宋" w:cs="仿宋"/>
                <w:b w:val="0"/>
                <w:bCs/>
                <w:color w:val="000000"/>
                <w:sz w:val="28"/>
                <w:szCs w:val="28"/>
                <w:highlight w:val="none"/>
                <w:vertAlign w:val="baseline"/>
                <w:lang w:val="en-US" w:eastAsia="zh-CN"/>
              </w:rPr>
            </w:pPr>
            <w:r>
              <w:rPr>
                <w:rFonts w:hint="eastAsia" w:ascii="仿宋" w:hAnsi="仿宋" w:eastAsia="仿宋" w:cs="仿宋"/>
                <w:b w:val="0"/>
                <w:bCs/>
                <w:color w:val="000000"/>
                <w:sz w:val="28"/>
                <w:szCs w:val="28"/>
                <w:highlight w:val="none"/>
                <w:vertAlign w:val="baseline"/>
                <w:lang w:val="en-US" w:eastAsia="zh-CN"/>
              </w:rPr>
              <w:t>第一、二、三分局</w:t>
            </w:r>
          </w:p>
        </w:tc>
        <w:tc>
          <w:tcPr>
            <w:tcW w:w="1950" w:type="dxa"/>
            <w:noWrap w:val="0"/>
            <w:vAlign w:val="center"/>
          </w:tcPr>
          <w:p>
            <w:pPr>
              <w:keepNext w:val="0"/>
              <w:keepLines w:val="0"/>
              <w:widowControl/>
              <w:suppressLineNumbers w:val="0"/>
              <w:jc w:val="center"/>
              <w:rPr>
                <w:rFonts w:hint="eastAsia" w:ascii="仿宋" w:hAnsi="仿宋" w:eastAsia="仿宋" w:cs="仿宋"/>
                <w:b w:val="0"/>
                <w:bCs/>
                <w:color w:val="000000"/>
                <w:sz w:val="28"/>
                <w:szCs w:val="28"/>
                <w:highlight w:val="none"/>
                <w:vertAlign w:val="baseline"/>
                <w:lang w:val="en-US" w:eastAsia="zh-CN"/>
              </w:rPr>
            </w:pPr>
            <w:r>
              <w:rPr>
                <w:rFonts w:hint="eastAsia" w:ascii="仿宋" w:hAnsi="仿宋" w:eastAsia="仿宋" w:cs="仿宋"/>
                <w:sz w:val="28"/>
                <w:szCs w:val="28"/>
              </w:rPr>
              <w:t>监督抽检</w:t>
            </w:r>
          </w:p>
        </w:tc>
        <w:tc>
          <w:tcPr>
            <w:tcW w:w="1515" w:type="dxa"/>
            <w:noWrap w:val="0"/>
            <w:vAlign w:val="center"/>
          </w:tcPr>
          <w:p>
            <w:pPr>
              <w:keepNext w:val="0"/>
              <w:keepLines w:val="0"/>
              <w:widowControl/>
              <w:suppressLineNumbers w:val="0"/>
              <w:jc w:val="center"/>
              <w:rPr>
                <w:rFonts w:hint="eastAsia" w:ascii="仿宋" w:hAnsi="仿宋" w:eastAsia="仿宋" w:cs="仿宋"/>
                <w:b w:val="0"/>
                <w:bCs/>
                <w:color w:val="000000"/>
                <w:sz w:val="28"/>
                <w:szCs w:val="28"/>
                <w:highlight w:val="none"/>
                <w:vertAlign w:val="baseline"/>
                <w:lang w:val="en-US" w:eastAsia="zh-CN"/>
              </w:rPr>
            </w:pPr>
            <w:r>
              <w:rPr>
                <w:rFonts w:hint="eastAsia" w:ascii="仿宋" w:hAnsi="仿宋" w:eastAsia="仿宋" w:cs="仿宋"/>
                <w:b w:val="0"/>
                <w:bCs/>
                <w:color w:val="000000"/>
                <w:sz w:val="28"/>
                <w:szCs w:val="28"/>
                <w:highlight w:val="none"/>
                <w:vertAlign w:val="baseline"/>
                <w:lang w:val="en-US" w:eastAsia="zh-CN"/>
              </w:rPr>
              <w:t>800</w:t>
            </w:r>
          </w:p>
        </w:tc>
        <w:tc>
          <w:tcPr>
            <w:tcW w:w="2154" w:type="dxa"/>
            <w:noWrap w:val="0"/>
            <w:vAlign w:val="center"/>
          </w:tcPr>
          <w:p>
            <w:pPr>
              <w:keepNext w:val="0"/>
              <w:keepLines w:val="0"/>
              <w:widowControl/>
              <w:suppressLineNumbers w:val="0"/>
              <w:jc w:val="center"/>
              <w:rPr>
                <w:rFonts w:hint="eastAsia" w:ascii="仿宋" w:hAnsi="仿宋" w:eastAsia="仿宋" w:cs="仿宋"/>
                <w:b w:val="0"/>
                <w:bCs/>
                <w:color w:val="000000"/>
                <w:sz w:val="28"/>
                <w:szCs w:val="28"/>
                <w:highlight w:val="none"/>
                <w:vertAlign w:val="baseline"/>
                <w:lang w:val="en-US" w:eastAsia="zh-CN"/>
              </w:rPr>
            </w:pPr>
            <w:r>
              <w:rPr>
                <w:rFonts w:hint="eastAsia" w:ascii="仿宋" w:hAnsi="仿宋" w:eastAsia="仿宋" w:cs="仿宋"/>
                <w:b w:val="0"/>
                <w:bCs/>
                <w:color w:val="000000"/>
                <w:sz w:val="28"/>
                <w:szCs w:val="28"/>
                <w:highlight w:val="none"/>
                <w:vertAlign w:val="baseline"/>
                <w:lang w:val="en-US" w:eastAsia="zh-CN"/>
              </w:rPr>
              <w:t>40</w:t>
            </w:r>
          </w:p>
        </w:tc>
      </w:tr>
    </w:tbl>
    <w:p>
      <w:pPr>
        <w:pStyle w:val="26"/>
        <w:numPr>
          <w:ilvl w:val="0"/>
          <w:numId w:val="0"/>
        </w:numPr>
        <w:ind w:firstLine="562" w:firstLineChars="200"/>
        <w:rPr>
          <w:rFonts w:hint="eastAsia" w:ascii="仿宋" w:hAnsi="仿宋" w:eastAsia="仿宋" w:cs="仿宋"/>
          <w:b/>
          <w:bCs/>
          <w:color w:val="000000"/>
          <w:sz w:val="28"/>
          <w:szCs w:val="28"/>
          <w:highlight w:val="none"/>
          <w:lang w:val="en-US" w:eastAsia="zh-CN" w:bidi="ar-SA"/>
        </w:rPr>
      </w:pPr>
      <w:r>
        <w:rPr>
          <w:rFonts w:hint="eastAsia" w:ascii="仿宋" w:hAnsi="仿宋" w:eastAsia="仿宋" w:cs="仿宋"/>
          <w:b/>
          <w:bCs/>
          <w:color w:val="000000"/>
          <w:sz w:val="28"/>
          <w:szCs w:val="28"/>
          <w:highlight w:val="none"/>
          <w:lang w:val="en-US" w:eastAsia="zh-CN" w:bidi="ar-SA"/>
        </w:rPr>
        <w:t>采购包二：</w:t>
      </w:r>
    </w:p>
    <w:tbl>
      <w:tblPr>
        <w:tblStyle w:val="29"/>
        <w:tblW w:w="0" w:type="auto"/>
        <w:tblInd w:w="6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7"/>
        <w:gridCol w:w="1950"/>
        <w:gridCol w:w="151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517" w:type="dxa"/>
            <w:noWrap w:val="0"/>
            <w:vAlign w:val="center"/>
          </w:tcPr>
          <w:p>
            <w:pPr>
              <w:pStyle w:val="11"/>
              <w:spacing w:line="520" w:lineRule="exact"/>
              <w:jc w:val="center"/>
              <w:rPr>
                <w:rFonts w:hint="eastAsia" w:ascii="仿宋" w:hAnsi="仿宋" w:eastAsia="仿宋" w:cs="仿宋"/>
                <w:b/>
                <w:bCs/>
                <w:color w:val="000000"/>
                <w:sz w:val="28"/>
                <w:szCs w:val="28"/>
                <w:highlight w:val="none"/>
                <w:vertAlign w:val="baseline"/>
                <w:lang w:val="en-US" w:eastAsia="zh-CN"/>
              </w:rPr>
            </w:pPr>
            <w:r>
              <w:rPr>
                <w:rFonts w:hint="eastAsia" w:ascii="仿宋" w:hAnsi="仿宋" w:eastAsia="仿宋" w:cs="仿宋"/>
                <w:b/>
                <w:bCs/>
                <w:sz w:val="28"/>
                <w:szCs w:val="28"/>
                <w:highlight w:val="none"/>
              </w:rPr>
              <w:t>抽检区域</w:t>
            </w:r>
          </w:p>
        </w:tc>
        <w:tc>
          <w:tcPr>
            <w:tcW w:w="1950" w:type="dxa"/>
            <w:noWrap w:val="0"/>
            <w:vAlign w:val="center"/>
          </w:tcPr>
          <w:p>
            <w:pPr>
              <w:pStyle w:val="11"/>
              <w:spacing w:line="520" w:lineRule="exact"/>
              <w:jc w:val="center"/>
              <w:rPr>
                <w:rFonts w:hint="eastAsia" w:ascii="仿宋" w:hAnsi="仿宋" w:eastAsia="仿宋" w:cs="仿宋"/>
                <w:b/>
                <w:bCs/>
                <w:color w:val="000000"/>
                <w:sz w:val="28"/>
                <w:szCs w:val="28"/>
                <w:highlight w:val="none"/>
                <w:vertAlign w:val="baseline"/>
                <w:lang w:val="en-US" w:eastAsia="zh-CN"/>
              </w:rPr>
            </w:pPr>
            <w:r>
              <w:rPr>
                <w:rFonts w:hint="eastAsia" w:ascii="仿宋" w:hAnsi="仿宋" w:eastAsia="仿宋" w:cs="仿宋"/>
                <w:b/>
                <w:bCs/>
                <w:sz w:val="28"/>
                <w:szCs w:val="28"/>
                <w:highlight w:val="none"/>
              </w:rPr>
              <w:t>抽检类型</w:t>
            </w:r>
          </w:p>
        </w:tc>
        <w:tc>
          <w:tcPr>
            <w:tcW w:w="1515" w:type="dxa"/>
            <w:noWrap w:val="0"/>
            <w:vAlign w:val="center"/>
          </w:tcPr>
          <w:p>
            <w:pPr>
              <w:pStyle w:val="11"/>
              <w:spacing w:line="520" w:lineRule="exact"/>
              <w:jc w:val="center"/>
              <w:rPr>
                <w:rFonts w:hint="eastAsia" w:ascii="仿宋" w:hAnsi="仿宋" w:eastAsia="仿宋" w:cs="仿宋"/>
                <w:b/>
                <w:bCs/>
                <w:i w:val="0"/>
                <w:iCs w:val="0"/>
                <w:color w:val="000000"/>
                <w:sz w:val="28"/>
                <w:szCs w:val="28"/>
                <w:highlight w:val="none"/>
                <w:u w:val="none"/>
                <w:lang w:val="en-US" w:eastAsia="zh-CN" w:bidi="en-US"/>
              </w:rPr>
            </w:pPr>
            <w:r>
              <w:rPr>
                <w:rFonts w:hint="eastAsia" w:ascii="仿宋" w:hAnsi="仿宋" w:eastAsia="仿宋" w:cs="仿宋"/>
                <w:b/>
                <w:bCs/>
                <w:sz w:val="28"/>
                <w:szCs w:val="28"/>
                <w:highlight w:val="none"/>
              </w:rPr>
              <w:t>总批次</w:t>
            </w:r>
          </w:p>
        </w:tc>
        <w:tc>
          <w:tcPr>
            <w:tcW w:w="2135" w:type="dxa"/>
            <w:noWrap w:val="0"/>
            <w:vAlign w:val="center"/>
          </w:tcPr>
          <w:p>
            <w:pPr>
              <w:pStyle w:val="11"/>
              <w:spacing w:line="520" w:lineRule="exact"/>
              <w:jc w:val="center"/>
              <w:rPr>
                <w:rFonts w:hint="eastAsia" w:ascii="仿宋" w:hAnsi="仿宋" w:eastAsia="仿宋" w:cs="仿宋"/>
                <w:b/>
                <w:bCs/>
                <w:i w:val="0"/>
                <w:iCs w:val="0"/>
                <w:color w:val="000000"/>
                <w:sz w:val="28"/>
                <w:szCs w:val="28"/>
                <w:highlight w:val="none"/>
                <w:u w:val="none"/>
                <w:lang w:val="en-US" w:eastAsia="zh-CN" w:bidi="en-US"/>
              </w:rPr>
            </w:pPr>
            <w:r>
              <w:rPr>
                <w:rFonts w:hint="eastAsia" w:ascii="仿宋" w:hAnsi="仿宋" w:eastAsia="仿宋" w:cs="仿宋"/>
                <w:b/>
                <w:bCs/>
                <w:sz w:val="28"/>
                <w:szCs w:val="28"/>
                <w:highlight w:val="none"/>
              </w:rPr>
              <w:t>预算</w:t>
            </w:r>
            <w:r>
              <w:rPr>
                <w:rFonts w:hint="eastAsia" w:ascii="仿宋" w:hAnsi="仿宋" w:eastAsia="仿宋" w:cs="仿宋"/>
                <w:b/>
                <w:bCs/>
                <w:sz w:val="28"/>
                <w:szCs w:val="28"/>
                <w:highlight w:val="none"/>
                <w:lang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2517" w:type="dxa"/>
            <w:noWrap w:val="0"/>
            <w:vAlign w:val="center"/>
          </w:tcPr>
          <w:p>
            <w:pPr>
              <w:keepNext w:val="0"/>
              <w:keepLines w:val="0"/>
              <w:widowControl/>
              <w:suppressLineNumbers w:val="0"/>
              <w:jc w:val="center"/>
              <w:rPr>
                <w:rFonts w:hint="eastAsia" w:ascii="仿宋" w:hAnsi="仿宋" w:eastAsia="仿宋" w:cs="仿宋"/>
                <w:b w:val="0"/>
                <w:bCs/>
                <w:color w:val="000000"/>
                <w:sz w:val="28"/>
                <w:szCs w:val="28"/>
                <w:highlight w:val="none"/>
                <w:vertAlign w:val="baseline"/>
                <w:lang w:val="en-US" w:eastAsia="zh-CN"/>
              </w:rPr>
            </w:pPr>
            <w:r>
              <w:rPr>
                <w:rFonts w:hint="eastAsia" w:ascii="仿宋" w:hAnsi="仿宋" w:eastAsia="仿宋" w:cs="仿宋"/>
                <w:b w:val="0"/>
                <w:bCs/>
                <w:color w:val="000000"/>
                <w:sz w:val="28"/>
                <w:szCs w:val="28"/>
                <w:highlight w:val="none"/>
                <w:vertAlign w:val="baseline"/>
                <w:lang w:val="en-US" w:eastAsia="zh-CN"/>
              </w:rPr>
              <w:t>第四、五分局</w:t>
            </w:r>
          </w:p>
        </w:tc>
        <w:tc>
          <w:tcPr>
            <w:tcW w:w="1950" w:type="dxa"/>
            <w:noWrap w:val="0"/>
            <w:vAlign w:val="center"/>
          </w:tcPr>
          <w:p>
            <w:pPr>
              <w:keepNext w:val="0"/>
              <w:keepLines w:val="0"/>
              <w:widowControl/>
              <w:suppressLineNumbers w:val="0"/>
              <w:jc w:val="center"/>
              <w:rPr>
                <w:rFonts w:hint="eastAsia" w:ascii="仿宋" w:hAnsi="仿宋" w:eastAsia="仿宋" w:cs="仿宋"/>
                <w:b w:val="0"/>
                <w:bCs/>
                <w:color w:val="000000"/>
                <w:sz w:val="28"/>
                <w:szCs w:val="28"/>
                <w:highlight w:val="none"/>
                <w:vertAlign w:val="baseline"/>
                <w:lang w:val="en-US" w:eastAsia="zh-CN"/>
              </w:rPr>
            </w:pPr>
            <w:r>
              <w:rPr>
                <w:rFonts w:hint="eastAsia" w:ascii="仿宋" w:hAnsi="仿宋" w:eastAsia="仿宋" w:cs="仿宋"/>
                <w:sz w:val="28"/>
                <w:szCs w:val="28"/>
              </w:rPr>
              <w:t>监督抽检</w:t>
            </w:r>
          </w:p>
        </w:tc>
        <w:tc>
          <w:tcPr>
            <w:tcW w:w="1515" w:type="dxa"/>
            <w:noWrap w:val="0"/>
            <w:vAlign w:val="center"/>
          </w:tcPr>
          <w:p>
            <w:pPr>
              <w:keepNext w:val="0"/>
              <w:keepLines w:val="0"/>
              <w:widowControl/>
              <w:suppressLineNumbers w:val="0"/>
              <w:jc w:val="center"/>
              <w:rPr>
                <w:rFonts w:hint="default" w:ascii="仿宋" w:hAnsi="仿宋" w:eastAsia="仿宋" w:cs="仿宋"/>
                <w:b w:val="0"/>
                <w:bCs/>
                <w:color w:val="000000"/>
                <w:sz w:val="28"/>
                <w:szCs w:val="28"/>
                <w:highlight w:val="none"/>
                <w:vertAlign w:val="baseline"/>
                <w:lang w:val="en-US" w:eastAsia="zh-CN"/>
              </w:rPr>
            </w:pPr>
            <w:r>
              <w:rPr>
                <w:rFonts w:hint="eastAsia" w:ascii="仿宋" w:hAnsi="仿宋" w:eastAsia="仿宋" w:cs="仿宋"/>
                <w:b w:val="0"/>
                <w:bCs/>
                <w:color w:val="000000"/>
                <w:sz w:val="28"/>
                <w:szCs w:val="28"/>
                <w:highlight w:val="none"/>
                <w:vertAlign w:val="baseline"/>
                <w:lang w:val="en-US" w:eastAsia="zh-CN"/>
              </w:rPr>
              <w:t>790</w:t>
            </w:r>
          </w:p>
        </w:tc>
        <w:tc>
          <w:tcPr>
            <w:tcW w:w="2135" w:type="dxa"/>
            <w:noWrap w:val="0"/>
            <w:vAlign w:val="center"/>
          </w:tcPr>
          <w:p>
            <w:pPr>
              <w:keepNext w:val="0"/>
              <w:keepLines w:val="0"/>
              <w:widowControl/>
              <w:suppressLineNumbers w:val="0"/>
              <w:jc w:val="center"/>
              <w:rPr>
                <w:rFonts w:hint="default" w:ascii="仿宋" w:hAnsi="仿宋" w:eastAsia="仿宋" w:cs="仿宋"/>
                <w:b w:val="0"/>
                <w:bCs/>
                <w:color w:val="000000"/>
                <w:sz w:val="28"/>
                <w:szCs w:val="28"/>
                <w:highlight w:val="none"/>
                <w:vertAlign w:val="baseline"/>
                <w:lang w:val="en-US" w:eastAsia="zh-CN"/>
              </w:rPr>
            </w:pPr>
            <w:r>
              <w:rPr>
                <w:rFonts w:hint="eastAsia" w:ascii="仿宋" w:hAnsi="仿宋" w:eastAsia="仿宋" w:cs="仿宋"/>
                <w:b w:val="0"/>
                <w:bCs/>
                <w:color w:val="000000"/>
                <w:sz w:val="28"/>
                <w:szCs w:val="28"/>
                <w:highlight w:val="none"/>
                <w:vertAlign w:val="baseline"/>
                <w:lang w:val="en-US" w:eastAsia="zh-CN"/>
              </w:rPr>
              <w:t>39.5</w:t>
            </w:r>
          </w:p>
        </w:tc>
      </w:tr>
    </w:tbl>
    <w:p>
      <w:pPr>
        <w:pStyle w:val="31"/>
        <w:keepNext w:val="0"/>
        <w:keepLines w:val="0"/>
        <w:pageBreakBefore w:val="0"/>
        <w:widowControl w:val="0"/>
        <w:kinsoku/>
        <w:wordWrap/>
        <w:overflowPunct/>
        <w:topLinePunct w:val="0"/>
        <w:autoSpaceDE/>
        <w:autoSpaceDN/>
        <w:bidi w:val="0"/>
        <w:adjustRightInd/>
        <w:snapToGrid/>
        <w:spacing w:line="400" w:lineRule="exact"/>
        <w:ind w:left="0" w:firstLine="562" w:firstLineChars="200"/>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注：各采购包的总任务量，是采购人根据工作计划初步测算的结果，实际履约时各监督抽检的批次数由采购人根据工作任务动态调整。在执行招标文件规定的计价原则和最高限价的前提下，实际履约过程中当实际结算支付的所有费用总金额达到预算金额时，采购人不再安排抽检任务批次。</w:t>
      </w:r>
    </w:p>
    <w:p>
      <w:pPr>
        <w:pStyle w:val="3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firstLine="562" w:firstLineChars="200"/>
        <w:jc w:val="left"/>
        <w:textAlignment w:val="auto"/>
        <w:rPr>
          <w:rFonts w:hint="eastAsia" w:ascii="仿宋" w:hAnsi="仿宋" w:eastAsia="仿宋" w:cs="仿宋"/>
          <w:b/>
          <w:bCs/>
          <w:sz w:val="28"/>
          <w:szCs w:val="28"/>
          <w:lang w:val="en-US" w:eastAsia="zh-CN" w:bidi="ar-SA"/>
        </w:rPr>
      </w:pPr>
      <w:r>
        <w:rPr>
          <w:rFonts w:hint="eastAsia" w:ascii="仿宋" w:hAnsi="仿宋" w:eastAsia="仿宋" w:cs="仿宋"/>
          <w:b/>
          <w:bCs/>
          <w:sz w:val="28"/>
          <w:szCs w:val="28"/>
          <w:lang w:val="en-US" w:eastAsia="zh-CN" w:bidi="ar-SA"/>
        </w:rPr>
        <w:t>1.项目要求：</w:t>
      </w:r>
    </w:p>
    <w:p>
      <w:pPr>
        <w:pStyle w:val="31"/>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普通食品抽检要求：</w:t>
      </w:r>
    </w:p>
    <w:p>
      <w:pPr>
        <w:pStyle w:val="31"/>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食品细类检验项目</w:t>
      </w:r>
      <w:r>
        <w:rPr>
          <w:rFonts w:hint="eastAsia" w:ascii="仿宋" w:hAnsi="仿宋" w:eastAsia="仿宋" w:cs="仿宋"/>
          <w:sz w:val="28"/>
          <w:szCs w:val="28"/>
          <w:highlight w:val="none"/>
          <w:lang w:eastAsia="zh-CN"/>
        </w:rPr>
        <w:t>以</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全国</w:t>
      </w:r>
      <w:r>
        <w:rPr>
          <w:rFonts w:hint="eastAsia" w:ascii="仿宋" w:hAnsi="仿宋" w:eastAsia="仿宋" w:cs="仿宋"/>
          <w:sz w:val="28"/>
          <w:szCs w:val="28"/>
          <w:highlight w:val="none"/>
        </w:rPr>
        <w:t>食品安全监督抽检实施细则》（202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版）为基准，检验项目</w:t>
      </w:r>
      <w:r>
        <w:rPr>
          <w:rFonts w:hint="eastAsia" w:ascii="仿宋" w:hAnsi="仿宋" w:eastAsia="仿宋" w:cs="仿宋"/>
          <w:sz w:val="28"/>
          <w:szCs w:val="28"/>
          <w:highlight w:val="none"/>
          <w:lang w:eastAsia="zh-CN"/>
        </w:rPr>
        <w:t>不</w:t>
      </w:r>
      <w:r>
        <w:rPr>
          <w:rFonts w:hint="eastAsia" w:ascii="仿宋" w:hAnsi="仿宋" w:eastAsia="仿宋" w:cs="仿宋"/>
          <w:sz w:val="28"/>
          <w:szCs w:val="28"/>
          <w:highlight w:val="none"/>
        </w:rPr>
        <w:t>少于</w:t>
      </w:r>
      <w:r>
        <w:rPr>
          <w:rFonts w:hint="eastAsia" w:ascii="仿宋" w:hAnsi="仿宋" w:eastAsia="仿宋" w:cs="仿宋"/>
          <w:sz w:val="28"/>
          <w:szCs w:val="28"/>
          <w:highlight w:val="none"/>
          <w:lang w:eastAsia="zh-CN"/>
        </w:rPr>
        <w:t>规定项目的5</w:t>
      </w:r>
      <w:r>
        <w:rPr>
          <w:rFonts w:hint="eastAsia" w:ascii="仿宋" w:hAnsi="仿宋" w:eastAsia="仿宋" w:cs="仿宋"/>
          <w:sz w:val="28"/>
          <w:szCs w:val="28"/>
          <w:highlight w:val="none"/>
        </w:rPr>
        <w:t>0%</w:t>
      </w:r>
      <w:r>
        <w:rPr>
          <w:rFonts w:hint="eastAsia" w:ascii="仿宋" w:hAnsi="仿宋" w:eastAsia="仿宋" w:cs="仿宋"/>
          <w:sz w:val="28"/>
          <w:szCs w:val="28"/>
          <w:highlight w:val="none"/>
          <w:lang w:eastAsia="zh-CN"/>
        </w:rPr>
        <w:t>。</w:t>
      </w:r>
    </w:p>
    <w:p>
      <w:pPr>
        <w:pStyle w:val="31"/>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食用农产品抽检要求：</w:t>
      </w:r>
    </w:p>
    <w:p>
      <w:pPr>
        <w:pStyle w:val="31"/>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1.2.1</w:t>
      </w:r>
      <w:r>
        <w:rPr>
          <w:rFonts w:hint="eastAsia" w:ascii="仿宋" w:hAnsi="仿宋" w:eastAsia="仿宋" w:cs="仿宋"/>
          <w:sz w:val="28"/>
          <w:szCs w:val="28"/>
          <w:highlight w:val="none"/>
        </w:rPr>
        <w:t>抽检范围及品种</w:t>
      </w:r>
    </w:p>
    <w:p>
      <w:pPr>
        <w:pStyle w:val="31"/>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食用农产品抽检，在抽样品种上，应结合季节供应特点及当地消费习惯合理确定各类食用农产品的抽样比例和批次，不得对同一农产品反复抽检，重点抽检当季食用农产品，对不合格较多的食用农产品可以适当增加抽检频次。</w:t>
      </w:r>
    </w:p>
    <w:p>
      <w:pPr>
        <w:pStyle w:val="31"/>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1.2.2</w:t>
      </w:r>
      <w:r>
        <w:rPr>
          <w:rFonts w:hint="eastAsia" w:ascii="仿宋" w:hAnsi="仿宋" w:eastAsia="仿宋" w:cs="仿宋"/>
          <w:sz w:val="28"/>
          <w:szCs w:val="28"/>
          <w:highlight w:val="none"/>
        </w:rPr>
        <w:t>检测项目</w:t>
      </w:r>
    </w:p>
    <w:p>
      <w:pPr>
        <w:pStyle w:val="31"/>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食用农产品检测项目包括必检项目及可选项目，按采购人制定的相关文件执行。</w:t>
      </w:r>
    </w:p>
    <w:p>
      <w:pPr>
        <w:pStyle w:val="31"/>
        <w:keepNext w:val="0"/>
        <w:keepLines w:val="0"/>
        <w:pageBreakBefore w:val="0"/>
        <w:widowControl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1.3</w:t>
      </w:r>
      <w:r>
        <w:rPr>
          <w:rFonts w:hint="eastAsia" w:ascii="仿宋" w:hAnsi="仿宋" w:eastAsia="仿宋" w:cs="仿宋"/>
          <w:sz w:val="28"/>
          <w:szCs w:val="28"/>
          <w:highlight w:val="none"/>
        </w:rPr>
        <w:t>承检机构在抽检工作开始前将抽检计划、方案（含具体检测项目）报委托方备案。</w:t>
      </w:r>
    </w:p>
    <w:p>
      <w:pPr>
        <w:keepNext w:val="0"/>
        <w:keepLines w:val="0"/>
        <w:pageBreakBefore w:val="0"/>
        <w:kinsoku/>
        <w:wordWrap/>
        <w:overflowPunct/>
        <w:topLinePunct w:val="0"/>
        <w:autoSpaceDE/>
        <w:autoSpaceDN/>
        <w:bidi w:val="0"/>
        <w:adjustRightInd/>
        <w:snapToGrid/>
        <w:spacing w:line="400" w:lineRule="exact"/>
        <w:ind w:left="0" w:firstLine="562" w:firstLineChars="200"/>
        <w:jc w:val="left"/>
        <w:textAlignment w:val="auto"/>
        <w:outlineLvl w:val="0"/>
        <w:rPr>
          <w:rFonts w:hint="eastAsia" w:ascii="仿宋" w:hAnsi="仿宋" w:eastAsia="仿宋" w:cs="仿宋"/>
          <w:b/>
          <w:color w:val="auto"/>
          <w:sz w:val="28"/>
          <w:szCs w:val="28"/>
          <w:highlight w:val="none"/>
        </w:rPr>
      </w:pPr>
      <w:bookmarkStart w:id="0" w:name="_Hlk192061515"/>
      <w:r>
        <w:rPr>
          <w:rFonts w:hint="eastAsia" w:ascii="仿宋" w:hAnsi="仿宋" w:eastAsia="仿宋" w:cs="仿宋"/>
          <w:b/>
          <w:color w:val="auto"/>
          <w:sz w:val="28"/>
          <w:szCs w:val="28"/>
          <w:highlight w:val="none"/>
          <w:lang w:val="en-US" w:eastAsia="zh-CN"/>
        </w:rPr>
        <w:t>2.</w:t>
      </w:r>
      <w:r>
        <w:rPr>
          <w:rFonts w:hint="eastAsia" w:ascii="仿宋" w:hAnsi="仿宋" w:eastAsia="仿宋" w:cs="仿宋"/>
          <w:b/>
          <w:color w:val="auto"/>
          <w:sz w:val="28"/>
          <w:szCs w:val="28"/>
          <w:highlight w:val="none"/>
        </w:rPr>
        <w:t>技术要求</w:t>
      </w:r>
      <w:bookmarkEnd w:id="0"/>
    </w:p>
    <w:p>
      <w:pPr>
        <w:keepNext w:val="0"/>
        <w:keepLines w:val="0"/>
        <w:pageBreakBefore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.1法律法规和技术规范</w:t>
      </w:r>
    </w:p>
    <w:p>
      <w:pPr>
        <w:keepNext w:val="0"/>
        <w:keepLines w:val="0"/>
        <w:pageBreakBefore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（1）《中华人民共和国食品安全法》（中华人民共和国主席令 第二十一号）</w:t>
      </w:r>
    </w:p>
    <w:p>
      <w:pPr>
        <w:keepNext w:val="0"/>
        <w:keepLines w:val="0"/>
        <w:pageBreakBefore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（2）《中华人民共和国食品安全法实施条例》（中华人民共和国国务院令 第721号）</w:t>
      </w:r>
    </w:p>
    <w:p>
      <w:pPr>
        <w:keepNext w:val="0"/>
        <w:keepLines w:val="0"/>
        <w:pageBreakBefore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（3）《食品安全抽样检验管理办法》（国家市场监督管理总局令 第15号）</w:t>
      </w:r>
    </w:p>
    <w:p>
      <w:pPr>
        <w:keepNext w:val="0"/>
        <w:keepLines w:val="0"/>
        <w:pageBreakBefore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（4）《食品安全抽样检验工作规范》（市监食检发〔2023〕76号）</w:t>
      </w:r>
    </w:p>
    <w:p>
      <w:pPr>
        <w:keepNext w:val="0"/>
        <w:keepLines w:val="0"/>
        <w:pageBreakBefore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（5）《食用农产品抽样检验和核查处置规定》（国市监食检〔2020〕184 号）</w:t>
      </w:r>
    </w:p>
    <w:p>
      <w:pPr>
        <w:keepNext w:val="0"/>
        <w:keepLines w:val="0"/>
        <w:pageBreakBefore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（6）《市场监管总局办公厅关于推进食品抽检合格备份样品合理利用的通知》（市监食检发〔2021〕106 号）</w:t>
      </w:r>
    </w:p>
    <w:p>
      <w:pPr>
        <w:keepNext w:val="0"/>
        <w:keepLines w:val="0"/>
        <w:pageBreakBefore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（7）《江苏省食品安全条例》（2024年1月26日江苏省第十四届人民代表大会第二次会议通过）</w:t>
      </w:r>
    </w:p>
    <w:p>
      <w:pPr>
        <w:keepNext w:val="0"/>
        <w:keepLines w:val="0"/>
        <w:pageBreakBefore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color w:val="auto"/>
          <w:sz w:val="28"/>
          <w:szCs w:val="28"/>
          <w:highlight w:val="none"/>
        </w:rPr>
      </w:pPr>
      <w:bookmarkStart w:id="1" w:name="_Hlk192061577"/>
      <w:r>
        <w:rPr>
          <w:rFonts w:hint="eastAsia" w:ascii="仿宋" w:hAnsi="仿宋" w:eastAsia="仿宋" w:cs="仿宋"/>
          <w:color w:val="auto"/>
          <w:sz w:val="28"/>
          <w:szCs w:val="28"/>
          <w:highlight w:val="none"/>
        </w:rPr>
        <w:t>（8）《全国食品安全监督抽检实施细则》（202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年版）（国市监食检发〔202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号）</w:t>
      </w:r>
    </w:p>
    <w:bookmarkEnd w:id="1"/>
    <w:p>
      <w:pPr>
        <w:keepNext w:val="0"/>
        <w:keepLines w:val="0"/>
        <w:pageBreakBefore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注：以上标准如有更新，按最新标准执行。</w:t>
      </w:r>
    </w:p>
    <w:p>
      <w:pPr>
        <w:keepNext w:val="0"/>
        <w:keepLines w:val="0"/>
        <w:pageBreakBefore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.2主要技术要求</w:t>
      </w:r>
    </w:p>
    <w:p>
      <w:pPr>
        <w:keepNext w:val="0"/>
        <w:keepLines w:val="0"/>
        <w:pageBreakBefore w:val="0"/>
        <w:kinsoku/>
        <w:wordWrap/>
        <w:overflowPunct/>
        <w:topLinePunct w:val="0"/>
        <w:autoSpaceDE/>
        <w:autoSpaceDN/>
        <w:bidi w:val="0"/>
        <w:adjustRightInd/>
        <w:snapToGrid/>
        <w:spacing w:line="4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.2.1抽样环节</w:t>
      </w:r>
    </w:p>
    <w:p>
      <w:pPr>
        <w:widowControl/>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表1 抽样环节主要技术内容和标准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724"/>
        <w:gridCol w:w="1354"/>
        <w:gridCol w:w="5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49" w:type="dxa"/>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序号</w:t>
            </w:r>
          </w:p>
        </w:tc>
        <w:tc>
          <w:tcPr>
            <w:tcW w:w="2078" w:type="dxa"/>
            <w:gridSpan w:val="2"/>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服务名称</w:t>
            </w:r>
          </w:p>
        </w:tc>
        <w:tc>
          <w:tcPr>
            <w:tcW w:w="5308" w:type="dxa"/>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p>
        </w:tc>
        <w:tc>
          <w:tcPr>
            <w:tcW w:w="2078" w:type="dxa"/>
            <w:gridSpan w:val="2"/>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抽样单位确定</w:t>
            </w:r>
          </w:p>
        </w:tc>
        <w:tc>
          <w:tcPr>
            <w:tcW w:w="5308" w:type="dxa"/>
            <w:noWrap w:val="0"/>
            <w:vAlign w:val="center"/>
          </w:tcPr>
          <w:p>
            <w:pPr>
              <w:widowControl/>
              <w:spacing w:line="320" w:lineRule="exact"/>
              <w:jc w:val="both"/>
              <w:textAlignment w:val="center"/>
              <w:rPr>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采购人自行抽样或者委托供应商抽样。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2078" w:type="dxa"/>
            <w:gridSpan w:val="2"/>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抽样前准备</w:t>
            </w:r>
          </w:p>
        </w:tc>
        <w:tc>
          <w:tcPr>
            <w:tcW w:w="5308"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抽样单位应当建立食品抽样管理制度，明确岗位职责、抽样流程和工作纪律。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2078" w:type="dxa"/>
            <w:gridSpan w:val="2"/>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抽样人员确定</w:t>
            </w:r>
          </w:p>
        </w:tc>
        <w:tc>
          <w:tcPr>
            <w:tcW w:w="5308" w:type="dxa"/>
            <w:noWrap w:val="0"/>
            <w:vAlign w:val="center"/>
          </w:tcPr>
          <w:p>
            <w:pPr>
              <w:widowControl/>
              <w:numPr>
                <w:ilvl w:val="0"/>
                <w:numId w:val="1"/>
              </w:numPr>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独立的食品抽样人员数量、能力等要求与服务需求相匹配。</w:t>
            </w:r>
          </w:p>
          <w:p>
            <w:pPr>
              <w:widowControl/>
              <w:numPr>
                <w:ilvl w:val="0"/>
                <w:numId w:val="1"/>
              </w:numPr>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实施抽检分离，随机确定抽样人员，抽样人员与检验人员不得为同一人。</w:t>
            </w:r>
          </w:p>
          <w:p>
            <w:pPr>
              <w:widowControl/>
              <w:numPr>
                <w:ilvl w:val="0"/>
                <w:numId w:val="1"/>
              </w:numPr>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抽样人员执行抽样任务时不得少于两人。</w:t>
            </w:r>
          </w:p>
          <w:p>
            <w:pPr>
              <w:widowControl/>
              <w:numPr>
                <w:ilvl w:val="0"/>
                <w:numId w:val="1"/>
              </w:numPr>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 xml:space="preserve">在集中交易市场、商场、超市、便利店等销售场所开展的食用农产品监督抽检工作，委托抽样的应当不少于两名监管人员参与抽样。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2078" w:type="dxa"/>
            <w:gridSpan w:val="2"/>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抽样前培训</w:t>
            </w:r>
          </w:p>
        </w:tc>
        <w:tc>
          <w:tcPr>
            <w:tcW w:w="5308"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抽样前应当对抽样人员进行培训，并做好相关记录。抽样人员应当熟悉食品安全</w:t>
            </w:r>
            <w:r>
              <w:rPr>
                <w:rStyle w:val="32"/>
                <w:rFonts w:hint="eastAsia" w:ascii="仿宋" w:hAnsi="仿宋" w:eastAsia="仿宋" w:cs="仿宋"/>
                <w:color w:val="auto"/>
                <w:sz w:val="28"/>
                <w:szCs w:val="28"/>
                <w:highlight w:val="none"/>
                <w:lang w:eastAsia="zh-CN"/>
              </w:rPr>
              <w:t>法律法规</w:t>
            </w:r>
            <w:r>
              <w:rPr>
                <w:rStyle w:val="32"/>
                <w:rFonts w:hint="eastAsia" w:ascii="仿宋" w:hAnsi="仿宋" w:eastAsia="仿宋" w:cs="仿宋"/>
                <w:color w:val="auto"/>
                <w:sz w:val="28"/>
                <w:szCs w:val="28"/>
                <w:highlight w:val="none"/>
              </w:rPr>
              <w:t>、规章和食品安全标准等的相关规定，熟练使用国家食品安全抽样检验信息系统。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p>
        </w:tc>
        <w:tc>
          <w:tcPr>
            <w:tcW w:w="724" w:type="dxa"/>
            <w:vMerge w:val="restart"/>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现场抽样</w:t>
            </w: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抽样告知</w:t>
            </w:r>
          </w:p>
        </w:tc>
        <w:tc>
          <w:tcPr>
            <w:tcW w:w="5308" w:type="dxa"/>
            <w:noWrap w:val="0"/>
            <w:vAlign w:val="center"/>
          </w:tcPr>
          <w:p>
            <w:pPr>
              <w:widowControl/>
              <w:numPr>
                <w:ilvl w:val="0"/>
                <w:numId w:val="2"/>
              </w:numPr>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抽样工作不得预先通知食品生产经营者。</w:t>
            </w:r>
          </w:p>
          <w:p>
            <w:pPr>
              <w:widowControl/>
              <w:numPr>
                <w:ilvl w:val="0"/>
                <w:numId w:val="2"/>
              </w:numPr>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抽样人员应当按规定向被抽样单位出示有效身份证明文件、《食品安全抽样检验告知书</w:t>
            </w:r>
            <w:r>
              <w:rPr>
                <w:rStyle w:val="32"/>
                <w:rFonts w:hint="eastAsia" w:ascii="仿宋" w:hAnsi="仿宋" w:eastAsia="仿宋" w:cs="仿宋"/>
                <w:color w:val="auto"/>
                <w:sz w:val="28"/>
                <w:szCs w:val="28"/>
                <w:highlight w:val="none"/>
                <w:lang w:eastAsia="zh-CN"/>
              </w:rPr>
              <w:t>》《</w:t>
            </w:r>
            <w:r>
              <w:rPr>
                <w:rStyle w:val="32"/>
                <w:rFonts w:hint="eastAsia" w:ascii="仿宋" w:hAnsi="仿宋" w:eastAsia="仿宋" w:cs="仿宋"/>
                <w:color w:val="auto"/>
                <w:sz w:val="28"/>
                <w:szCs w:val="28"/>
                <w:highlight w:val="none"/>
              </w:rPr>
              <w:t>食品安全抽样检验任务委托书》，告知其依法享有的权利和应当承担的义务，并使用规范用语。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信息核查</w:t>
            </w:r>
          </w:p>
        </w:tc>
        <w:tc>
          <w:tcPr>
            <w:tcW w:w="5308"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抽样人员应当核查被抽样单位提供的营业执照、许可证等相关证件。必要时，可核查进货查验记录、合法进货凭证等可追溯信息。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样品抽取</w:t>
            </w:r>
          </w:p>
        </w:tc>
        <w:tc>
          <w:tcPr>
            <w:tcW w:w="5308"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（1）抽样人员可以从食品经营者的经营场所、仓库以及食品生产者的成品库待销产品中随机抽取样品，不得由被抽样单位自行提供样品。</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（2）抽样数量原则上应当满足检验和复检的要求。</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（3）对易腐烂变质的蔬菜、水果等食用农产品样品，需进行均质备份样品的，应当在现场抽样时主动向被抽样单位告知确认，在现场或实验室进行均质备份样品时，采取拍照或摄像等方式进行记录。</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（4）</w:t>
            </w:r>
            <w:r>
              <w:rPr>
                <w:rFonts w:hint="eastAsia" w:ascii="仿宋" w:hAnsi="仿宋" w:eastAsia="仿宋" w:cs="仿宋"/>
                <w:color w:val="auto"/>
                <w:kern w:val="0"/>
                <w:sz w:val="28"/>
                <w:szCs w:val="28"/>
                <w:highlight w:val="none"/>
              </w:rPr>
              <w:t>抽样现场的设备，包括平板、打印机、无菌袋、测温枪等类似设备应能满足项目需求。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封样签字</w:t>
            </w:r>
          </w:p>
        </w:tc>
        <w:tc>
          <w:tcPr>
            <w:tcW w:w="5308"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Style w:val="32"/>
                <w:rFonts w:hint="eastAsia" w:ascii="仿宋" w:hAnsi="仿宋" w:eastAsia="仿宋" w:cs="仿宋"/>
                <w:color w:val="auto"/>
                <w:sz w:val="28"/>
                <w:szCs w:val="28"/>
                <w:highlight w:val="none"/>
              </w:rPr>
              <w:t>抽样人员应当采取有效的防拆封措施，对检验样品和复检备份样品分别封样，并贴上《食品安全抽样检验封条》。</w:t>
            </w:r>
          </w:p>
          <w:p>
            <w:pPr>
              <w:widowControl/>
              <w:spacing w:line="320" w:lineRule="exact"/>
              <w:jc w:val="both"/>
              <w:textAlignment w:val="center"/>
              <w:rPr>
                <w:rStyle w:val="32"/>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Style w:val="32"/>
                <w:rFonts w:hint="eastAsia" w:ascii="仿宋" w:hAnsi="仿宋" w:eastAsia="仿宋" w:cs="仿宋"/>
                <w:color w:val="auto"/>
                <w:sz w:val="28"/>
                <w:szCs w:val="28"/>
                <w:highlight w:val="none"/>
              </w:rPr>
              <w:t>封条上应当由抽样人员</w:t>
            </w:r>
            <w:r>
              <w:rPr>
                <w:rStyle w:val="32"/>
                <w:rFonts w:hint="eastAsia" w:ascii="仿宋" w:hAnsi="仿宋" w:eastAsia="仿宋" w:cs="仿宋"/>
                <w:color w:val="auto"/>
                <w:sz w:val="28"/>
                <w:szCs w:val="28"/>
                <w:highlight w:val="none"/>
                <w:lang w:eastAsia="zh-CN"/>
              </w:rPr>
              <w:t>（</w:t>
            </w:r>
            <w:r>
              <w:rPr>
                <w:rStyle w:val="32"/>
                <w:rFonts w:hint="eastAsia" w:ascii="仿宋" w:hAnsi="仿宋" w:eastAsia="仿宋" w:cs="仿宋"/>
                <w:color w:val="auto"/>
                <w:sz w:val="28"/>
                <w:szCs w:val="28"/>
                <w:highlight w:val="none"/>
              </w:rPr>
              <w:t>含参与抽样的监管人员</w:t>
            </w:r>
            <w:r>
              <w:rPr>
                <w:rStyle w:val="32"/>
                <w:rFonts w:hint="eastAsia" w:ascii="仿宋" w:hAnsi="仿宋" w:eastAsia="仿宋" w:cs="仿宋"/>
                <w:color w:val="auto"/>
                <w:sz w:val="28"/>
                <w:szCs w:val="28"/>
                <w:highlight w:val="none"/>
                <w:lang w:eastAsia="zh-CN"/>
              </w:rPr>
              <w:t>）</w:t>
            </w:r>
            <w:r>
              <w:rPr>
                <w:rStyle w:val="32"/>
                <w:rFonts w:hint="eastAsia" w:ascii="仿宋" w:hAnsi="仿宋" w:eastAsia="仿宋" w:cs="仿宋"/>
                <w:color w:val="auto"/>
                <w:sz w:val="28"/>
                <w:szCs w:val="28"/>
                <w:highlight w:val="none"/>
              </w:rPr>
              <w:t>和被抽样单位签字或者盖章确认。</w:t>
            </w:r>
          </w:p>
          <w:p>
            <w:pPr>
              <w:widowControl/>
              <w:spacing w:line="320" w:lineRule="exact"/>
              <w:jc w:val="both"/>
              <w:textAlignment w:val="center"/>
              <w:rPr>
                <w:rStyle w:val="32"/>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Style w:val="32"/>
                <w:rFonts w:hint="eastAsia" w:ascii="仿宋" w:hAnsi="仿宋" w:eastAsia="仿宋" w:cs="仿宋"/>
                <w:color w:val="auto"/>
                <w:sz w:val="28"/>
                <w:szCs w:val="28"/>
                <w:highlight w:val="none"/>
              </w:rPr>
              <w:t>食用农产品需在实验室均质后留存复检备份样品的，现场还应当填写一份信息完整、签字或者盖章确认的封条，用于封存均质后的备份样品。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抽样单填写</w:t>
            </w:r>
          </w:p>
        </w:tc>
        <w:tc>
          <w:tcPr>
            <w:tcW w:w="5308" w:type="dxa"/>
            <w:noWrap w:val="0"/>
            <w:vAlign w:val="center"/>
          </w:tcPr>
          <w:p>
            <w:pPr>
              <w:widowControl/>
              <w:numPr>
                <w:ilvl w:val="0"/>
                <w:numId w:val="3"/>
              </w:numPr>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抽样人员应当使用《食品安全抽样检验抽样单》，详细记录抽样信息，记录保存期限不得少于两年。</w:t>
            </w:r>
          </w:p>
          <w:p>
            <w:pPr>
              <w:widowControl/>
              <w:numPr>
                <w:ilvl w:val="0"/>
                <w:numId w:val="3"/>
              </w:numPr>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抽样文书应当字迹工整、清晰，容易辨认，不得随意更改。</w:t>
            </w:r>
          </w:p>
          <w:p>
            <w:pPr>
              <w:widowControl/>
              <w:numPr>
                <w:ilvl w:val="0"/>
                <w:numId w:val="3"/>
              </w:numPr>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抽样单填写完毕后，应当由抽样人员（含参与抽样的监管人员</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和被抽样单位签字或盖章确认。</w:t>
            </w:r>
          </w:p>
          <w:p>
            <w:pPr>
              <w:widowControl/>
              <w:numPr>
                <w:ilvl w:val="0"/>
                <w:numId w:val="3"/>
              </w:numPr>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如需更改信息应当由被抽样单位确认，其中营业执照、经营许可证、生产许可证等证照信息以及样品标称信息如需更改，由两名抽样人员签字或抽样单位盖章确认即可。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现场信息采集</w:t>
            </w:r>
          </w:p>
        </w:tc>
        <w:tc>
          <w:tcPr>
            <w:tcW w:w="5308" w:type="dxa"/>
            <w:noWrap w:val="0"/>
            <w:vAlign w:val="center"/>
          </w:tcPr>
          <w:p>
            <w:pPr>
              <w:widowControl/>
              <w:numPr>
                <w:ilvl w:val="0"/>
                <w:numId w:val="4"/>
              </w:numPr>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抽样人员应当通过拍照等方式对抽样场所、证照信息、贮存环境、样品信息、农产品票证（如有）、防护措施等进行现场信息采集。</w:t>
            </w:r>
          </w:p>
          <w:p>
            <w:pPr>
              <w:widowControl/>
              <w:numPr>
                <w:ilvl w:val="0"/>
                <w:numId w:val="4"/>
              </w:numPr>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信息采集的设备，包括执法记录仪、相机等类似设备应能满足项目需求，完整记录抽样现场过程（视频、音频、清晰照片）。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费用支付</w:t>
            </w:r>
          </w:p>
        </w:tc>
        <w:tc>
          <w:tcPr>
            <w:tcW w:w="5308" w:type="dxa"/>
            <w:noWrap w:val="0"/>
            <w:vAlign w:val="center"/>
          </w:tcPr>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抽样人员应当向被抽样单位支付样品购置费并索取发票（或相关购物凭证）及所购样品明细，可现场支付费用或先出具《食品安全抽样检验样品购置费用告知书》随后支付费用。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12</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文书交付</w:t>
            </w:r>
          </w:p>
        </w:tc>
        <w:tc>
          <w:tcPr>
            <w:tcW w:w="5308" w:type="dxa"/>
            <w:noWrap w:val="0"/>
            <w:vAlign w:val="center"/>
          </w:tcPr>
          <w:p>
            <w:pPr>
              <w:widowControl/>
              <w:spacing w:line="320" w:lineRule="exact"/>
              <w:jc w:val="both"/>
              <w:textAlignment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抽样人员应当将填写完整的《食品安全抽样检验告知书》《食品安全抽样检验抽样单》《食品安全抽样检验样品购置费用告知书》（如有）和《食品安全抽样检验工作质量及工作纪律反馈单》交付被抽样单位</w:t>
            </w:r>
            <w:r>
              <w:rPr>
                <w:rFonts w:hint="eastAsia" w:ascii="仿宋" w:hAnsi="仿宋" w:eastAsia="仿宋" w:cs="仿宋"/>
                <w:color w:val="auto"/>
                <w:sz w:val="28"/>
                <w:szCs w:val="28"/>
                <w:highlight w:val="none"/>
                <w:lang w:eastAsia="zh-CN"/>
              </w:rPr>
              <w:t>。</w:t>
            </w:r>
          </w:p>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（2）应将被抽样单位在《食品安全抽样检验工作质量及工作纪律反馈单》上填写完整的回执单收回。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13</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样品运输</w:t>
            </w:r>
          </w:p>
        </w:tc>
        <w:tc>
          <w:tcPr>
            <w:tcW w:w="5308" w:type="dxa"/>
            <w:noWrap w:val="0"/>
            <w:vAlign w:val="center"/>
          </w:tcPr>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抽取的样品应当由抽样人员携带或寄送至供应商，不得由被抽样单位自行寄送样品。原则上样品应当在抽样完成后五个工作日内移交。食品安全标准或其他相关规定对样品运输有特殊时限要求的，从其要求。因客观原因需延长送样期限的，应当经采购人同意。</w:t>
            </w:r>
          </w:p>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（2）抽样人员应当根据样品特性和检验目的进行合理贮存、运输。</w:t>
            </w:r>
          </w:p>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（3）对于易碎，冷藏、冷冻或有其他特殊贮运条件等要求的样品，抽样人员应当采取适当措施，保证样品运输过程符合标准或样品标示要求的运输条件。</w:t>
            </w:r>
          </w:p>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kern w:val="0"/>
                <w:sz w:val="28"/>
                <w:szCs w:val="28"/>
                <w:highlight w:val="none"/>
              </w:rPr>
              <w:t>用于样品运输的设备，如普通车辆、冷链运输车辆、车载冰箱、保温箱等类似设备，其设备类型、运载能力和数量应能满足项目需求。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14</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特殊情形处理</w:t>
            </w:r>
          </w:p>
        </w:tc>
        <w:tc>
          <w:tcPr>
            <w:tcW w:w="5308" w:type="dxa"/>
            <w:noWrap w:val="0"/>
            <w:vAlign w:val="center"/>
          </w:tcPr>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抽样人员应当按照食品安全抽样检验相关工作规范，对拒绝抽样、不予抽样、特殊情况等情形及时处置或报告。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15</w:t>
            </w:r>
          </w:p>
        </w:tc>
        <w:tc>
          <w:tcPr>
            <w:tcW w:w="724" w:type="dxa"/>
            <w:vMerge w:val="restart"/>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网络抽样</w:t>
            </w: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信息核查</w:t>
            </w:r>
          </w:p>
        </w:tc>
        <w:tc>
          <w:tcPr>
            <w:tcW w:w="5308"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抽样人员应当确认网络食品交易经营者或食品生产企业（含委托加工方、受委托加工方）中至少有一方处于采购人监管辖区内，同时核查营业执照、许可证等相关证件。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16</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样品购买</w:t>
            </w:r>
          </w:p>
        </w:tc>
        <w:tc>
          <w:tcPr>
            <w:tcW w:w="5308" w:type="dxa"/>
            <w:noWrap w:val="0"/>
            <w:vAlign w:val="center"/>
          </w:tcPr>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抽样人员使用已备案的账户登录网络交易平台，检索平台内的拟抽检食品，以消费者身份购买样品，使用已备案的付款账户向被抽样单位支付费用（含样品费、打包费、运输费等），索要支付凭证（发票或收据）。被抽样单位无法提供发票或收据的，网络支付截图和订单明细可作为购样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17</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购买过程的信息采集</w:t>
            </w:r>
          </w:p>
        </w:tc>
        <w:tc>
          <w:tcPr>
            <w:tcW w:w="5308" w:type="dxa"/>
            <w:noWrap w:val="0"/>
            <w:vAlign w:val="center"/>
          </w:tcPr>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购买样品过程中应当通过截图、拍照或者录像等方式采集样品展示页信息、网页上被抽样单位的证照、支付记录、成功下单后的订单信息等。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18</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拆包、查验及封样过程的信息采集</w:t>
            </w:r>
          </w:p>
        </w:tc>
        <w:tc>
          <w:tcPr>
            <w:tcW w:w="5308" w:type="dxa"/>
            <w:noWrap w:val="0"/>
            <w:vAlign w:val="center"/>
          </w:tcPr>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（1）收到物流包裹后，由不少于两名抽样人员共同对物流单据记载的订单信息进行核对，确认无误后拆包、查验，对检验样品和复检备份样品分别封样。</w:t>
            </w:r>
          </w:p>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（2）拆包、查验、封样过程应当拍照及录像，留存足以证明样品来源的关键影像资料。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19</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文书填写 及交付</w:t>
            </w:r>
          </w:p>
        </w:tc>
        <w:tc>
          <w:tcPr>
            <w:tcW w:w="5308" w:type="dxa"/>
            <w:noWrap w:val="0"/>
            <w:vAlign w:val="center"/>
          </w:tcPr>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抽样人员应当完整填写《食品安全抽样检验抽样单》</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《食品安全抽样检验抽样单》和《食品安全抽样检验封条》不需要被抽样单位签字或盖章确认，也不需要交付被抽样单位，如需更改信息可由两名抽样人员签名确认或抽样单位盖章确认。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4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20</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1354"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特殊情况处理</w:t>
            </w:r>
          </w:p>
        </w:tc>
        <w:tc>
          <w:tcPr>
            <w:tcW w:w="5308" w:type="dxa"/>
            <w:noWrap w:val="0"/>
            <w:vAlign w:val="center"/>
          </w:tcPr>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（1）对于收到的食品为不同生产批次的，选取其中满足检验及复检要求的某一批次食品为抽检样品，其余不同批次食品应当单独封样，同复检备份样品一并管理，并在抽样单备注栏说明。</w:t>
            </w:r>
          </w:p>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（2）若无任何一批次满足检验及复检要求的，抽样单位可向采购人申请调整检验项目等，经同意后可对某一批次样品进行检验。</w:t>
            </w:r>
          </w:p>
        </w:tc>
      </w:tr>
    </w:tbl>
    <w:p>
      <w:pPr>
        <w:spacing w:line="560" w:lineRule="exact"/>
        <w:ind w:firstLine="560" w:firstLineChars="200"/>
        <w:rPr>
          <w:rFonts w:hint="eastAsia" w:ascii="仿宋" w:hAnsi="仿宋" w:eastAsia="仿宋" w:cs="仿宋"/>
          <w:color w:val="auto"/>
          <w:sz w:val="28"/>
          <w:szCs w:val="28"/>
          <w:highlight w:val="none"/>
          <w:lang w:val="en-US" w:eastAsia="zh-CN"/>
        </w:rPr>
      </w:pPr>
    </w:p>
    <w:p>
      <w:pPr>
        <w:spacing w:line="5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.2.2检验环节</w:t>
      </w:r>
    </w:p>
    <w:p>
      <w:pPr>
        <w:widowControl/>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表2 检验环节主要技术内容和标准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0"/>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7" w:type="dxa"/>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序号</w:t>
            </w:r>
          </w:p>
        </w:tc>
        <w:tc>
          <w:tcPr>
            <w:tcW w:w="1700" w:type="dxa"/>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服务名称</w:t>
            </w:r>
          </w:p>
        </w:tc>
        <w:tc>
          <w:tcPr>
            <w:tcW w:w="5767" w:type="dxa"/>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7" w:type="dxa"/>
            <w:noWrap w:val="0"/>
            <w:vAlign w:val="center"/>
          </w:tcPr>
          <w:p>
            <w:pPr>
              <w:widowControl/>
              <w:spacing w:line="320" w:lineRule="exact"/>
              <w:jc w:val="center"/>
              <w:textAlignment w:val="center"/>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1</w:t>
            </w:r>
          </w:p>
        </w:tc>
        <w:tc>
          <w:tcPr>
            <w:tcW w:w="1700"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供应商确定</w:t>
            </w:r>
          </w:p>
        </w:tc>
        <w:tc>
          <w:tcPr>
            <w:tcW w:w="5767" w:type="dxa"/>
            <w:noWrap w:val="0"/>
            <w:vAlign w:val="center"/>
          </w:tcPr>
          <w:p>
            <w:pPr>
              <w:widowControl/>
              <w:numPr>
                <w:ilvl w:val="0"/>
                <w:numId w:val="5"/>
              </w:numPr>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采购人根据政府采购、食品安全等法律法规要求确定供应商。</w:t>
            </w:r>
          </w:p>
          <w:p>
            <w:pPr>
              <w:widowControl/>
              <w:spacing w:line="320" w:lineRule="exact"/>
              <w:jc w:val="both"/>
              <w:textAlignment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（2）未经采购人同意，供应商不得分包或者转包检验任务。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7"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1700"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检验人员管理</w:t>
            </w:r>
          </w:p>
        </w:tc>
        <w:tc>
          <w:tcPr>
            <w:tcW w:w="5767"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（1）食品检验人员数量、专业领域、工作年限等要求与服务需求相匹配。</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（2）建立检验人员持证上岗制度，加强食品安全法律法规、标准规范、质量控制要求、实验室安全与防护知识等方面的培训考核，确保检验人员能力持续满足承检工作需求。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7"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1700"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样品接收与保存</w:t>
            </w:r>
          </w:p>
        </w:tc>
        <w:tc>
          <w:tcPr>
            <w:tcW w:w="5767"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1）供应商接收样品时，应当查验、记录样品的外观、状态、封条有无破损以及其他可能对检验结论产生影响的情况，并核对样品与抽样文书信息。样品移交时，规范填写《食品安全抽样检验样品移交确认单》。</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（2）对符合要求的样品，供应商应当在抽样后五个工作日内完成样品接收工作，将检验样品和复检备份样品分别加贴相应标识后，按照要求入库存放。</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3）对不符合要求的样品，如抽样文书信息与实际样品不符、样品数量不能满足检验或复检要求、样品性状改变可能对检验结论产生影响、封条破损、封样缺少防拆封措施等情况，供应商应当拒绝接收并规范填写拒收理由，及时报告采购人。</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（3）抽样检验的样品由供应商保存。供应商应当建立样品保管制度，严禁样品被随意调换、拆封。对于复检备份样品的调取或使用，应当经相关负责人签字确认后方可进行。</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（4）</w:t>
            </w:r>
            <w:r>
              <w:rPr>
                <w:rFonts w:hint="eastAsia" w:ascii="仿宋" w:hAnsi="仿宋" w:eastAsia="仿宋" w:cs="仿宋"/>
                <w:color w:val="auto"/>
                <w:kern w:val="0"/>
                <w:sz w:val="28"/>
                <w:szCs w:val="28"/>
                <w:highlight w:val="none"/>
              </w:rPr>
              <w:t>样品储存场所容量、环境、温度控制等与服务需求相匹配。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17"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1700"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检验过程</w:t>
            </w:r>
          </w:p>
        </w:tc>
        <w:tc>
          <w:tcPr>
            <w:tcW w:w="5767"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（1）监督抽检应当按照食品安全标准、注册或者备案的特殊食品产品技术要求以及国家有关规定确定的检验项目和检验方法进行。</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（2）风险监测工作中，在没有前款规定的检验方法的情况下，可以采用其他检验方法。</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（3）在不影响样品检验结果的前提下，供应商应当对检验样品采取相应的措施（如分装或者重新包装编号），以保证不会发生人为原因导致不公正的情况。</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（4）供应商应当按照标准或相关规定制备样品，必要时制定作业指导书，认真记录制样过程关键信息。</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（5）供应商应当建立检验结果复验程序（微生物、螨、寄生虫项目除外），在检验结果不合格或存疑等情况时，应当对同批次样品进行再次检验并保存原始记录，确保数据准确可靠。</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（6）微生物项目不合格的，应当由微生物检验领域关键技术人员（与样品检验人员非同一人）对检验过程中影响结果的关键因素进行复核。</w:t>
            </w:r>
          </w:p>
          <w:p>
            <w:pPr>
              <w:widowControl/>
              <w:spacing w:line="320" w:lineRule="exact"/>
              <w:jc w:val="both"/>
              <w:textAlignment w:val="center"/>
              <w:rPr>
                <w:rFonts w:hint="eastAsia" w:ascii="仿宋" w:hAnsi="仿宋" w:eastAsia="仿宋" w:cs="仿宋"/>
                <w:color w:val="auto"/>
                <w:kern w:val="0"/>
                <w:sz w:val="28"/>
                <w:szCs w:val="28"/>
                <w:highlight w:val="none"/>
              </w:rPr>
            </w:pPr>
            <w:r>
              <w:rPr>
                <w:rStyle w:val="32"/>
                <w:rFonts w:hint="eastAsia" w:ascii="仿宋" w:hAnsi="仿宋" w:eastAsia="仿宋" w:cs="仿宋"/>
                <w:color w:val="auto"/>
                <w:sz w:val="28"/>
                <w:szCs w:val="28"/>
                <w:highlight w:val="none"/>
              </w:rPr>
              <w:t>（7）</w:t>
            </w:r>
            <w:r>
              <w:rPr>
                <w:rFonts w:hint="eastAsia" w:ascii="仿宋" w:hAnsi="仿宋" w:eastAsia="仿宋" w:cs="仿宋"/>
                <w:color w:val="auto"/>
                <w:kern w:val="0"/>
                <w:sz w:val="28"/>
                <w:szCs w:val="28"/>
                <w:highlight w:val="none"/>
              </w:rPr>
              <w:t>拟用于开展食品检验工作的实验场所面积、环境、布局和组成部分等与服务需求相匹配。</w:t>
            </w:r>
          </w:p>
          <w:p>
            <w:pPr>
              <w:widowControl/>
              <w:spacing w:line="320" w:lineRule="exact"/>
              <w:jc w:val="both"/>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（8）检验设备的仪器型号、等级、精密度、运行状况和数量应能满足项目需求。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17"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p>
        </w:tc>
        <w:tc>
          <w:tcPr>
            <w:tcW w:w="1700"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检验记录</w:t>
            </w:r>
          </w:p>
        </w:tc>
        <w:tc>
          <w:tcPr>
            <w:tcW w:w="5767"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（1）检验原始记录必须如实填写，保证真实、准确、完整、清晰、可溯源，不得随意更改。</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（2）确有必要更改的，更改处应当经检验人员签字或盖章确认，采用电子化原始记录的，应当保留更改痕迹。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17"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p>
        </w:tc>
        <w:tc>
          <w:tcPr>
            <w:tcW w:w="1700"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结果质量控制</w:t>
            </w:r>
          </w:p>
        </w:tc>
        <w:tc>
          <w:tcPr>
            <w:tcW w:w="5767"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供应商应当选取加标回收、人员比对、设备比对或实验室间比对等质控方式确保数据的准确性。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817"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w:t>
            </w:r>
          </w:p>
        </w:tc>
        <w:tc>
          <w:tcPr>
            <w:tcW w:w="1700"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检验报告</w:t>
            </w:r>
          </w:p>
        </w:tc>
        <w:tc>
          <w:tcPr>
            <w:tcW w:w="5767"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（1）供应商应当按规定格式出具检验报告，检验报告应当内容真实完整、数据准确。</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（2）供应商应当自收到样品之日起二十个工作日内出具检验报告。采购人与供应商另有约定的，从其约定。</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（3）食品安全抽样检验实行供应商与检验人负责制。供应商出具的食品安全检验报告应当加盖机构公章或检验检测专用章，并有检验人的签名或者盖章。供应商和检验人对出具的检验报告负责。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817"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w:t>
            </w:r>
          </w:p>
        </w:tc>
        <w:tc>
          <w:tcPr>
            <w:tcW w:w="1700"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检验过程特殊情况</w:t>
            </w:r>
          </w:p>
        </w:tc>
        <w:tc>
          <w:tcPr>
            <w:tcW w:w="5767"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检验过程中遇有样品失效或者其他情况致使检验无法进行的，供应商必须如实记录有关情况，提供充分的证明材料，并将有关情况报告采购人。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17"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w:t>
            </w:r>
          </w:p>
        </w:tc>
        <w:tc>
          <w:tcPr>
            <w:tcW w:w="1700"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风险信息限时报送</w:t>
            </w:r>
          </w:p>
        </w:tc>
        <w:tc>
          <w:tcPr>
            <w:tcW w:w="5767"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供应商在检验过程中发现严重食品安全风险情形的，应当立即对样品信息、检验结果等进行核实，在十二个小时内填写《食品安全抽样检验限时报告情况表》上传国抽信息系统，同时向采购人书面或电话报告，确认对方收悉并记录备查。供应商要按“急事急办”原则，尽快出具完整的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817"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w:t>
            </w:r>
          </w:p>
        </w:tc>
        <w:tc>
          <w:tcPr>
            <w:tcW w:w="1700"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合格样品、未发现问题样品检验报告的报送</w:t>
            </w:r>
          </w:p>
        </w:tc>
        <w:tc>
          <w:tcPr>
            <w:tcW w:w="5767"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供应商应当在检验结论作出后七个工作日内将检验结论报送采购人。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17"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11</w:t>
            </w:r>
          </w:p>
        </w:tc>
        <w:tc>
          <w:tcPr>
            <w:tcW w:w="1700"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不合格样品、问题样品检验报告的报送</w:t>
            </w:r>
          </w:p>
        </w:tc>
        <w:tc>
          <w:tcPr>
            <w:tcW w:w="5767"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供应商应当在检验结论作出后两个工作日内将检验报告及《食品安全抽样检验告知书》《食品安全抽样检验抽样单》《食品安全抽样检验结果通知书》《食品安全风险监测结果通知书》等有关材料报送采购人，并按照相关规定及时配合通报。</w:t>
            </w:r>
          </w:p>
        </w:tc>
      </w:tr>
    </w:tbl>
    <w:p>
      <w:pPr>
        <w:spacing w:line="560" w:lineRule="exact"/>
        <w:ind w:left="64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.2.3数据汇总、分析报告与复检环节</w:t>
      </w:r>
    </w:p>
    <w:p>
      <w:pPr>
        <w:widowControl/>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表3 数据处理上报、分析报告与复检环节主要技术内容和标准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724"/>
        <w:gridCol w:w="993"/>
        <w:gridCol w:w="5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33" w:type="dxa"/>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序号</w:t>
            </w:r>
          </w:p>
        </w:tc>
        <w:tc>
          <w:tcPr>
            <w:tcW w:w="1717" w:type="dxa"/>
            <w:gridSpan w:val="2"/>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服务名称</w:t>
            </w:r>
          </w:p>
        </w:tc>
        <w:tc>
          <w:tcPr>
            <w:tcW w:w="5800" w:type="dxa"/>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833"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1717" w:type="dxa"/>
            <w:gridSpan w:val="2"/>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数据汇总</w:t>
            </w:r>
          </w:p>
        </w:tc>
        <w:tc>
          <w:tcPr>
            <w:tcW w:w="5800"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数据统计分析、结果信息报送人员数量、能力等要求与服务需求相匹配。</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根据采购人要求按时完成抽检数据的统计汇总和及时上报，并对数据质量负责。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833"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1717" w:type="dxa"/>
            <w:gridSpan w:val="2"/>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分析报告</w:t>
            </w:r>
          </w:p>
        </w:tc>
        <w:tc>
          <w:tcPr>
            <w:tcW w:w="5800"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在检验工作完成后按采购人要求提供分析报告，包含但不限于任务抽检情况、结果分析、风险警示、工作建议等方面内容。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33"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724" w:type="dxa"/>
            <w:vMerge w:val="restart"/>
            <w:noWrap w:val="0"/>
            <w:vAlign w:val="center"/>
          </w:tcPr>
          <w:p>
            <w:pPr>
              <w:widowControl/>
              <w:spacing w:line="320" w:lineRule="exact"/>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复检处理</w:t>
            </w:r>
          </w:p>
        </w:tc>
        <w:tc>
          <w:tcPr>
            <w:tcW w:w="993"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复检备份样品移交</w:t>
            </w:r>
          </w:p>
        </w:tc>
        <w:tc>
          <w:tcPr>
            <w:tcW w:w="5800"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（1）初检机构应当自复检机构确定之日起三个工作日内，将备份样品移交至复检机构并填写《复检备份样品确认单》。因客观原因不能按时移交的，经受理复检的市场监管部门同意，可以延长三个工作日。</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2）复检样品的递送方式由初检机构和申请人协商确定，协商不一致的，由受理复检的市场监管部门确定。初检机构应当保证复检备份样品完好，并保证备份样品运输过程符合相关标准或样品标示的贮存条件和备份样品的运输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833"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724" w:type="dxa"/>
            <w:vMerge w:val="continue"/>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p>
        </w:tc>
        <w:tc>
          <w:tcPr>
            <w:tcW w:w="993" w:type="dxa"/>
            <w:noWrap w:val="0"/>
            <w:vAlign w:val="center"/>
          </w:tcPr>
          <w:p>
            <w:pPr>
              <w:widowControl/>
              <w:spacing w:line="320" w:lineRule="exact"/>
              <w:jc w:val="center"/>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复检实施</w:t>
            </w:r>
          </w:p>
        </w:tc>
        <w:tc>
          <w:tcPr>
            <w:tcW w:w="5800"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 xml:space="preserve">初检机构可以派员观察复检实施过程，复检机构应当予以配合。初检机构派出观察复检过程的人员，应当遵守复检机构的相关规定，不得干扰复检工作。 </w:t>
            </w:r>
          </w:p>
        </w:tc>
      </w:tr>
    </w:tbl>
    <w:p>
      <w:pPr>
        <w:spacing w:line="560" w:lineRule="exact"/>
        <w:ind w:left="64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.2.4其他服务要求</w:t>
      </w:r>
    </w:p>
    <w:p>
      <w:pPr>
        <w:widowControl/>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表4 其他服务内容和标准</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150"/>
        <w:gridCol w:w="5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9" w:type="dxa"/>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序号</w:t>
            </w:r>
          </w:p>
        </w:tc>
        <w:tc>
          <w:tcPr>
            <w:tcW w:w="2150" w:type="dxa"/>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服务名称</w:t>
            </w:r>
          </w:p>
        </w:tc>
        <w:tc>
          <w:tcPr>
            <w:tcW w:w="5450" w:type="dxa"/>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9" w:type="dxa"/>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2150" w:type="dxa"/>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人员团队配置</w:t>
            </w:r>
          </w:p>
        </w:tc>
        <w:tc>
          <w:tcPr>
            <w:tcW w:w="5450"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（1）岗位配置合理、分工明确，团队人员稳定、专业符合项目需求。</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（2）项目负责人的学历、职称、工作年限、工作经验等与服务需求相匹配。</w:t>
            </w:r>
          </w:p>
          <w:p>
            <w:pPr>
              <w:widowControl/>
              <w:spacing w:line="320" w:lineRule="exact"/>
              <w:jc w:val="both"/>
              <w:textAlignment w:val="center"/>
              <w:rPr>
                <w:rFonts w:hint="eastAsia" w:ascii="仿宋" w:hAnsi="仿宋" w:eastAsia="仿宋" w:cs="仿宋"/>
                <w:color w:val="auto"/>
                <w:kern w:val="0"/>
                <w:sz w:val="28"/>
                <w:szCs w:val="28"/>
                <w:highlight w:val="none"/>
              </w:rPr>
            </w:pPr>
            <w:r>
              <w:rPr>
                <w:rStyle w:val="32"/>
                <w:rFonts w:hint="eastAsia" w:ascii="仿宋" w:hAnsi="仿宋" w:eastAsia="仿宋" w:cs="仿宋"/>
                <w:color w:val="auto"/>
                <w:sz w:val="28"/>
                <w:szCs w:val="28"/>
                <w:highlight w:val="none"/>
              </w:rPr>
              <w:t>（3）食品领域高水平检验和技术管理人员数量、职称、工作年限、工作经验等与服务需求相匹配。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9" w:type="dxa"/>
            <w:noWrap w:val="0"/>
            <w:vAlign w:val="center"/>
          </w:tcPr>
          <w:p>
            <w:pPr>
              <w:widowControl/>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2150" w:type="dxa"/>
            <w:noWrap w:val="0"/>
            <w:vAlign w:val="center"/>
          </w:tcPr>
          <w:p>
            <w:pPr>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合格备份样品再利用工作</w:t>
            </w:r>
          </w:p>
        </w:tc>
        <w:tc>
          <w:tcPr>
            <w:tcW w:w="5450"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（1）鼓励对合格复检备份样品采取多种方式再利用，减少食品浪费。</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w:t>
            </w:r>
            <w:r>
              <w:rPr>
                <w:rStyle w:val="32"/>
                <w:rFonts w:hint="eastAsia" w:ascii="仿宋" w:hAnsi="仿宋" w:eastAsia="仿宋" w:cs="仿宋"/>
                <w:color w:val="auto"/>
                <w:sz w:val="28"/>
                <w:szCs w:val="28"/>
                <w:highlight w:val="none"/>
                <w:lang w:val="en-US" w:eastAsia="zh-CN"/>
              </w:rPr>
              <w:t>2</w:t>
            </w:r>
            <w:r>
              <w:rPr>
                <w:rStyle w:val="32"/>
                <w:rFonts w:hint="eastAsia" w:ascii="仿宋" w:hAnsi="仿宋" w:eastAsia="仿宋" w:cs="仿宋"/>
                <w:color w:val="auto"/>
                <w:sz w:val="28"/>
                <w:szCs w:val="28"/>
                <w:highlight w:val="none"/>
              </w:rPr>
              <w:t>）积极配合采购人按规范程序和有关要求，对合格复检备份样品开展合理再利用。</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w:t>
            </w:r>
            <w:r>
              <w:rPr>
                <w:rStyle w:val="32"/>
                <w:rFonts w:hint="eastAsia" w:ascii="仿宋" w:hAnsi="仿宋" w:eastAsia="仿宋" w:cs="仿宋"/>
                <w:color w:val="auto"/>
                <w:sz w:val="28"/>
                <w:szCs w:val="28"/>
                <w:highlight w:val="none"/>
                <w:lang w:val="en-US" w:eastAsia="zh-CN"/>
              </w:rPr>
              <w:t>3</w:t>
            </w:r>
            <w:r>
              <w:rPr>
                <w:rStyle w:val="32"/>
                <w:rFonts w:hint="eastAsia" w:ascii="仿宋" w:hAnsi="仿宋" w:eastAsia="仿宋" w:cs="仿宋"/>
                <w:color w:val="auto"/>
                <w:sz w:val="28"/>
                <w:szCs w:val="28"/>
                <w:highlight w:val="none"/>
              </w:rPr>
              <w:t>）对其他合格备份样品和结论不合格的备份样品进行妥善保存及处理，并保留样品保存和处理记录。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81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2150" w:type="dxa"/>
            <w:noWrap w:val="0"/>
            <w:vAlign w:val="center"/>
          </w:tcPr>
          <w:p>
            <w:pPr>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管理制度</w:t>
            </w:r>
          </w:p>
        </w:tc>
        <w:tc>
          <w:tcPr>
            <w:tcW w:w="5450"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管理制度具备人员工作规范、抽样、检验、样品管理、复验、结果上报等全流程工作的具体要求。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81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2150" w:type="dxa"/>
            <w:noWrap w:val="0"/>
            <w:vAlign w:val="center"/>
          </w:tcPr>
          <w:p>
            <w:pPr>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快速响应服务时效</w:t>
            </w:r>
          </w:p>
        </w:tc>
        <w:tc>
          <w:tcPr>
            <w:tcW w:w="5450"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具备在项目需要时到达现场进行应急抽样的快速响应服务时效。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81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p>
        </w:tc>
        <w:tc>
          <w:tcPr>
            <w:tcW w:w="2150"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实施方案</w:t>
            </w:r>
          </w:p>
        </w:tc>
        <w:tc>
          <w:tcPr>
            <w:tcW w:w="5450"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实施方案应当包括但不限于抽样、检验、数据填报与分析汇总、质量控制、特色服务等各项内容。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81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p>
        </w:tc>
        <w:tc>
          <w:tcPr>
            <w:tcW w:w="2150"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突发事件应急处置预案</w:t>
            </w:r>
          </w:p>
        </w:tc>
        <w:tc>
          <w:tcPr>
            <w:tcW w:w="5450" w:type="dxa"/>
            <w:noWrap w:val="0"/>
            <w:vAlign w:val="center"/>
          </w:tcPr>
          <w:p>
            <w:pPr>
              <w:widowControl/>
              <w:numPr>
                <w:ilvl w:val="0"/>
                <w:numId w:val="0"/>
              </w:numPr>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应具有专门应对突发事件且符合项目需求的专业人员、专业设备和应急处置预案。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81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w:t>
            </w:r>
          </w:p>
        </w:tc>
        <w:tc>
          <w:tcPr>
            <w:tcW w:w="2150" w:type="dxa"/>
            <w:noWrap w:val="0"/>
            <w:vAlign w:val="center"/>
          </w:tcPr>
          <w:p>
            <w:pPr>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工作业绩</w:t>
            </w:r>
          </w:p>
        </w:tc>
        <w:tc>
          <w:tcPr>
            <w:tcW w:w="5450"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（1）承担食品安全抽样检验工作任务及类似项目情况，包括常规任务、应急及专项任务。</w:t>
            </w:r>
          </w:p>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（2）工作业绩应能证明供应商的服务能力。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9" w:type="dxa"/>
            <w:noWrap w:val="0"/>
            <w:vAlign w:val="center"/>
          </w:tcPr>
          <w:p>
            <w:pPr>
              <w:widowControl/>
              <w:spacing w:line="320" w:lineRule="exact"/>
              <w:jc w:val="center"/>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w:t>
            </w:r>
          </w:p>
        </w:tc>
        <w:tc>
          <w:tcPr>
            <w:tcW w:w="2150" w:type="dxa"/>
            <w:noWrap w:val="0"/>
            <w:vAlign w:val="center"/>
          </w:tcPr>
          <w:p>
            <w:pPr>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工作质量状况</w:t>
            </w:r>
          </w:p>
        </w:tc>
        <w:tc>
          <w:tcPr>
            <w:tcW w:w="5450" w:type="dxa"/>
            <w:noWrap w:val="0"/>
            <w:vAlign w:val="center"/>
          </w:tcPr>
          <w:p>
            <w:pPr>
              <w:widowControl/>
              <w:spacing w:line="320" w:lineRule="exact"/>
              <w:jc w:val="both"/>
              <w:textAlignment w:val="center"/>
              <w:rPr>
                <w:rStyle w:val="32"/>
                <w:rFonts w:hint="eastAsia" w:ascii="仿宋" w:hAnsi="仿宋" w:eastAsia="仿宋" w:cs="仿宋"/>
                <w:color w:val="auto"/>
                <w:sz w:val="28"/>
                <w:szCs w:val="28"/>
                <w:highlight w:val="none"/>
              </w:rPr>
            </w:pPr>
            <w:r>
              <w:rPr>
                <w:rStyle w:val="32"/>
                <w:rFonts w:hint="eastAsia" w:ascii="仿宋" w:hAnsi="仿宋" w:eastAsia="仿宋" w:cs="仿宋"/>
                <w:color w:val="auto"/>
                <w:sz w:val="28"/>
                <w:szCs w:val="28"/>
                <w:highlight w:val="none"/>
              </w:rPr>
              <w:t>在承担食品安全抽检任务中，因工作质量问题被通报的情况。</w:t>
            </w:r>
          </w:p>
        </w:tc>
      </w:tr>
    </w:tbl>
    <w:p>
      <w:pPr>
        <w:widowControl/>
        <w:spacing w:line="560" w:lineRule="exact"/>
        <w:jc w:val="center"/>
        <w:rPr>
          <w:rFonts w:hint="eastAsia" w:ascii="仿宋" w:hAnsi="仿宋" w:eastAsia="仿宋" w:cs="仿宋"/>
          <w:color w:val="auto"/>
          <w:sz w:val="28"/>
          <w:szCs w:val="28"/>
          <w:highlight w:val="none"/>
        </w:rPr>
      </w:pPr>
    </w:p>
    <w:p>
      <w:pPr>
        <w:pStyle w:val="19"/>
        <w:keepNext w:val="0"/>
        <w:keepLines w:val="0"/>
        <w:pageBreakBefore w:val="0"/>
        <w:widowControl/>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.2.5管理考核</w:t>
      </w:r>
    </w:p>
    <w:p>
      <w:pPr>
        <w:pStyle w:val="19"/>
        <w:keepNext w:val="0"/>
        <w:keepLines w:val="0"/>
        <w:pageBreakBefore w:val="0"/>
        <w:widowControl/>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在服务周期内，供应商应确保其能力水平持续满足</w:t>
      </w:r>
      <w:r>
        <w:rPr>
          <w:rFonts w:hint="eastAsia" w:ascii="仿宋" w:hAnsi="仿宋" w:eastAsia="仿宋" w:cs="仿宋"/>
          <w:color w:val="auto"/>
          <w:sz w:val="28"/>
          <w:szCs w:val="28"/>
          <w:highlight w:val="none"/>
          <w:lang w:eastAsia="zh-CN"/>
        </w:rPr>
        <w:t>法律法规</w:t>
      </w:r>
      <w:r>
        <w:rPr>
          <w:rFonts w:hint="eastAsia" w:ascii="仿宋" w:hAnsi="仿宋" w:eastAsia="仿宋" w:cs="仿宋"/>
          <w:color w:val="auto"/>
          <w:sz w:val="28"/>
          <w:szCs w:val="28"/>
          <w:highlight w:val="none"/>
        </w:rPr>
        <w:t>、标准、规范性文件和采购人的要求，并接受采购人组织的数据质量考核、日常考核和技术考核等。</w:t>
      </w:r>
    </w:p>
    <w:p>
      <w:pPr>
        <w:pStyle w:val="19"/>
        <w:keepNext w:val="0"/>
        <w:keepLines w:val="0"/>
        <w:pageBreakBefore w:val="0"/>
        <w:widowControl/>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.2.5.1 数据质量考核</w:t>
      </w:r>
    </w:p>
    <w:p>
      <w:pPr>
        <w:pStyle w:val="19"/>
        <w:keepNext w:val="0"/>
        <w:keepLines w:val="0"/>
        <w:pageBreakBefore w:val="0"/>
        <w:widowControl/>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采购人对供应商在国家食品安全抽样检验信息系统中填报的抽样检验数据的准确性、规范性、及时性等进行抽查。</w:t>
      </w:r>
    </w:p>
    <w:p>
      <w:pPr>
        <w:pStyle w:val="19"/>
        <w:keepNext w:val="0"/>
        <w:keepLines w:val="0"/>
        <w:pageBreakBefore w:val="0"/>
        <w:widowControl/>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.2.5.2 日常考核</w:t>
      </w:r>
    </w:p>
    <w:p>
      <w:pPr>
        <w:pStyle w:val="19"/>
        <w:keepNext w:val="0"/>
        <w:keepLines w:val="0"/>
        <w:pageBreakBefore w:val="0"/>
        <w:widowControl/>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采购人对供应商在任务执行过程中开展的管理考核，包括任务完成时效、均衡推进、问题发现率、复检异议认可、抽样覆盖率、抽样方案和分析报告质量、重大问题及时报告、应急服务响应等相关情况。</w:t>
      </w:r>
    </w:p>
    <w:p>
      <w:pPr>
        <w:pStyle w:val="19"/>
        <w:keepNext w:val="0"/>
        <w:keepLines w:val="0"/>
        <w:pageBreakBefore w:val="0"/>
        <w:widowControl/>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.2.5.3 技术考核</w:t>
      </w:r>
    </w:p>
    <w:p>
      <w:pPr>
        <w:pStyle w:val="19"/>
        <w:keepNext w:val="0"/>
        <w:keepLines w:val="0"/>
        <w:pageBreakBefore w:val="0"/>
        <w:widowControl/>
        <w:kinsoku/>
        <w:wordWrap/>
        <w:overflowPunct/>
        <w:topLinePunct w:val="0"/>
        <w:autoSpaceDE/>
        <w:autoSpaceDN/>
        <w:bidi w:val="0"/>
        <w:adjustRightInd/>
        <w:snapToGrid/>
        <w:spacing w:after="0" w:line="4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采购人对供应商在任务执行过程中</w:t>
      </w:r>
      <w:r>
        <w:rPr>
          <w:rFonts w:hint="eastAsia" w:ascii="仿宋" w:hAnsi="仿宋" w:eastAsia="仿宋" w:cs="仿宋"/>
          <w:color w:val="auto"/>
          <w:sz w:val="28"/>
          <w:szCs w:val="28"/>
          <w:highlight w:val="none"/>
          <w:lang w:val="en-US" w:eastAsia="zh-CN"/>
        </w:rPr>
        <w:t>配合上级</w:t>
      </w:r>
      <w:r>
        <w:rPr>
          <w:rFonts w:hint="eastAsia" w:ascii="仿宋" w:hAnsi="仿宋" w:eastAsia="仿宋" w:cs="仿宋"/>
          <w:color w:val="auto"/>
          <w:sz w:val="28"/>
          <w:szCs w:val="28"/>
          <w:highlight w:val="none"/>
        </w:rPr>
        <w:t>开展的专项考核，包括盲样考核、留样复核、报告考核、现场检查、飞行检查等。</w:t>
      </w:r>
    </w:p>
    <w:p>
      <w:pPr>
        <w:keepNext w:val="0"/>
        <w:keepLines w:val="0"/>
        <w:pageBreakBefore w:val="0"/>
        <w:widowControl/>
        <w:kinsoku/>
        <w:wordWrap/>
        <w:overflowPunct/>
        <w:topLinePunct w:val="0"/>
        <w:autoSpaceDE/>
        <w:autoSpaceDN/>
        <w:bidi w:val="0"/>
        <w:adjustRightInd/>
        <w:snapToGrid/>
        <w:spacing w:line="400" w:lineRule="exact"/>
        <w:ind w:firstLine="562" w:firstLineChars="200"/>
        <w:textAlignment w:val="auto"/>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3.</w:t>
      </w:r>
      <w:r>
        <w:rPr>
          <w:rFonts w:hint="eastAsia" w:ascii="仿宋" w:hAnsi="仿宋" w:eastAsia="仿宋" w:cs="仿宋"/>
          <w:b/>
          <w:color w:val="auto"/>
          <w:sz w:val="28"/>
          <w:szCs w:val="28"/>
          <w:highlight w:val="none"/>
        </w:rPr>
        <w:t>商务要求</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 xml:space="preserve"> 付款进度和方式</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合同生效后</w:t>
      </w:r>
      <w:r>
        <w:rPr>
          <w:rFonts w:hint="eastAsia" w:ascii="仿宋" w:hAnsi="仿宋" w:eastAsia="仿宋" w:cs="仿宋"/>
          <w:color w:val="auto"/>
          <w:sz w:val="28"/>
          <w:szCs w:val="28"/>
          <w:highlight w:val="none"/>
          <w:lang w:val="en-US" w:eastAsia="zh-CN"/>
        </w:rPr>
        <w:t>15日</w:t>
      </w:r>
      <w:r>
        <w:rPr>
          <w:rFonts w:hint="eastAsia" w:ascii="仿宋" w:hAnsi="仿宋" w:eastAsia="仿宋" w:cs="仿宋"/>
          <w:color w:val="auto"/>
          <w:sz w:val="28"/>
          <w:szCs w:val="28"/>
          <w:highlight w:val="none"/>
        </w:rPr>
        <w:t>内，采购人向供应商支付</w:t>
      </w:r>
      <w:r>
        <w:rPr>
          <w:rFonts w:hint="eastAsia" w:ascii="仿宋" w:hAnsi="仿宋" w:eastAsia="仿宋" w:cs="仿宋"/>
          <w:color w:val="auto"/>
          <w:sz w:val="28"/>
          <w:szCs w:val="28"/>
          <w:highlight w:val="none"/>
          <w:lang w:val="en-US" w:eastAsia="zh-CN"/>
        </w:rPr>
        <w:t>合同金额</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0%。2025年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日前，供应商应完成</w:t>
      </w:r>
      <w:r>
        <w:rPr>
          <w:rFonts w:hint="eastAsia" w:ascii="仿宋" w:hAnsi="仿宋" w:eastAsia="仿宋" w:cs="仿宋"/>
          <w:color w:val="auto"/>
          <w:sz w:val="28"/>
          <w:szCs w:val="28"/>
          <w:highlight w:val="none"/>
          <w:lang w:val="en-US" w:eastAsia="zh-CN"/>
        </w:rPr>
        <w:t>采购人布置的任务</w:t>
      </w:r>
      <w:r>
        <w:rPr>
          <w:rFonts w:hint="eastAsia" w:ascii="仿宋" w:hAnsi="仿宋" w:eastAsia="仿宋" w:cs="仿宋"/>
          <w:color w:val="auto"/>
          <w:sz w:val="28"/>
          <w:szCs w:val="28"/>
          <w:highlight w:val="none"/>
        </w:rPr>
        <w:t>，由</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核算费用，经双方确认后，采购人补足</w:t>
      </w:r>
      <w:r>
        <w:rPr>
          <w:rFonts w:hint="eastAsia" w:ascii="仿宋" w:hAnsi="仿宋" w:eastAsia="仿宋" w:cs="仿宋"/>
          <w:color w:val="auto"/>
          <w:sz w:val="28"/>
          <w:szCs w:val="28"/>
          <w:highlight w:val="none"/>
          <w:lang w:eastAsia="zh-CN"/>
        </w:rPr>
        <w:t>支付</w:t>
      </w:r>
      <w:r>
        <w:rPr>
          <w:rFonts w:hint="eastAsia" w:ascii="仿宋" w:hAnsi="仿宋" w:eastAsia="仿宋" w:cs="仿宋"/>
          <w:color w:val="auto"/>
          <w:sz w:val="28"/>
          <w:szCs w:val="28"/>
          <w:highlight w:val="none"/>
        </w:rPr>
        <w:t>完成任务的金额数。剩余款项将在项目最终验收并经双方确认后支付。</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color w:val="auto"/>
          <w:sz w:val="28"/>
          <w:szCs w:val="28"/>
          <w:highlight w:val="none"/>
        </w:rPr>
        <w:t xml:space="preserve"> 履约验收</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color w:val="auto"/>
          <w:sz w:val="28"/>
          <w:szCs w:val="28"/>
          <w:highlight w:val="none"/>
        </w:rPr>
        <w:t>1验收程序</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原则上按照通知验收、机构自查、验收评审、综合评价、整改复查的流程组织开展验收工作。</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color w:val="auto"/>
          <w:sz w:val="28"/>
          <w:szCs w:val="28"/>
          <w:highlight w:val="none"/>
        </w:rPr>
        <w:t>2验收内容</w:t>
      </w:r>
    </w:p>
    <w:p>
      <w:pPr>
        <w:keepNext w:val="0"/>
        <w:keepLines w:val="0"/>
        <w:pageBreakBefore w:val="0"/>
        <w:widowControl/>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验收内容包括：计划执行情况、任务完成质量、分析报告质量、机构综合考核情况以及合同规定的其他履约情况等。采购人可参考表5并结合实际需求确定履约验收的内容和标准。</w:t>
      </w:r>
    </w:p>
    <w:p>
      <w:pPr>
        <w:widowControl/>
        <w:spacing w:line="56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表5 履约验收项目表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806"/>
        <w:gridCol w:w="1459"/>
        <w:gridCol w:w="425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1" w:type="dxa"/>
            <w:noWrap w:val="0"/>
            <w:vAlign w:val="center"/>
          </w:tcPr>
          <w:p>
            <w:pPr>
              <w:spacing w:line="3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序号</w:t>
            </w:r>
          </w:p>
        </w:tc>
        <w:tc>
          <w:tcPr>
            <w:tcW w:w="2265" w:type="dxa"/>
            <w:gridSpan w:val="2"/>
            <w:noWrap w:val="0"/>
            <w:vAlign w:val="center"/>
          </w:tcPr>
          <w:p>
            <w:pPr>
              <w:spacing w:line="3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验收内容</w:t>
            </w:r>
          </w:p>
        </w:tc>
        <w:tc>
          <w:tcPr>
            <w:tcW w:w="4253" w:type="dxa"/>
            <w:noWrap w:val="0"/>
            <w:vAlign w:val="center"/>
          </w:tcPr>
          <w:p>
            <w:pPr>
              <w:spacing w:line="3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验收标准</w:t>
            </w:r>
          </w:p>
        </w:tc>
        <w:tc>
          <w:tcPr>
            <w:tcW w:w="1185" w:type="dxa"/>
            <w:noWrap w:val="0"/>
            <w:vAlign w:val="center"/>
          </w:tcPr>
          <w:p>
            <w:pPr>
              <w:spacing w:line="32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21"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w:t>
            </w:r>
          </w:p>
        </w:tc>
        <w:tc>
          <w:tcPr>
            <w:tcW w:w="2265" w:type="dxa"/>
            <w:gridSpan w:val="2"/>
            <w:noWrap w:val="0"/>
            <w:vAlign w:val="center"/>
          </w:tcPr>
          <w:p>
            <w:pPr>
              <w:widowControl/>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计划执行情况</w:t>
            </w:r>
          </w:p>
        </w:tc>
        <w:tc>
          <w:tcPr>
            <w:tcW w:w="4253" w:type="dxa"/>
            <w:noWrap w:val="0"/>
            <w:vAlign w:val="center"/>
          </w:tcPr>
          <w:p>
            <w:pPr>
              <w:widowControl/>
              <w:adjustRightInd w:val="0"/>
              <w:snapToGrid w:val="0"/>
              <w:spacing w:line="320" w:lineRule="exact"/>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抽检的类型、品种、批次、区域、环节、场所等符合采购人的要求。</w:t>
            </w:r>
          </w:p>
        </w:tc>
        <w:tc>
          <w:tcPr>
            <w:tcW w:w="1185"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21"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2</w:t>
            </w:r>
          </w:p>
        </w:tc>
        <w:tc>
          <w:tcPr>
            <w:tcW w:w="2265" w:type="dxa"/>
            <w:gridSpan w:val="2"/>
            <w:noWrap w:val="0"/>
            <w:vAlign w:val="center"/>
          </w:tcPr>
          <w:p>
            <w:pPr>
              <w:widowControl/>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任务完成时限</w:t>
            </w:r>
          </w:p>
        </w:tc>
        <w:tc>
          <w:tcPr>
            <w:tcW w:w="4253" w:type="dxa"/>
            <w:noWrap w:val="0"/>
            <w:vAlign w:val="center"/>
          </w:tcPr>
          <w:p>
            <w:pPr>
              <w:widowControl/>
              <w:adjustRightInd w:val="0"/>
              <w:snapToGrid w:val="0"/>
              <w:spacing w:line="320" w:lineRule="exact"/>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任务完成时限和均衡推进度符合采购人的要求。</w:t>
            </w:r>
          </w:p>
        </w:tc>
        <w:tc>
          <w:tcPr>
            <w:tcW w:w="1185"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21"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3</w:t>
            </w:r>
          </w:p>
        </w:tc>
        <w:tc>
          <w:tcPr>
            <w:tcW w:w="806" w:type="dxa"/>
            <w:vMerge w:val="restart"/>
            <w:noWrap w:val="0"/>
            <w:vAlign w:val="center"/>
          </w:tcPr>
          <w:p>
            <w:pPr>
              <w:widowControl/>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任务完成质量</w:t>
            </w:r>
          </w:p>
        </w:tc>
        <w:tc>
          <w:tcPr>
            <w:tcW w:w="1459" w:type="dxa"/>
            <w:noWrap w:val="0"/>
            <w:vAlign w:val="center"/>
          </w:tcPr>
          <w:p>
            <w:pPr>
              <w:widowControl/>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问题发现率</w:t>
            </w:r>
          </w:p>
        </w:tc>
        <w:tc>
          <w:tcPr>
            <w:tcW w:w="4253" w:type="dxa"/>
            <w:noWrap w:val="0"/>
            <w:vAlign w:val="center"/>
          </w:tcPr>
          <w:p>
            <w:pPr>
              <w:widowControl/>
              <w:adjustRightInd w:val="0"/>
              <w:snapToGrid w:val="0"/>
              <w:spacing w:line="320" w:lineRule="exact"/>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不合格/问题样品发现率符合采购人的要求。</w:t>
            </w:r>
          </w:p>
        </w:tc>
        <w:tc>
          <w:tcPr>
            <w:tcW w:w="1185"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21"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4</w:t>
            </w:r>
          </w:p>
        </w:tc>
        <w:tc>
          <w:tcPr>
            <w:tcW w:w="806" w:type="dxa"/>
            <w:vMerge w:val="continue"/>
            <w:noWrap w:val="0"/>
            <w:vAlign w:val="center"/>
          </w:tcPr>
          <w:p>
            <w:pPr>
              <w:widowControl/>
              <w:spacing w:line="320" w:lineRule="exact"/>
              <w:ind w:firstLine="562"/>
              <w:jc w:val="center"/>
              <w:rPr>
                <w:rFonts w:hint="eastAsia" w:ascii="仿宋" w:hAnsi="仿宋" w:eastAsia="仿宋" w:cs="仿宋"/>
                <w:color w:val="auto"/>
                <w:kern w:val="0"/>
                <w:sz w:val="28"/>
                <w:szCs w:val="28"/>
                <w:highlight w:val="none"/>
              </w:rPr>
            </w:pPr>
          </w:p>
        </w:tc>
        <w:tc>
          <w:tcPr>
            <w:tcW w:w="1459" w:type="dxa"/>
            <w:noWrap w:val="0"/>
            <w:vAlign w:val="center"/>
          </w:tcPr>
          <w:p>
            <w:pPr>
              <w:widowControl/>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数据质量</w:t>
            </w:r>
          </w:p>
        </w:tc>
        <w:tc>
          <w:tcPr>
            <w:tcW w:w="4253" w:type="dxa"/>
            <w:noWrap w:val="0"/>
            <w:vAlign w:val="center"/>
          </w:tcPr>
          <w:p>
            <w:pPr>
              <w:widowControl/>
              <w:adjustRightInd w:val="0"/>
              <w:snapToGrid w:val="0"/>
              <w:spacing w:line="320" w:lineRule="exact"/>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被抽查数据的准确性、规范性以及数据退修率等符合采购人的要求。</w:t>
            </w:r>
          </w:p>
        </w:tc>
        <w:tc>
          <w:tcPr>
            <w:tcW w:w="1185"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21"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5</w:t>
            </w:r>
          </w:p>
        </w:tc>
        <w:tc>
          <w:tcPr>
            <w:tcW w:w="806" w:type="dxa"/>
            <w:vMerge w:val="continue"/>
            <w:noWrap w:val="0"/>
            <w:vAlign w:val="center"/>
          </w:tcPr>
          <w:p>
            <w:pPr>
              <w:widowControl/>
              <w:spacing w:line="320" w:lineRule="exact"/>
              <w:ind w:firstLine="562"/>
              <w:jc w:val="center"/>
              <w:rPr>
                <w:rFonts w:hint="eastAsia" w:ascii="仿宋" w:hAnsi="仿宋" w:eastAsia="仿宋" w:cs="仿宋"/>
                <w:color w:val="auto"/>
                <w:kern w:val="0"/>
                <w:sz w:val="28"/>
                <w:szCs w:val="28"/>
                <w:highlight w:val="none"/>
              </w:rPr>
            </w:pPr>
          </w:p>
        </w:tc>
        <w:tc>
          <w:tcPr>
            <w:tcW w:w="1459" w:type="dxa"/>
            <w:noWrap w:val="0"/>
            <w:vAlign w:val="center"/>
          </w:tcPr>
          <w:p>
            <w:pPr>
              <w:widowControl/>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复检异议</w:t>
            </w:r>
          </w:p>
        </w:tc>
        <w:tc>
          <w:tcPr>
            <w:tcW w:w="4253" w:type="dxa"/>
            <w:noWrap w:val="0"/>
            <w:vAlign w:val="center"/>
          </w:tcPr>
          <w:p>
            <w:pPr>
              <w:widowControl/>
              <w:adjustRightInd w:val="0"/>
              <w:snapToGrid w:val="0"/>
              <w:spacing w:line="320" w:lineRule="exact"/>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复检被推翻原结论、异议被认可的情况。</w:t>
            </w:r>
          </w:p>
        </w:tc>
        <w:tc>
          <w:tcPr>
            <w:tcW w:w="1185"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21"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6</w:t>
            </w:r>
          </w:p>
        </w:tc>
        <w:tc>
          <w:tcPr>
            <w:tcW w:w="2265" w:type="dxa"/>
            <w:gridSpan w:val="2"/>
            <w:noWrap w:val="0"/>
            <w:vAlign w:val="center"/>
          </w:tcPr>
          <w:p>
            <w:pPr>
              <w:widowControl/>
              <w:spacing w:line="320" w:lineRule="exact"/>
              <w:jc w:val="center"/>
              <w:rPr>
                <w:rFonts w:hint="eastAsia" w:ascii="仿宋" w:hAnsi="仿宋" w:eastAsia="仿宋" w:cs="仿宋"/>
                <w:color w:val="auto"/>
                <w:kern w:val="0"/>
                <w:sz w:val="28"/>
                <w:szCs w:val="28"/>
                <w:highlight w:val="none"/>
              </w:rPr>
            </w:pPr>
            <w:r>
              <w:rPr>
                <w:rStyle w:val="32"/>
                <w:rFonts w:hint="eastAsia" w:ascii="仿宋" w:hAnsi="仿宋" w:eastAsia="仿宋" w:cs="仿宋"/>
                <w:color w:val="auto"/>
                <w:sz w:val="28"/>
                <w:szCs w:val="28"/>
                <w:highlight w:val="none"/>
              </w:rPr>
              <w:t>分析报告质量</w:t>
            </w:r>
          </w:p>
        </w:tc>
        <w:tc>
          <w:tcPr>
            <w:tcW w:w="4253" w:type="dxa"/>
            <w:noWrap w:val="0"/>
            <w:vAlign w:val="center"/>
          </w:tcPr>
          <w:p>
            <w:pPr>
              <w:widowControl/>
              <w:adjustRightInd w:val="0"/>
              <w:snapToGrid w:val="0"/>
              <w:spacing w:line="320" w:lineRule="exact"/>
              <w:jc w:val="both"/>
              <w:rPr>
                <w:rFonts w:hint="eastAsia" w:ascii="仿宋" w:hAnsi="仿宋" w:eastAsia="仿宋" w:cs="仿宋"/>
                <w:color w:val="auto"/>
                <w:kern w:val="0"/>
                <w:sz w:val="28"/>
                <w:szCs w:val="28"/>
                <w:highlight w:val="none"/>
              </w:rPr>
            </w:pPr>
            <w:r>
              <w:rPr>
                <w:rStyle w:val="32"/>
                <w:rFonts w:hint="eastAsia" w:ascii="仿宋" w:hAnsi="仿宋" w:eastAsia="仿宋" w:cs="仿宋"/>
                <w:color w:val="auto"/>
                <w:sz w:val="28"/>
                <w:szCs w:val="28"/>
                <w:highlight w:val="none"/>
              </w:rPr>
              <w:t>分析报告全面、详实、有针对性，风险提示清晰明确、建议切实可行，</w:t>
            </w:r>
            <w:r>
              <w:rPr>
                <w:rFonts w:hint="eastAsia" w:ascii="仿宋" w:hAnsi="仿宋" w:eastAsia="仿宋" w:cs="仿宋"/>
                <w:color w:val="auto"/>
                <w:kern w:val="0"/>
                <w:sz w:val="28"/>
                <w:szCs w:val="28"/>
                <w:highlight w:val="none"/>
              </w:rPr>
              <w:t>符合采购人的要求。</w:t>
            </w:r>
          </w:p>
        </w:tc>
        <w:tc>
          <w:tcPr>
            <w:tcW w:w="1185"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1"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7</w:t>
            </w:r>
          </w:p>
        </w:tc>
        <w:tc>
          <w:tcPr>
            <w:tcW w:w="2265" w:type="dxa"/>
            <w:gridSpan w:val="2"/>
            <w:noWrap w:val="0"/>
            <w:vAlign w:val="center"/>
          </w:tcPr>
          <w:p>
            <w:pPr>
              <w:widowControl/>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服务保障支撑监管的情况</w:t>
            </w:r>
          </w:p>
        </w:tc>
        <w:tc>
          <w:tcPr>
            <w:tcW w:w="4253" w:type="dxa"/>
            <w:noWrap w:val="0"/>
            <w:vAlign w:val="center"/>
          </w:tcPr>
          <w:p>
            <w:pPr>
              <w:widowControl/>
              <w:adjustRightInd w:val="0"/>
              <w:snapToGrid w:val="0"/>
              <w:spacing w:line="320" w:lineRule="exact"/>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bidi="ar"/>
              </w:rPr>
              <w:t>应急响应、服务保障等监管特殊要求</w:t>
            </w:r>
            <w:r>
              <w:rPr>
                <w:rFonts w:hint="eastAsia" w:ascii="仿宋" w:hAnsi="仿宋" w:eastAsia="仿宋" w:cs="仿宋"/>
                <w:color w:val="auto"/>
                <w:kern w:val="0"/>
                <w:sz w:val="28"/>
                <w:szCs w:val="28"/>
                <w:highlight w:val="none"/>
              </w:rPr>
              <w:t>符合采购人的要求。</w:t>
            </w:r>
          </w:p>
        </w:tc>
        <w:tc>
          <w:tcPr>
            <w:tcW w:w="1185"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21"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8</w:t>
            </w:r>
          </w:p>
        </w:tc>
        <w:tc>
          <w:tcPr>
            <w:tcW w:w="2265" w:type="dxa"/>
            <w:gridSpan w:val="2"/>
            <w:noWrap w:val="0"/>
            <w:vAlign w:val="center"/>
          </w:tcPr>
          <w:p>
            <w:pPr>
              <w:widowControl/>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工作纪律情况</w:t>
            </w:r>
          </w:p>
        </w:tc>
        <w:tc>
          <w:tcPr>
            <w:tcW w:w="4253" w:type="dxa"/>
            <w:noWrap w:val="0"/>
            <w:vAlign w:val="center"/>
          </w:tcPr>
          <w:p>
            <w:pPr>
              <w:widowControl/>
              <w:adjustRightInd w:val="0"/>
              <w:snapToGrid w:val="0"/>
              <w:spacing w:line="320" w:lineRule="exact"/>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遵守法律法规、抽样和检验纪律等符合采购人的要求</w:t>
            </w:r>
          </w:p>
        </w:tc>
        <w:tc>
          <w:tcPr>
            <w:tcW w:w="1185"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821"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9</w:t>
            </w:r>
          </w:p>
        </w:tc>
        <w:tc>
          <w:tcPr>
            <w:tcW w:w="2265" w:type="dxa"/>
            <w:gridSpan w:val="2"/>
            <w:noWrap w:val="0"/>
            <w:vAlign w:val="center"/>
          </w:tcPr>
          <w:p>
            <w:pPr>
              <w:widowControl/>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合同规定的其他履约情况</w:t>
            </w:r>
          </w:p>
        </w:tc>
        <w:tc>
          <w:tcPr>
            <w:tcW w:w="4253" w:type="dxa"/>
            <w:noWrap w:val="0"/>
            <w:vAlign w:val="center"/>
          </w:tcPr>
          <w:p>
            <w:pPr>
              <w:widowControl/>
              <w:adjustRightInd w:val="0"/>
              <w:snapToGrid w:val="0"/>
              <w:spacing w:line="320" w:lineRule="exact"/>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符合合同书要求。</w:t>
            </w:r>
          </w:p>
        </w:tc>
        <w:tc>
          <w:tcPr>
            <w:tcW w:w="1185"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821"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10</w:t>
            </w:r>
          </w:p>
        </w:tc>
        <w:tc>
          <w:tcPr>
            <w:tcW w:w="2265" w:type="dxa"/>
            <w:gridSpan w:val="2"/>
            <w:noWrap w:val="0"/>
            <w:vAlign w:val="center"/>
          </w:tcPr>
          <w:p>
            <w:pPr>
              <w:widowControl/>
              <w:spacing w:line="320" w:lineRule="exact"/>
              <w:jc w:val="center"/>
              <w:rPr>
                <w:rFonts w:hint="eastAsia" w:ascii="仿宋" w:hAnsi="仿宋" w:eastAsia="仿宋" w:cs="仿宋"/>
                <w:color w:val="auto"/>
                <w:kern w:val="0"/>
                <w:sz w:val="28"/>
                <w:szCs w:val="28"/>
                <w:highlight w:val="none"/>
              </w:rPr>
            </w:pPr>
            <w:r>
              <w:rPr>
                <w:rFonts w:hint="eastAsia" w:ascii="仿宋" w:hAnsi="仿宋" w:eastAsia="仿宋" w:cs="仿宋"/>
                <w:color w:val="auto"/>
                <w:spacing w:val="-10"/>
                <w:kern w:val="0"/>
                <w:sz w:val="28"/>
                <w:szCs w:val="28"/>
                <w:highlight w:val="none"/>
              </w:rPr>
              <w:t>采购人认为需要的其他验收内容</w:t>
            </w:r>
          </w:p>
        </w:tc>
        <w:tc>
          <w:tcPr>
            <w:tcW w:w="4253" w:type="dxa"/>
            <w:noWrap w:val="0"/>
            <w:vAlign w:val="center"/>
          </w:tcPr>
          <w:p>
            <w:pPr>
              <w:widowControl/>
              <w:adjustRightInd w:val="0"/>
              <w:snapToGrid w:val="0"/>
              <w:spacing w:line="320" w:lineRule="exact"/>
              <w:jc w:val="both"/>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w:t>
            </w:r>
          </w:p>
        </w:tc>
        <w:tc>
          <w:tcPr>
            <w:tcW w:w="1185" w:type="dxa"/>
            <w:noWrap w:val="0"/>
            <w:vAlign w:val="center"/>
          </w:tcPr>
          <w:p>
            <w:pPr>
              <w:widowControl/>
              <w:adjustRightInd w:val="0"/>
              <w:snapToGrid w:val="0"/>
              <w:spacing w:line="320" w:lineRule="exact"/>
              <w:jc w:val="center"/>
              <w:rPr>
                <w:rFonts w:hint="eastAsia" w:ascii="仿宋" w:hAnsi="仿宋" w:eastAsia="仿宋" w:cs="仿宋"/>
                <w:color w:val="auto"/>
                <w:kern w:val="0"/>
                <w:sz w:val="28"/>
                <w:szCs w:val="28"/>
                <w:highlight w:val="none"/>
              </w:rPr>
            </w:pPr>
          </w:p>
        </w:tc>
      </w:tr>
    </w:tbl>
    <w:p>
      <w:pPr>
        <w:pStyle w:val="13"/>
        <w:keepNext w:val="0"/>
        <w:keepLines w:val="0"/>
        <w:pageBreakBefore w:val="0"/>
        <w:kinsoku/>
        <w:wordWrap/>
        <w:overflowPunct/>
        <w:topLinePunct w:val="0"/>
        <w:autoSpaceDE/>
        <w:autoSpaceDN/>
        <w:bidi w:val="0"/>
        <w:adjustRightInd/>
        <w:snapToGrid/>
        <w:spacing w:line="440" w:lineRule="exact"/>
        <w:ind w:left="0" w:firstLine="602" w:firstLineChars="200"/>
        <w:jc w:val="left"/>
        <w:textAlignment w:val="auto"/>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lang w:val="en-US" w:eastAsia="zh-CN"/>
        </w:rPr>
        <w:t>三</w:t>
      </w:r>
      <w:r>
        <w:rPr>
          <w:rFonts w:hint="eastAsia" w:ascii="仿宋" w:hAnsi="仿宋" w:eastAsia="仿宋" w:cs="仿宋"/>
          <w:b/>
          <w:bCs/>
          <w:color w:val="auto"/>
          <w:sz w:val="30"/>
          <w:szCs w:val="30"/>
          <w:highlight w:val="none"/>
        </w:rPr>
        <w:t>、其他要求</w:t>
      </w:r>
    </w:p>
    <w:p>
      <w:pPr>
        <w:keepNext w:val="0"/>
        <w:keepLines w:val="0"/>
        <w:pageBreakBefore w:val="0"/>
        <w:kinsoku/>
        <w:wordWrap/>
        <w:overflowPunct/>
        <w:topLinePunct w:val="0"/>
        <w:autoSpaceDE/>
        <w:autoSpaceDN/>
        <w:bidi w:val="0"/>
        <w:adjustRightInd/>
        <w:snapToGrid/>
        <w:spacing w:line="440" w:lineRule="exact"/>
        <w:ind w:left="0" w:firstLine="560" w:firstLineChars="200"/>
        <w:jc w:val="left"/>
        <w:textAlignment w:val="auto"/>
        <w:rPr>
          <w:rFonts w:hint="eastAsia" w:ascii="仿宋" w:hAnsi="仿宋" w:eastAsia="仿宋" w:cs="仿宋"/>
          <w:b w:val="0"/>
          <w:bCs w:val="0"/>
          <w:color w:val="auto"/>
          <w:sz w:val="28"/>
          <w:szCs w:val="28"/>
          <w:highlight w:val="none"/>
          <w:lang w:val="en-US" w:eastAsia="zh-CN" w:bidi="ar-SA"/>
        </w:rPr>
      </w:pPr>
      <w:r>
        <w:rPr>
          <w:rFonts w:hint="eastAsia" w:ascii="仿宋" w:hAnsi="仿宋" w:eastAsia="仿宋" w:cs="仿宋"/>
          <w:b w:val="0"/>
          <w:bCs w:val="0"/>
          <w:color w:val="auto"/>
          <w:sz w:val="28"/>
          <w:szCs w:val="28"/>
          <w:highlight w:val="none"/>
          <w:lang w:val="en-US" w:eastAsia="zh-CN" w:bidi="ar-SA"/>
        </w:rPr>
        <w:t>见招标文件第五章《拟签订的合同文本》。</w:t>
      </w:r>
    </w:p>
    <w:p>
      <w:pPr>
        <w:keepNext w:val="0"/>
        <w:keepLines w:val="0"/>
        <w:pageBreakBefore w:val="0"/>
        <w:widowControl w:val="0"/>
        <w:kinsoku/>
        <w:wordWrap/>
        <w:overflowPunct/>
        <w:topLinePunct w:val="0"/>
        <w:autoSpaceDE/>
        <w:autoSpaceDN/>
        <w:bidi w:val="0"/>
        <w:adjustRightInd/>
        <w:snapToGrid/>
        <w:spacing w:line="200" w:lineRule="atLeast"/>
        <w:textAlignment w:val="auto"/>
        <w:rPr>
          <w:color w:val="000000" w:themeColor="text1"/>
          <w14:textFill>
            <w14:solidFill>
              <w14:schemeClr w14:val="tx1"/>
            </w14:solidFill>
          </w14:textFill>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4A78E"/>
    <w:multiLevelType w:val="singleLevel"/>
    <w:tmpl w:val="A2F4A78E"/>
    <w:lvl w:ilvl="0" w:tentative="0">
      <w:start w:val="1"/>
      <w:numFmt w:val="decimal"/>
      <w:suff w:val="nothing"/>
      <w:lvlText w:val="（%1）"/>
      <w:lvlJc w:val="left"/>
    </w:lvl>
  </w:abstractNum>
  <w:abstractNum w:abstractNumId="1">
    <w:nsid w:val="AB1454C0"/>
    <w:multiLevelType w:val="singleLevel"/>
    <w:tmpl w:val="AB1454C0"/>
    <w:lvl w:ilvl="0" w:tentative="0">
      <w:start w:val="1"/>
      <w:numFmt w:val="decimal"/>
      <w:suff w:val="nothing"/>
      <w:lvlText w:val="（%1）"/>
      <w:lvlJc w:val="left"/>
    </w:lvl>
  </w:abstractNum>
  <w:abstractNum w:abstractNumId="2">
    <w:nsid w:val="17ABAED6"/>
    <w:multiLevelType w:val="singleLevel"/>
    <w:tmpl w:val="17ABAED6"/>
    <w:lvl w:ilvl="0" w:tentative="0">
      <w:start w:val="1"/>
      <w:numFmt w:val="decimal"/>
      <w:suff w:val="nothing"/>
      <w:lvlText w:val="（%1）"/>
      <w:lvlJc w:val="left"/>
    </w:lvl>
  </w:abstractNum>
  <w:abstractNum w:abstractNumId="3">
    <w:nsid w:val="28A6EDA0"/>
    <w:multiLevelType w:val="singleLevel"/>
    <w:tmpl w:val="28A6EDA0"/>
    <w:lvl w:ilvl="0" w:tentative="0">
      <w:start w:val="1"/>
      <w:numFmt w:val="decimal"/>
      <w:suff w:val="nothing"/>
      <w:lvlText w:val="（%1）"/>
      <w:lvlJc w:val="left"/>
    </w:lvl>
  </w:abstractNum>
  <w:abstractNum w:abstractNumId="4">
    <w:nsid w:val="31754219"/>
    <w:multiLevelType w:val="singleLevel"/>
    <w:tmpl w:val="31754219"/>
    <w:lvl w:ilvl="0" w:tentative="0">
      <w:start w:val="1"/>
      <w:numFmt w:val="decimal"/>
      <w:suff w:val="nothing"/>
      <w:lvlText w:val="（%1）"/>
      <w:lvlJc w:val="left"/>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2D4B1E"/>
    <w:rsid w:val="409E33DB"/>
    <w:rsid w:val="481E60AD"/>
    <w:rsid w:val="4B7B0F89"/>
    <w:rsid w:val="50DE5B7C"/>
    <w:rsid w:val="59FB5EC9"/>
    <w:rsid w:val="60636E92"/>
    <w:rsid w:val="700A50B3"/>
    <w:rsid w:val="73891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17">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一级条标题"/>
    <w:basedOn w:val="4"/>
    <w:next w:val="5"/>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
    <w:name w:val="章标题"/>
    <w:next w:val="1"/>
    <w:qFormat/>
    <w:uiPriority w:val="0"/>
    <w:pPr>
      <w:tabs>
        <w:tab w:val="left" w:pos="810"/>
        <w:tab w:val="left" w:pos="1265"/>
      </w:tabs>
      <w:spacing w:before="50" w:after="50"/>
      <w:ind w:left="810" w:hanging="810"/>
      <w:jc w:val="both"/>
      <w:outlineLvl w:val="1"/>
    </w:pPr>
    <w:rPr>
      <w:rFonts w:hint="default" w:ascii="黑体" w:hAnsi="Times New Roman" w:eastAsia="黑体" w:cs="Times New Roman"/>
      <w:sz w:val="21"/>
      <w:szCs w:val="22"/>
      <w:lang w:val="en-US" w:eastAsia="zh-CN" w:bidi="ar-SA"/>
    </w:rPr>
  </w:style>
  <w:style w:type="paragraph" w:customStyle="1" w:styleId="5">
    <w:name w:val="段"/>
    <w:basedOn w:val="6"/>
    <w:next w:val="13"/>
    <w:qFormat/>
    <w:uiPriority w:val="0"/>
    <w:pPr>
      <w:widowControl/>
      <w:ind w:firstLine="200"/>
    </w:pPr>
    <w:rPr>
      <w:rFonts w:hint="eastAsia" w:ascii="宋体"/>
      <w:szCs w:val="20"/>
    </w:rPr>
  </w:style>
  <w:style w:type="paragraph" w:customStyle="1" w:styleId="6">
    <w:name w:val="正文11"/>
    <w:next w:val="7"/>
    <w:qFormat/>
    <w:uiPriority w:val="0"/>
    <w:pPr>
      <w:jc w:val="both"/>
    </w:pPr>
    <w:rPr>
      <w:rFonts w:hint="default" w:ascii="Times New Roman" w:hAnsi="Times New Roman" w:eastAsia="宋体" w:cs="Times New Roman"/>
      <w:lang w:val="en-US" w:eastAsia="zh-CN" w:bidi="ar-SA"/>
    </w:rPr>
  </w:style>
  <w:style w:type="paragraph" w:customStyle="1" w:styleId="7">
    <w:name w:val="正文首行缩进11"/>
    <w:basedOn w:val="8"/>
    <w:next w:val="9"/>
    <w:qFormat/>
    <w:uiPriority w:val="0"/>
    <w:pPr>
      <w:ind w:firstLine="420"/>
    </w:pPr>
    <w:rPr>
      <w:rFonts w:ascii="仿宋_GB2312" w:hAnsi="Times New Roman" w:eastAsia="仿宋_GB2312"/>
      <w:sz w:val="30"/>
      <w:szCs w:val="30"/>
    </w:rPr>
  </w:style>
  <w:style w:type="paragraph" w:customStyle="1" w:styleId="8">
    <w:name w:val="正文文本11"/>
    <w:basedOn w:val="1"/>
    <w:next w:val="6"/>
    <w:qFormat/>
    <w:uiPriority w:val="0"/>
    <w:pPr>
      <w:spacing w:after="120"/>
    </w:pPr>
  </w:style>
  <w:style w:type="paragraph" w:customStyle="1" w:styleId="9">
    <w:name w:val="正文首行缩进 211"/>
    <w:basedOn w:val="10"/>
    <w:qFormat/>
    <w:uiPriority w:val="0"/>
    <w:pPr>
      <w:ind w:firstLine="420"/>
    </w:pPr>
  </w:style>
  <w:style w:type="paragraph" w:customStyle="1" w:styleId="10">
    <w:name w:val="正文文本缩进11"/>
    <w:basedOn w:val="11"/>
    <w:next w:val="12"/>
    <w:qFormat/>
    <w:uiPriority w:val="0"/>
    <w:pPr>
      <w:spacing w:line="360" w:lineRule="auto"/>
      <w:ind w:firstLine="425"/>
    </w:pPr>
  </w:style>
  <w:style w:type="paragraph" w:customStyle="1" w:styleId="11">
    <w:name w:val="正文111"/>
    <w:next w:val="10"/>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2">
    <w:name w:val="寄信人地址11"/>
    <w:basedOn w:val="6"/>
    <w:qFormat/>
    <w:uiPriority w:val="0"/>
    <w:rPr>
      <w:rFonts w:ascii="Arial" w:hAnsi="Arial"/>
    </w:rPr>
  </w:style>
  <w:style w:type="paragraph" w:customStyle="1" w:styleId="13">
    <w:name w:val="正文1"/>
    <w:basedOn w:val="11"/>
    <w:next w:val="14"/>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4">
    <w:name w:val="目录 11"/>
    <w:basedOn w:val="15"/>
    <w:next w:val="13"/>
    <w:qFormat/>
    <w:uiPriority w:val="39"/>
  </w:style>
  <w:style w:type="paragraph" w:customStyle="1" w:styleId="15">
    <w:name w:val="正文12"/>
    <w:next w:val="16"/>
    <w:qFormat/>
    <w:uiPriority w:val="0"/>
    <w:pPr>
      <w:widowControl w:val="0"/>
      <w:spacing w:line="360" w:lineRule="auto"/>
      <w:ind w:firstLine="723"/>
      <w:jc w:val="both"/>
    </w:pPr>
    <w:rPr>
      <w:rFonts w:hint="default" w:ascii="Times New Roman" w:hAnsi="Times New Roman" w:eastAsia="宋体" w:cs="Times New Roman"/>
      <w:sz w:val="24"/>
      <w:szCs w:val="24"/>
      <w:lang w:val="en-US" w:eastAsia="zh-CN" w:bidi="ar-SA"/>
    </w:rPr>
  </w:style>
  <w:style w:type="paragraph" w:customStyle="1" w:styleId="16">
    <w:name w:val="文本块11"/>
    <w:basedOn w:val="15"/>
    <w:qFormat/>
    <w:uiPriority w:val="0"/>
    <w:pPr>
      <w:ind w:left="256" w:right="6" w:firstLine="624"/>
    </w:pPr>
    <w:rPr>
      <w:rFonts w:ascii="Arial" w:hAnsi="Arial" w:eastAsia="仿宋"/>
      <w:sz w:val="28"/>
    </w:rPr>
  </w:style>
  <w:style w:type="paragraph" w:styleId="18">
    <w:name w:val="Body Text Indent"/>
    <w:basedOn w:val="1"/>
    <w:unhideWhenUsed/>
    <w:qFormat/>
    <w:uiPriority w:val="99"/>
    <w:pPr>
      <w:spacing w:after="120"/>
      <w:ind w:left="420"/>
    </w:pPr>
  </w:style>
  <w:style w:type="paragraph" w:styleId="19">
    <w:name w:val="Body Text First Indent 2"/>
    <w:basedOn w:val="18"/>
    <w:qFormat/>
    <w:uiPriority w:val="0"/>
    <w:pPr>
      <w:ind w:firstLine="420"/>
    </w:pPr>
    <w:rPr>
      <w:rFonts w:ascii="Times New Roman" w:hAnsi="Times New Roman"/>
    </w:rPr>
  </w:style>
  <w:style w:type="table" w:styleId="21">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23">
    <w:name w:val="标题 111"/>
    <w:basedOn w:val="1"/>
    <w:next w:val="1"/>
    <w:qFormat/>
    <w:uiPriority w:val="9"/>
    <w:pPr>
      <w:keepNext/>
      <w:keepLines/>
      <w:spacing w:line="578" w:lineRule="auto"/>
      <w:jc w:val="center"/>
      <w:outlineLvl w:val="0"/>
    </w:pPr>
    <w:rPr>
      <w:rFonts w:eastAsia="新宋体"/>
      <w:b/>
      <w:bCs/>
      <w:sz w:val="30"/>
      <w:szCs w:val="44"/>
    </w:rPr>
  </w:style>
  <w:style w:type="paragraph" w:customStyle="1" w:styleId="24">
    <w:name w:val="正文文本1"/>
    <w:basedOn w:val="1"/>
    <w:qFormat/>
    <w:uiPriority w:val="0"/>
    <w:pPr>
      <w:spacing w:after="120"/>
    </w:pPr>
    <w:rPr>
      <w:rFonts w:ascii="Calibri" w:hAnsi="Calibri"/>
    </w:rPr>
  </w:style>
  <w:style w:type="paragraph" w:customStyle="1" w:styleId="25">
    <w:name w:val="标题 11"/>
    <w:basedOn w:val="13"/>
    <w:next w:val="13"/>
    <w:qFormat/>
    <w:uiPriority w:val="0"/>
    <w:pPr>
      <w:keepNext/>
      <w:keepLines/>
      <w:spacing w:line="578" w:lineRule="auto"/>
      <w:jc w:val="center"/>
      <w:outlineLvl w:val="0"/>
    </w:pPr>
    <w:rPr>
      <w:rFonts w:eastAsia="新宋体"/>
      <w:b/>
      <w:bCs/>
      <w:sz w:val="30"/>
      <w:szCs w:val="44"/>
    </w:rPr>
  </w:style>
  <w:style w:type="paragraph" w:customStyle="1" w:styleId="26">
    <w:name w:val="正文首行缩进 21"/>
    <w:basedOn w:val="27"/>
    <w:next w:val="15"/>
    <w:qFormat/>
    <w:uiPriority w:val="0"/>
    <w:pPr>
      <w:ind w:firstLine="420"/>
    </w:pPr>
    <w:rPr>
      <w:rFonts w:ascii="Times New Roman" w:hAnsi="Times New Roman"/>
    </w:rPr>
  </w:style>
  <w:style w:type="paragraph" w:customStyle="1" w:styleId="27">
    <w:name w:val="正文文本缩进1"/>
    <w:basedOn w:val="6"/>
    <w:next w:val="28"/>
    <w:qFormat/>
    <w:uiPriority w:val="0"/>
    <w:pPr>
      <w:spacing w:after="120"/>
      <w:ind w:left="420"/>
    </w:pPr>
    <w:rPr>
      <w:rFonts w:ascii="Calibri" w:hAnsi="Calibri"/>
    </w:rPr>
  </w:style>
  <w:style w:type="paragraph" w:customStyle="1" w:styleId="28">
    <w:name w:val="寄信人地址1"/>
    <w:basedOn w:val="6"/>
    <w:qFormat/>
    <w:uiPriority w:val="0"/>
    <w:rPr>
      <w:rFonts w:ascii="Arial" w:hAnsi="Arial"/>
    </w:rPr>
  </w:style>
  <w:style w:type="table" w:customStyle="1" w:styleId="29">
    <w:name w:val="网格型1"/>
    <w:basedOn w:val="30"/>
    <w:qFormat/>
    <w:uiPriority w:val="0"/>
    <w:pPr>
      <w:widowControl w:val="0"/>
      <w:jc w:val="both"/>
    </w:pPr>
    <w:tblPr/>
  </w:style>
  <w:style w:type="table" w:customStyle="1" w:styleId="30">
    <w:name w:val="普通表格1"/>
    <w:semiHidden/>
    <w:qFormat/>
    <w:uiPriority w:val="0"/>
    <w:tblPr>
      <w:tblCellMar>
        <w:top w:w="0" w:type="dxa"/>
        <w:left w:w="0" w:type="dxa"/>
        <w:bottom w:w="0" w:type="dxa"/>
        <w:right w:w="0" w:type="dxa"/>
      </w:tblCellMar>
    </w:tblPr>
  </w:style>
  <w:style w:type="paragraph" w:styleId="31">
    <w:name w:val="List Paragraph"/>
    <w:basedOn w:val="6"/>
    <w:qFormat/>
    <w:uiPriority w:val="34"/>
    <w:pPr>
      <w:ind w:left="720"/>
      <w:contextualSpacing/>
    </w:pPr>
    <w:rPr>
      <w:rFonts w:hint="default" w:ascii="Times New Roman" w:hAnsi="Times New Roman" w:eastAsia="宋体" w:cs="Times New Roman"/>
      <w:lang w:val="en-US" w:eastAsia="zh-CN" w:bidi="ar-SA"/>
    </w:rPr>
  </w:style>
  <w:style w:type="character" w:customStyle="1" w:styleId="32">
    <w:name w:val="font11"/>
    <w:basedOn w:val="22"/>
    <w:qFormat/>
    <w:uiPriority w:val="0"/>
    <w:rPr>
      <w:rFonts w:hint="eastAsia" w:ascii="方正仿宋_GBK" w:hAnsi="方正仿宋_GBK" w:eastAsia="方正仿宋_GBK" w:cs="方正仿宋_GBK"/>
      <w:color w:val="000000"/>
      <w:sz w:val="32"/>
      <w:szCs w:val="32"/>
      <w:u w:val="none"/>
    </w:rPr>
  </w:style>
  <w:style w:type="paragraph" w:customStyle="1" w:styleId="33">
    <w:name w:val="页眉1"/>
    <w:basedOn w:val="13"/>
    <w:qFormat/>
    <w:uiPriority w:val="0"/>
    <w:pPr>
      <w:pBdr>
        <w:bottom w:val="single" w:color="000000" w:sz="6" w:space="1"/>
      </w:pBdr>
      <w:tabs>
        <w:tab w:val="center" w:pos="4153"/>
        <w:tab w:val="right" w:pos="8306"/>
      </w:tabs>
      <w:jc w:val="center"/>
    </w:pPr>
    <w:rPr>
      <w:sz w:val="18"/>
      <w:szCs w:val="18"/>
    </w:rPr>
  </w:style>
  <w:style w:type="paragraph" w:customStyle="1" w:styleId="34">
    <w:name w:val="页脚1"/>
    <w:basedOn w:val="13"/>
    <w:qFormat/>
    <w:uiPriority w:val="0"/>
    <w:pPr>
      <w:tabs>
        <w:tab w:val="center" w:pos="4153"/>
        <w:tab w:val="right" w:pos="8306"/>
      </w:tabs>
      <w:jc w:val="left"/>
    </w:pPr>
    <w:rPr>
      <w:sz w:val="18"/>
      <w:szCs w:val="18"/>
    </w:rPr>
  </w:style>
  <w:style w:type="character" w:customStyle="1" w:styleId="35">
    <w:name w:val="页码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2025-01-09T01:45:00Z</dcterms:created>
  <dc:creator>Administrator</dc:creator>
  <cp:lastModifiedBy>       J.</cp:lastModifiedBy>
  <dcterms:modified xsi:type="dcterms:W3CDTF">2025-04-18T07:45:58Z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598A79BA465A4E06BF0C32D99D92C58E</vt:lpwstr>
  </property>
</Properties>
</file>