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F7087">
      <w:pPr>
        <w:pageBreakBefore/>
        <w:jc w:val="center"/>
        <w:outlineLvl w:val="0"/>
        <w:rPr>
          <w:rFonts w:hint="eastAsia" w:ascii="仿宋" w:hAnsi="仿宋" w:eastAsia="仿宋" w:cs="仿宋"/>
          <w:bCs/>
          <w:sz w:val="30"/>
          <w:szCs w:val="30"/>
        </w:rPr>
      </w:pPr>
      <w:r>
        <w:rPr>
          <w:rFonts w:hint="eastAsia" w:ascii="仿宋" w:hAnsi="仿宋" w:eastAsia="仿宋" w:cs="仿宋"/>
          <w:b/>
          <w:sz w:val="30"/>
          <w:szCs w:val="30"/>
        </w:rPr>
        <w:t>采购需求</w:t>
      </w:r>
    </w:p>
    <w:p w14:paraId="6F56458A">
      <w:pPr>
        <w:pStyle w:val="4"/>
        <w:numPr>
          <w:ilvl w:val="1"/>
          <w:numId w:val="0"/>
        </w:numPr>
        <w:spacing w:before="0" w:after="0"/>
        <w:ind w:left="578" w:hanging="578"/>
        <w:rPr>
          <w:rFonts w:hint="eastAsia" w:ascii="仿宋" w:hAnsi="仿宋" w:eastAsia="仿宋" w:cs="仿宋"/>
          <w:sz w:val="30"/>
          <w:szCs w:val="30"/>
        </w:rPr>
      </w:pPr>
      <w:r>
        <w:rPr>
          <w:rFonts w:hint="eastAsia" w:ascii="仿宋" w:hAnsi="仿宋" w:eastAsia="仿宋" w:cs="仿宋"/>
          <w:sz w:val="30"/>
          <w:szCs w:val="30"/>
        </w:rPr>
        <w:t>一、说明</w:t>
      </w:r>
    </w:p>
    <w:p w14:paraId="7BF7B970">
      <w:pPr>
        <w:pStyle w:val="28"/>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本项目不接受超过85万元人民币（采购项目预算金额）的投标报价。其中标段一不超过75万元人民币（采购项目预算金额）的投标报价，标段二不超过10万元人民币（采购项目预算金额）的投标报价。</w:t>
      </w:r>
    </w:p>
    <w:p w14:paraId="61469566">
      <w:pPr>
        <w:pStyle w:val="4"/>
        <w:numPr>
          <w:ilvl w:val="1"/>
          <w:numId w:val="0"/>
        </w:numPr>
        <w:spacing w:before="0" w:after="0"/>
        <w:ind w:left="578" w:hanging="578"/>
        <w:rPr>
          <w:rFonts w:hint="eastAsia" w:ascii="仿宋" w:hAnsi="仿宋" w:eastAsia="仿宋" w:cs="仿宋"/>
          <w:sz w:val="30"/>
          <w:szCs w:val="30"/>
        </w:rPr>
      </w:pPr>
      <w:r>
        <w:rPr>
          <w:rFonts w:hint="eastAsia" w:ascii="仿宋" w:hAnsi="仿宋" w:eastAsia="仿宋" w:cs="仿宋"/>
          <w:sz w:val="30"/>
          <w:szCs w:val="30"/>
        </w:rPr>
        <w:t>二、项目概况</w:t>
      </w:r>
    </w:p>
    <w:p w14:paraId="5455844B">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（一）项目名称：徐州市铜山区2025年城市国土空间监测项目。</w:t>
      </w:r>
    </w:p>
    <w:p w14:paraId="5BEB0D0B">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二）项目范围：监测范围根据工作内容分为全域范围和城区范围两类。全域以徐州市铜山区行政区域为监测范围，面积1764平方千米，城区为按照《城区范围确定规程》划定的城区范围和2024年度国土变更调查确定的城市范围的并集，面积约为71.41平方千米，具体面积以省厅核定面积为准。</w:t>
      </w:r>
    </w:p>
    <w:p w14:paraId="19090B52">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三）项目目标：根据《自然资源部办公厅关于开展2024年城市国土空间监测工作的通知》（自然资办发〔2024〕20号）、江苏省自然资源厅《关于开展2024年城市国土空间监测工作的通知》（苏自然资函〔2024〕493号）要求，开展徐州市铜山区2025年度城市国土空间监测工作，掌握自然资源和人文地理要素的类型、面积、范围、分布和变化等情况，支撑国土空间规划编制及实施监督、城市体检评估和用途管制等国土空间治理工作。</w:t>
      </w:r>
    </w:p>
    <w:p w14:paraId="71F8B99F">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四）项目任务：依据2024年度城市国土空间监测数据、2025年正射影像、2024年度国土变更调查数据等，收集涉及民政、教育、统计、应急等各类行业专题数据，通过内业解译、外业核查、空间数据综合分析等手段，采用变化范围标注、用地细化采集、要素提取的方法完成空间信息细化与补充，对2024年城市国土空间监测数据进行现势性更新，根据国家及省级最新要求，采集2024年增加的监测要素，汇总形成铜山区2025年度城市国土空间监测数据库，对监测成果开展统计分析与应用评价，服务各类国土空间治理工作。</w:t>
      </w:r>
    </w:p>
    <w:p w14:paraId="6D3E24C6">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（五）服务期限：截止到2025年12月31日。</w:t>
      </w:r>
    </w:p>
    <w:p w14:paraId="6B938B59">
      <w:pPr>
        <w:pStyle w:val="4"/>
        <w:numPr>
          <w:ilvl w:val="1"/>
          <w:numId w:val="0"/>
        </w:numPr>
        <w:spacing w:before="0" w:after="0"/>
        <w:ind w:left="578" w:hanging="578"/>
        <w:rPr>
          <w:rFonts w:hint="eastAsia" w:ascii="仿宋" w:hAnsi="仿宋" w:eastAsia="仿宋" w:cs="仿宋"/>
          <w:sz w:val="30"/>
          <w:szCs w:val="30"/>
        </w:rPr>
      </w:pPr>
      <w:r>
        <w:rPr>
          <w:rFonts w:hint="eastAsia" w:ascii="仿宋" w:hAnsi="仿宋" w:eastAsia="仿宋" w:cs="仿宋"/>
          <w:sz w:val="30"/>
          <w:szCs w:val="30"/>
        </w:rPr>
        <w:t>三、工作内容</w:t>
      </w:r>
    </w:p>
    <w:p w14:paraId="5E6FD080">
      <w:pPr>
        <w:pStyle w:val="4"/>
        <w:numPr>
          <w:ilvl w:val="1"/>
          <w:numId w:val="0"/>
        </w:numPr>
        <w:spacing w:before="0" w:after="0"/>
        <w:ind w:left="578" w:hanging="578"/>
        <w:rPr>
          <w:rFonts w:hint="eastAsia" w:ascii="仿宋" w:hAnsi="仿宋" w:eastAsia="仿宋" w:cs="仿宋"/>
          <w:b w:val="0"/>
          <w:bCs w:val="0"/>
          <w:sz w:val="30"/>
          <w:szCs w:val="30"/>
        </w:rPr>
      </w:pPr>
      <w:r>
        <w:rPr>
          <w:rFonts w:hint="eastAsia" w:ascii="仿宋" w:hAnsi="仿宋" w:eastAsia="仿宋" w:cs="仿宋"/>
          <w:sz w:val="30"/>
          <w:szCs w:val="30"/>
        </w:rPr>
        <w:t>标段一徐州市铜山区2025年城市国土空间监测数据生产</w:t>
      </w:r>
    </w:p>
    <w:p w14:paraId="1655CBB9">
      <w:pPr>
        <w:pStyle w:val="28"/>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（一）编制项目实施方案</w:t>
      </w:r>
    </w:p>
    <w:p w14:paraId="74752B61">
      <w:pPr>
        <w:pStyle w:val="28"/>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按照国家和行业技术规定、分析江苏省相关政策及技术规程要求，基于铜山区项目现状，编制</w:t>
      </w:r>
      <w:bookmarkStart w:id="0" w:name="OLE_LINK1"/>
      <w:r>
        <w:rPr>
          <w:rFonts w:hint="eastAsia" w:ascii="仿宋" w:hAnsi="仿宋" w:eastAsia="仿宋" w:cs="仿宋"/>
          <w:color w:val="auto"/>
          <w:sz w:val="30"/>
          <w:szCs w:val="30"/>
        </w:rPr>
        <w:t>徐州市铜山区2025年城市国土空间监测</w:t>
      </w:r>
      <w:bookmarkEnd w:id="0"/>
      <w:r>
        <w:rPr>
          <w:rFonts w:hint="eastAsia" w:ascii="仿宋" w:hAnsi="仿宋" w:eastAsia="仿宋" w:cs="仿宋"/>
          <w:color w:val="auto"/>
          <w:sz w:val="30"/>
          <w:szCs w:val="30"/>
        </w:rPr>
        <w:t>项目实施方案。</w:t>
      </w:r>
    </w:p>
    <w:p w14:paraId="4E0E2AC3">
      <w:pPr>
        <w:pStyle w:val="28"/>
        <w:spacing w:line="360" w:lineRule="auto"/>
        <w:ind w:firstLine="480"/>
        <w:rPr>
          <w:rFonts w:hint="eastAsia" w:ascii="仿宋" w:hAnsi="仿宋" w:eastAsia="仿宋" w:cs="仿宋"/>
          <w:color w:val="auto"/>
          <w:sz w:val="30"/>
          <w:szCs w:val="30"/>
        </w:rPr>
      </w:pPr>
      <w:r>
        <w:rPr>
          <w:rFonts w:hint="eastAsia" w:ascii="仿宋" w:hAnsi="仿宋" w:eastAsia="仿宋" w:cs="仿宋"/>
          <w:color w:val="auto"/>
          <w:sz w:val="30"/>
          <w:szCs w:val="30"/>
        </w:rPr>
        <w:t>（二）资料收集整理</w:t>
      </w:r>
    </w:p>
    <w:p w14:paraId="108B64DE">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收集铜山区优于1米分辨率的分幅影像、1:10000DLG数据、地理国情监测数据，涉及民政、统计、应急、教育、环保、住建、交通、水利、卫生健康、市场监管、体育等行业、现势性为2024年1月1日之后的专题资料、POI数据，地籍调查和不动产登记、城市大比例尺基础测绘、数字城市、智慧城市等工作成果，为确定各类监测对象空间位置、范围和属性做参考和指引。</w:t>
      </w:r>
    </w:p>
    <w:p w14:paraId="4EA94CF3">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对收集的专题资料，开展现势性、可靠性分析，在此基础上制定合理和一致的利用方案。收集的专题资料为文本或图片等格式，进行空间矢量化处理；对于不同坐标、不同格式的矢量数据，进行转换处理，形成坐标统一、格式一致的专题数据。</w:t>
      </w:r>
    </w:p>
    <w:p w14:paraId="4FF9D7E0">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（三）空间信息细化与补充</w:t>
      </w:r>
    </w:p>
    <w:p w14:paraId="3EDB7ECC">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1.全域范围监测内容</w:t>
      </w:r>
    </w:p>
    <w:p w14:paraId="059C2A76">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（1）变化范围标注。</w:t>
      </w:r>
      <w:bookmarkStart w:id="1" w:name="_Hlk157602905"/>
      <w:r>
        <w:rPr>
          <w:rFonts w:hint="eastAsia" w:ascii="仿宋" w:hAnsi="仿宋" w:eastAsia="仿宋" w:cs="仿宋"/>
          <w:sz w:val="30"/>
          <w:szCs w:val="30"/>
        </w:rPr>
        <w:t>以2024年度国土变更调查成果为底图，基于2025年遥感影像，标注2024年全域城市国土空间监测要素的变化情况。</w:t>
      </w:r>
    </w:p>
    <w:bookmarkEnd w:id="1"/>
    <w:p w14:paraId="531595E2">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2）空间信息细化。以2024年度国土变更调查成果为底图，基于2025年遥感影像，参考专题数据，结合实地调查，对现状为细化地类的应按要求细化至三级类。首先对2024年已监测的内容进行更新、补充、完善，确保数据的准确性、完整性、现势性符合要求；并根据国家及省级最新要求，对本年度增加的三级类进行细化采集。</w:t>
      </w:r>
    </w:p>
    <w:p w14:paraId="7E23CE99">
      <w:pPr>
        <w:pStyle w:val="28"/>
        <w:spacing w:line="360" w:lineRule="auto"/>
        <w:ind w:firstLine="0" w:firstLineChars="0"/>
        <w:jc w:val="center"/>
        <w:rPr>
          <w:rFonts w:hint="eastAsia" w:ascii="仿宋" w:hAnsi="仿宋" w:eastAsia="仿宋" w:cs="仿宋"/>
          <w:sz w:val="30"/>
          <w:szCs w:val="30"/>
        </w:rPr>
      </w:pPr>
      <w:r>
        <w:rPr>
          <w:rFonts w:hint="eastAsia" w:ascii="仿宋" w:hAnsi="仿宋" w:eastAsia="仿宋" w:cs="仿宋"/>
          <w:sz w:val="30"/>
          <w:szCs w:val="30"/>
        </w:rPr>
        <w:t>表1  全域范围空间信息细化内容</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6380"/>
      </w:tblGrid>
      <w:tr w14:paraId="21DC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57" w:type="pct"/>
            <w:shd w:val="clear" w:color="auto" w:fill="D8D8D8" w:themeFill="background1" w:themeFillShade="D9"/>
            <w:vAlign w:val="center"/>
          </w:tcPr>
          <w:p w14:paraId="3EB9B912">
            <w:pPr>
              <w:pStyle w:val="28"/>
              <w:spacing w:line="360" w:lineRule="auto"/>
              <w:ind w:firstLine="0" w:firstLineChars="0"/>
              <w:jc w:val="both"/>
              <w:rPr>
                <w:rFonts w:hint="eastAsia" w:ascii="仿宋" w:hAnsi="仿宋" w:eastAsia="仿宋" w:cs="仿宋"/>
                <w:b/>
                <w:bCs/>
                <w:sz w:val="30"/>
                <w:szCs w:val="30"/>
              </w:rPr>
            </w:pPr>
            <w:r>
              <w:rPr>
                <w:rFonts w:hint="eastAsia" w:ascii="仿宋" w:hAnsi="仿宋" w:eastAsia="仿宋" w:cs="仿宋"/>
                <w:b/>
                <w:bCs/>
                <w:sz w:val="30"/>
                <w:szCs w:val="30"/>
              </w:rPr>
              <w:t>现状地类</w:t>
            </w:r>
          </w:p>
        </w:tc>
        <w:tc>
          <w:tcPr>
            <w:tcW w:w="3743" w:type="pct"/>
            <w:shd w:val="clear" w:color="auto" w:fill="D8D8D8" w:themeFill="background1" w:themeFillShade="D9"/>
            <w:vAlign w:val="center"/>
          </w:tcPr>
          <w:p w14:paraId="75FDBA2F">
            <w:pPr>
              <w:pStyle w:val="28"/>
              <w:spacing w:line="360" w:lineRule="auto"/>
              <w:ind w:firstLine="0" w:firstLineChars="0"/>
              <w:jc w:val="both"/>
              <w:rPr>
                <w:rFonts w:hint="eastAsia" w:ascii="仿宋" w:hAnsi="仿宋" w:eastAsia="仿宋" w:cs="仿宋"/>
                <w:b/>
                <w:bCs/>
                <w:sz w:val="30"/>
                <w:szCs w:val="30"/>
              </w:rPr>
            </w:pPr>
            <w:r>
              <w:rPr>
                <w:rFonts w:hint="eastAsia" w:ascii="仿宋" w:hAnsi="仿宋" w:eastAsia="仿宋" w:cs="仿宋"/>
                <w:b/>
                <w:bCs/>
                <w:sz w:val="30"/>
                <w:szCs w:val="30"/>
              </w:rPr>
              <w:t>细化至三级类</w:t>
            </w:r>
          </w:p>
        </w:tc>
      </w:tr>
      <w:tr w14:paraId="6229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Align w:val="center"/>
          </w:tcPr>
          <w:p w14:paraId="23CD49AF">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科教文卫用地</w:t>
            </w:r>
          </w:p>
        </w:tc>
        <w:tc>
          <w:tcPr>
            <w:tcW w:w="3743" w:type="pct"/>
            <w:vAlign w:val="center"/>
          </w:tcPr>
          <w:p w14:paraId="159076C6">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高等院校、中等职业学校、特殊教育学校、方舱医院</w:t>
            </w:r>
          </w:p>
        </w:tc>
      </w:tr>
      <w:tr w14:paraId="7AD9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Align w:val="center"/>
          </w:tcPr>
          <w:p w14:paraId="6478C131">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公用设施用地</w:t>
            </w:r>
          </w:p>
        </w:tc>
        <w:tc>
          <w:tcPr>
            <w:tcW w:w="3743" w:type="pct"/>
            <w:vAlign w:val="center"/>
          </w:tcPr>
          <w:p w14:paraId="07985AA2">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自来水厂、污水处理厂、供热厂</w:t>
            </w:r>
          </w:p>
        </w:tc>
      </w:tr>
      <w:tr w14:paraId="4659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Align w:val="center"/>
          </w:tcPr>
          <w:p w14:paraId="0AD78E26">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特殊用地</w:t>
            </w:r>
          </w:p>
        </w:tc>
        <w:tc>
          <w:tcPr>
            <w:tcW w:w="3743" w:type="pct"/>
            <w:vAlign w:val="center"/>
          </w:tcPr>
          <w:p w14:paraId="0A750553">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殡葬设施</w:t>
            </w:r>
          </w:p>
        </w:tc>
      </w:tr>
      <w:tr w14:paraId="0020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Align w:val="center"/>
          </w:tcPr>
          <w:p w14:paraId="04C56DC2">
            <w:pPr>
              <w:pStyle w:val="28"/>
              <w:spacing w:line="360" w:lineRule="auto"/>
              <w:ind w:firstLine="0" w:firstLineChars="0"/>
              <w:jc w:val="both"/>
              <w:rPr>
                <w:rFonts w:hint="eastAsia" w:ascii="仿宋" w:hAnsi="仿宋" w:eastAsia="仿宋" w:cs="仿宋"/>
                <w:sz w:val="30"/>
                <w:szCs w:val="30"/>
              </w:rPr>
            </w:pPr>
            <w:bookmarkStart w:id="2" w:name="_Hlk135748128"/>
            <w:r>
              <w:rPr>
                <w:rFonts w:hint="eastAsia" w:ascii="仿宋" w:hAnsi="仿宋" w:eastAsia="仿宋" w:cs="仿宋"/>
                <w:sz w:val="30"/>
                <w:szCs w:val="30"/>
              </w:rPr>
              <w:t>轨道交通用地</w:t>
            </w:r>
          </w:p>
        </w:tc>
        <w:tc>
          <w:tcPr>
            <w:tcW w:w="3743" w:type="pct"/>
            <w:vAlign w:val="center"/>
          </w:tcPr>
          <w:p w14:paraId="25105F2E">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轨道交通站点（地铁站）</w:t>
            </w:r>
          </w:p>
        </w:tc>
      </w:tr>
      <w:tr w14:paraId="45489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Align w:val="center"/>
          </w:tcPr>
          <w:p w14:paraId="6CA87C1F">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公路用地</w:t>
            </w:r>
          </w:p>
        </w:tc>
        <w:tc>
          <w:tcPr>
            <w:tcW w:w="3743" w:type="pct"/>
            <w:vAlign w:val="center"/>
          </w:tcPr>
          <w:p w14:paraId="16AEA6FA">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高速公路服务区</w:t>
            </w:r>
          </w:p>
        </w:tc>
      </w:tr>
      <w:bookmarkEnd w:id="2"/>
      <w:tr w14:paraId="5D4CC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Align w:val="center"/>
          </w:tcPr>
          <w:p w14:paraId="0C749CA8">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水工建筑用地</w:t>
            </w:r>
          </w:p>
        </w:tc>
        <w:tc>
          <w:tcPr>
            <w:tcW w:w="3743" w:type="pct"/>
            <w:vAlign w:val="center"/>
          </w:tcPr>
          <w:p w14:paraId="70AAA36F">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水电站</w:t>
            </w:r>
          </w:p>
        </w:tc>
      </w:tr>
    </w:tbl>
    <w:p w14:paraId="64A16B7C">
      <w:pPr>
        <w:pStyle w:val="28"/>
        <w:spacing w:line="360" w:lineRule="auto"/>
        <w:ind w:firstLine="482"/>
        <w:jc w:val="both"/>
        <w:rPr>
          <w:rFonts w:hint="eastAsia" w:ascii="仿宋" w:hAnsi="仿宋" w:eastAsia="仿宋" w:cs="仿宋"/>
          <w:b/>
          <w:sz w:val="30"/>
          <w:szCs w:val="30"/>
        </w:rPr>
      </w:pPr>
      <w:r>
        <w:rPr>
          <w:rFonts w:hint="eastAsia" w:ascii="仿宋" w:hAnsi="仿宋" w:eastAsia="仿宋" w:cs="仿宋"/>
          <w:b/>
          <w:sz w:val="30"/>
          <w:szCs w:val="30"/>
        </w:rPr>
        <w:t>注：具体细化地类根据国家及省级最新要求进行调整</w:t>
      </w:r>
    </w:p>
    <w:p w14:paraId="1FA56830">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2.城区工作范围监测内容</w:t>
      </w:r>
    </w:p>
    <w:p w14:paraId="279AC1BF">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城区工作范围监测内容在全域范围监测内容的基础上，还包括以下四个方面：</w:t>
      </w:r>
    </w:p>
    <w:p w14:paraId="77077AB9">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（1）变化范围标注。以2024年度国土变更调查成果为底图，基于2025年遥感影像，标注2024年城区内城市国土空间监测要素的变化情况。</w:t>
      </w:r>
    </w:p>
    <w:p w14:paraId="74FC1034">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2）空间信息细化。以2024年度国土变更调查成果为底图，基于2025年遥感影像，参考专题数据，结合实地调查，对现状为细化地类的应按要求细化至三级类（见表2）。首先对2024年已监测的内容进行更新、补充、完善，确保数据的准确性、完整性、现势性符合要求；并根据省级最新要求，针对本年度增加三级类进行细化采集。</w:t>
      </w:r>
    </w:p>
    <w:p w14:paraId="0506849E">
      <w:pPr>
        <w:pStyle w:val="28"/>
        <w:spacing w:line="360" w:lineRule="auto"/>
        <w:ind w:firstLine="0" w:firstLineChars="0"/>
        <w:jc w:val="center"/>
        <w:rPr>
          <w:rFonts w:hint="eastAsia" w:ascii="仿宋" w:hAnsi="仿宋" w:eastAsia="仿宋" w:cs="仿宋"/>
          <w:sz w:val="30"/>
          <w:szCs w:val="30"/>
        </w:rPr>
      </w:pPr>
      <w:bookmarkStart w:id="3" w:name="_Hlk136851071"/>
      <w:r>
        <w:rPr>
          <w:rFonts w:hint="eastAsia" w:ascii="仿宋" w:hAnsi="仿宋" w:eastAsia="仿宋" w:cs="仿宋"/>
          <w:sz w:val="30"/>
          <w:szCs w:val="30"/>
        </w:rPr>
        <w:t>表2  城区工作范围空间信息细化内容</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6112"/>
      </w:tblGrid>
      <w:tr w14:paraId="1E19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414" w:type="pct"/>
            <w:shd w:val="clear" w:color="auto" w:fill="D8D8D8" w:themeFill="background1" w:themeFillShade="D9"/>
            <w:vAlign w:val="center"/>
          </w:tcPr>
          <w:p w14:paraId="661A6043">
            <w:pPr>
              <w:pStyle w:val="28"/>
              <w:spacing w:line="360" w:lineRule="auto"/>
              <w:ind w:firstLine="0" w:firstLineChars="0"/>
              <w:jc w:val="both"/>
              <w:rPr>
                <w:rFonts w:hint="eastAsia" w:ascii="仿宋" w:hAnsi="仿宋" w:eastAsia="仿宋" w:cs="仿宋"/>
                <w:b/>
                <w:bCs/>
                <w:sz w:val="30"/>
                <w:szCs w:val="30"/>
              </w:rPr>
            </w:pPr>
            <w:r>
              <w:rPr>
                <w:rFonts w:hint="eastAsia" w:ascii="仿宋" w:hAnsi="仿宋" w:eastAsia="仿宋" w:cs="仿宋"/>
                <w:b/>
                <w:bCs/>
                <w:sz w:val="30"/>
                <w:szCs w:val="30"/>
              </w:rPr>
              <w:t>现状地类</w:t>
            </w:r>
          </w:p>
        </w:tc>
        <w:tc>
          <w:tcPr>
            <w:tcW w:w="3586" w:type="pct"/>
            <w:shd w:val="clear" w:color="auto" w:fill="D8D8D8" w:themeFill="background1" w:themeFillShade="D9"/>
            <w:vAlign w:val="center"/>
          </w:tcPr>
          <w:p w14:paraId="1CEBD364">
            <w:pPr>
              <w:pStyle w:val="28"/>
              <w:spacing w:line="360" w:lineRule="auto"/>
              <w:ind w:firstLine="0" w:firstLineChars="0"/>
              <w:jc w:val="both"/>
              <w:rPr>
                <w:rFonts w:hint="eastAsia" w:ascii="仿宋" w:hAnsi="仿宋" w:eastAsia="仿宋" w:cs="仿宋"/>
                <w:b/>
                <w:bCs/>
                <w:sz w:val="30"/>
                <w:szCs w:val="30"/>
              </w:rPr>
            </w:pPr>
            <w:r>
              <w:rPr>
                <w:rFonts w:hint="eastAsia" w:ascii="仿宋" w:hAnsi="仿宋" w:eastAsia="仿宋" w:cs="仿宋"/>
                <w:b/>
                <w:bCs/>
                <w:sz w:val="30"/>
                <w:szCs w:val="30"/>
              </w:rPr>
              <w:t>细化至三级类</w:t>
            </w:r>
          </w:p>
        </w:tc>
      </w:tr>
      <w:tr w14:paraId="4708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50EF82CC">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城镇住宅用地</w:t>
            </w:r>
          </w:p>
        </w:tc>
        <w:tc>
          <w:tcPr>
            <w:tcW w:w="3586" w:type="pct"/>
            <w:vAlign w:val="center"/>
          </w:tcPr>
          <w:p w14:paraId="0F7999AA">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商品住房（地上）、保障性住房（地上）</w:t>
            </w:r>
          </w:p>
        </w:tc>
      </w:tr>
      <w:tr w14:paraId="753F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360D6999">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科教文卫用地</w:t>
            </w:r>
          </w:p>
        </w:tc>
        <w:tc>
          <w:tcPr>
            <w:tcW w:w="3586" w:type="pct"/>
            <w:vAlign w:val="center"/>
          </w:tcPr>
          <w:p w14:paraId="3B98F018">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文化艺术场馆、高等院校、中等职业学校、中小学、幼儿园、特殊教育学校、医院、方舱医院、社区卫生服务设施、养老设施、社区文化活动设施、体育场馆、儿童社会福利设施、残疾人福利设施</w:t>
            </w:r>
          </w:p>
        </w:tc>
      </w:tr>
      <w:tr w14:paraId="779B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23802E51">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公用设施用地</w:t>
            </w:r>
          </w:p>
        </w:tc>
        <w:tc>
          <w:tcPr>
            <w:tcW w:w="3586" w:type="pct"/>
            <w:vAlign w:val="center"/>
          </w:tcPr>
          <w:p w14:paraId="077D93CC">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消防站、自来水厂、污水处理厂、垃圾集中处理设施、邮政局（所）、供热厂</w:t>
            </w:r>
          </w:p>
        </w:tc>
      </w:tr>
      <w:tr w14:paraId="5BB5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2D15C730">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公园与绿地</w:t>
            </w:r>
          </w:p>
        </w:tc>
        <w:tc>
          <w:tcPr>
            <w:tcW w:w="3586" w:type="pct"/>
            <w:vAlign w:val="center"/>
          </w:tcPr>
          <w:p w14:paraId="378746D8">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公园、绿地、广场</w:t>
            </w:r>
          </w:p>
        </w:tc>
      </w:tr>
      <w:tr w14:paraId="287B0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5F198024">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特殊用地</w:t>
            </w:r>
          </w:p>
        </w:tc>
        <w:tc>
          <w:tcPr>
            <w:tcW w:w="3586" w:type="pct"/>
            <w:vAlign w:val="center"/>
          </w:tcPr>
          <w:p w14:paraId="7055D937">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殡葬设施</w:t>
            </w:r>
          </w:p>
        </w:tc>
      </w:tr>
      <w:tr w14:paraId="35D3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11FB2216">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轨道交通用地</w:t>
            </w:r>
          </w:p>
        </w:tc>
        <w:tc>
          <w:tcPr>
            <w:tcW w:w="3586" w:type="pct"/>
          </w:tcPr>
          <w:p w14:paraId="6A57653B">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轨道交通站点（地铁站）</w:t>
            </w:r>
          </w:p>
        </w:tc>
      </w:tr>
      <w:tr w14:paraId="5247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0B2E54EE">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公路用地</w:t>
            </w:r>
          </w:p>
        </w:tc>
        <w:tc>
          <w:tcPr>
            <w:tcW w:w="3586" w:type="pct"/>
          </w:tcPr>
          <w:p w14:paraId="0B7CEAC8">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高速公路服务区</w:t>
            </w:r>
          </w:p>
        </w:tc>
      </w:tr>
      <w:tr w14:paraId="0453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2434F169">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交通服务场站用地</w:t>
            </w:r>
          </w:p>
        </w:tc>
        <w:tc>
          <w:tcPr>
            <w:tcW w:w="3586" w:type="pct"/>
            <w:vAlign w:val="center"/>
          </w:tcPr>
          <w:p w14:paraId="1E1E1D37">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公共停车场（地面）、公共停车楼（地上）、对外交通场站、公共交通场站</w:t>
            </w:r>
          </w:p>
        </w:tc>
      </w:tr>
      <w:tr w14:paraId="5621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pct"/>
            <w:vAlign w:val="center"/>
          </w:tcPr>
          <w:p w14:paraId="16283728">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水工建筑用地</w:t>
            </w:r>
          </w:p>
        </w:tc>
        <w:tc>
          <w:tcPr>
            <w:tcW w:w="3586" w:type="pct"/>
            <w:vAlign w:val="center"/>
          </w:tcPr>
          <w:p w14:paraId="1FD8AAE9">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水电站</w:t>
            </w:r>
          </w:p>
        </w:tc>
      </w:tr>
      <w:bookmarkEnd w:id="3"/>
    </w:tbl>
    <w:p w14:paraId="5D794881">
      <w:pPr>
        <w:pStyle w:val="28"/>
        <w:spacing w:line="360" w:lineRule="auto"/>
        <w:ind w:firstLine="482"/>
        <w:jc w:val="both"/>
        <w:rPr>
          <w:rFonts w:hint="eastAsia" w:ascii="仿宋" w:hAnsi="仿宋" w:eastAsia="仿宋" w:cs="仿宋"/>
          <w:b/>
          <w:sz w:val="30"/>
          <w:szCs w:val="30"/>
        </w:rPr>
      </w:pPr>
      <w:r>
        <w:rPr>
          <w:rFonts w:hint="eastAsia" w:ascii="仿宋" w:hAnsi="仿宋" w:eastAsia="仿宋" w:cs="仿宋"/>
          <w:b/>
          <w:sz w:val="30"/>
          <w:szCs w:val="30"/>
        </w:rPr>
        <w:t>注：具体细化地类根据国家及省级最新要求进行调整</w:t>
      </w:r>
    </w:p>
    <w:p w14:paraId="10DF66F7">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（3）空间信息补充。采集城市内涝积水点、应急避难场所（地上）和新增城市更新改造用地（见表3）。确保数据的准确性、完整性、现势性符合要求。</w:t>
      </w:r>
    </w:p>
    <w:p w14:paraId="657DCCFF">
      <w:pPr>
        <w:pStyle w:val="28"/>
        <w:spacing w:line="360" w:lineRule="auto"/>
        <w:ind w:firstLine="0" w:firstLineChars="0"/>
        <w:jc w:val="center"/>
        <w:rPr>
          <w:rFonts w:hint="eastAsia" w:ascii="仿宋" w:hAnsi="仿宋" w:eastAsia="仿宋" w:cs="仿宋"/>
          <w:sz w:val="30"/>
          <w:szCs w:val="30"/>
        </w:rPr>
      </w:pPr>
      <w:r>
        <w:rPr>
          <w:rFonts w:hint="eastAsia" w:ascii="仿宋" w:hAnsi="仿宋" w:eastAsia="仿宋" w:cs="仿宋"/>
          <w:sz w:val="30"/>
          <w:szCs w:val="30"/>
        </w:rPr>
        <w:t>表3  城区工作范围空间信息补充内容</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2"/>
        <w:gridCol w:w="6380"/>
      </w:tblGrid>
      <w:tr w14:paraId="7163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257" w:type="pct"/>
            <w:shd w:val="clear" w:color="auto" w:fill="D8D8D8" w:themeFill="background1" w:themeFillShade="D9"/>
            <w:vAlign w:val="center"/>
          </w:tcPr>
          <w:p w14:paraId="262E467A">
            <w:pPr>
              <w:pStyle w:val="28"/>
              <w:spacing w:line="360" w:lineRule="auto"/>
              <w:ind w:firstLine="0" w:firstLineChars="0"/>
              <w:jc w:val="both"/>
              <w:rPr>
                <w:rFonts w:hint="eastAsia" w:ascii="仿宋" w:hAnsi="仿宋" w:eastAsia="仿宋" w:cs="仿宋"/>
                <w:b/>
                <w:bCs/>
                <w:sz w:val="30"/>
                <w:szCs w:val="30"/>
              </w:rPr>
            </w:pPr>
            <w:r>
              <w:rPr>
                <w:rFonts w:hint="eastAsia" w:ascii="仿宋" w:hAnsi="仿宋" w:eastAsia="仿宋" w:cs="仿宋"/>
                <w:b/>
                <w:bCs/>
                <w:sz w:val="30"/>
                <w:szCs w:val="30"/>
              </w:rPr>
              <w:t>要素名称</w:t>
            </w:r>
          </w:p>
        </w:tc>
        <w:tc>
          <w:tcPr>
            <w:tcW w:w="3743" w:type="pct"/>
            <w:shd w:val="clear" w:color="auto" w:fill="D8D8D8" w:themeFill="background1" w:themeFillShade="D9"/>
            <w:vAlign w:val="center"/>
          </w:tcPr>
          <w:p w14:paraId="5852891D">
            <w:pPr>
              <w:pStyle w:val="28"/>
              <w:spacing w:line="360" w:lineRule="auto"/>
              <w:ind w:firstLine="0" w:firstLineChars="0"/>
              <w:jc w:val="both"/>
              <w:rPr>
                <w:rFonts w:hint="eastAsia" w:ascii="仿宋" w:hAnsi="仿宋" w:eastAsia="仿宋" w:cs="仿宋"/>
                <w:b/>
                <w:bCs/>
                <w:sz w:val="30"/>
                <w:szCs w:val="30"/>
              </w:rPr>
            </w:pPr>
            <w:r>
              <w:rPr>
                <w:rFonts w:hint="eastAsia" w:ascii="仿宋" w:hAnsi="仿宋" w:eastAsia="仿宋" w:cs="仿宋"/>
                <w:b/>
                <w:bCs/>
                <w:sz w:val="30"/>
                <w:szCs w:val="30"/>
              </w:rPr>
              <w:t>空间信息补充要素</w:t>
            </w:r>
          </w:p>
        </w:tc>
      </w:tr>
      <w:tr w14:paraId="7650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Merge w:val="restart"/>
            <w:vAlign w:val="center"/>
          </w:tcPr>
          <w:p w14:paraId="00D22059">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其他</w:t>
            </w:r>
          </w:p>
        </w:tc>
        <w:tc>
          <w:tcPr>
            <w:tcW w:w="3743" w:type="pct"/>
            <w:vAlign w:val="center"/>
          </w:tcPr>
          <w:p w14:paraId="182FA16B">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城市内涝积水点</w:t>
            </w:r>
          </w:p>
        </w:tc>
      </w:tr>
      <w:tr w14:paraId="4ECEC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Merge w:val="continue"/>
            <w:vAlign w:val="center"/>
          </w:tcPr>
          <w:p w14:paraId="01416B27">
            <w:pPr>
              <w:pStyle w:val="28"/>
              <w:spacing w:line="360" w:lineRule="auto"/>
              <w:ind w:firstLine="0" w:firstLineChars="0"/>
              <w:jc w:val="both"/>
              <w:rPr>
                <w:rFonts w:hint="eastAsia" w:ascii="仿宋" w:hAnsi="仿宋" w:eastAsia="仿宋" w:cs="仿宋"/>
                <w:sz w:val="30"/>
                <w:szCs w:val="30"/>
              </w:rPr>
            </w:pPr>
          </w:p>
        </w:tc>
        <w:tc>
          <w:tcPr>
            <w:tcW w:w="3743" w:type="pct"/>
            <w:vAlign w:val="center"/>
          </w:tcPr>
          <w:p w14:paraId="45B86A32">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应急避难场所</w:t>
            </w:r>
          </w:p>
        </w:tc>
      </w:tr>
      <w:tr w14:paraId="1E3B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7" w:type="pct"/>
            <w:vMerge w:val="continue"/>
            <w:vAlign w:val="center"/>
          </w:tcPr>
          <w:p w14:paraId="6ED0A98B">
            <w:pPr>
              <w:pStyle w:val="28"/>
              <w:spacing w:line="360" w:lineRule="auto"/>
              <w:ind w:firstLine="0" w:firstLineChars="0"/>
              <w:jc w:val="both"/>
              <w:rPr>
                <w:rFonts w:hint="eastAsia" w:ascii="仿宋" w:hAnsi="仿宋" w:eastAsia="仿宋" w:cs="仿宋"/>
                <w:sz w:val="30"/>
                <w:szCs w:val="30"/>
              </w:rPr>
            </w:pPr>
          </w:p>
        </w:tc>
        <w:tc>
          <w:tcPr>
            <w:tcW w:w="3743" w:type="pct"/>
            <w:vAlign w:val="center"/>
          </w:tcPr>
          <w:p w14:paraId="560523D1">
            <w:pPr>
              <w:pStyle w:val="28"/>
              <w:spacing w:line="360" w:lineRule="auto"/>
              <w:ind w:firstLine="0" w:firstLineChars="0"/>
              <w:jc w:val="both"/>
              <w:rPr>
                <w:rFonts w:hint="eastAsia" w:ascii="仿宋" w:hAnsi="仿宋" w:eastAsia="仿宋" w:cs="仿宋"/>
                <w:sz w:val="30"/>
                <w:szCs w:val="30"/>
              </w:rPr>
            </w:pPr>
            <w:r>
              <w:rPr>
                <w:rFonts w:hint="eastAsia" w:ascii="仿宋" w:hAnsi="仿宋" w:eastAsia="仿宋" w:cs="仿宋"/>
                <w:sz w:val="30"/>
                <w:szCs w:val="30"/>
              </w:rPr>
              <w:t>新增城市更新改造用地</w:t>
            </w:r>
          </w:p>
        </w:tc>
      </w:tr>
    </w:tbl>
    <w:p w14:paraId="7EC71936">
      <w:pPr>
        <w:pStyle w:val="28"/>
        <w:spacing w:line="360" w:lineRule="auto"/>
        <w:ind w:firstLine="482"/>
        <w:jc w:val="both"/>
        <w:rPr>
          <w:rFonts w:hint="eastAsia" w:ascii="仿宋" w:hAnsi="仿宋" w:eastAsia="仿宋" w:cs="仿宋"/>
          <w:b/>
          <w:sz w:val="30"/>
          <w:szCs w:val="30"/>
        </w:rPr>
      </w:pPr>
      <w:r>
        <w:rPr>
          <w:rFonts w:hint="eastAsia" w:ascii="仿宋" w:hAnsi="仿宋" w:eastAsia="仿宋" w:cs="仿宋"/>
          <w:b/>
          <w:sz w:val="30"/>
          <w:szCs w:val="30"/>
        </w:rPr>
        <w:t>注：具体细化地类根据国家及省级最新要求进行调整</w:t>
      </w:r>
    </w:p>
    <w:p w14:paraId="371F22C8">
      <w:pPr>
        <w:pStyle w:val="28"/>
        <w:spacing w:line="360" w:lineRule="auto"/>
        <w:ind w:firstLine="480"/>
        <w:jc w:val="both"/>
        <w:rPr>
          <w:rFonts w:hint="eastAsia" w:ascii="仿宋" w:hAnsi="仿宋" w:eastAsia="仿宋" w:cs="仿宋"/>
          <w:sz w:val="30"/>
          <w:szCs w:val="30"/>
        </w:rPr>
      </w:pPr>
      <w:r>
        <w:rPr>
          <w:rFonts w:hint="eastAsia" w:ascii="仿宋" w:hAnsi="仿宋" w:eastAsia="仿宋" w:cs="仿宋"/>
          <w:sz w:val="30"/>
          <w:szCs w:val="30"/>
        </w:rPr>
        <w:t>（4）城镇住宅细化与地上建筑单体化采集。城镇住宅细化是对城区工作范围内的城镇住宅（不限于年度国土变更调查城镇住宅用地范围内）细化具体范围，并区分商品住房、保障性住房。为保障性住房的，需进一步区分是否为保障性租赁住房。地上建筑单体化采集是基于2025年遥感影像，参考专题数据，结合实地调查，按单体形式采集城区工作范围200m</w:t>
      </w:r>
      <w:r>
        <w:rPr>
          <w:rFonts w:hint="eastAsia" w:ascii="仿宋" w:hAnsi="仿宋" w:eastAsia="仿宋" w:cs="仿宋"/>
          <w:sz w:val="30"/>
          <w:szCs w:val="30"/>
          <w:vertAlign w:val="superscript"/>
        </w:rPr>
        <w:t>2</w:t>
      </w:r>
      <w:r>
        <w:rPr>
          <w:rFonts w:hint="eastAsia" w:ascii="仿宋" w:hAnsi="仿宋" w:eastAsia="仿宋" w:cs="仿宋"/>
          <w:sz w:val="30"/>
          <w:szCs w:val="30"/>
        </w:rPr>
        <w:t>以上的所有地上建筑，并补充标注高度、占地面积、建筑总面积，城镇住宅需一并标注套（间）数。</w:t>
      </w:r>
    </w:p>
    <w:p w14:paraId="4086175E">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（四）衔接年度国土变更调查</w:t>
      </w:r>
    </w:p>
    <w:p w14:paraId="733B3A47">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按照自然资源部统一部署，城市国土空间监测相关成果将纳入年度国土变更调查数据库。开展铜山城区工作范围内地类变化更新工作，对于细化采集要素，监测时实地与2024年度国土变更调查成果地类二级类不一致的图斑，按照最新国土变更调查外业举证相关要求实地拍照，并将变化信息纳入国土变更调查，夯实自然资源统一调查监测数据底版。</w:t>
      </w:r>
    </w:p>
    <w:p w14:paraId="42379A6C">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（五）外业补充调查与核实</w:t>
      </w:r>
    </w:p>
    <w:p w14:paraId="6A2BF8F9">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对内业难以准确判定监测内容或无法通过影像特征、专题资料确定属性信息的图斑，按照《江苏省城市国土空间监测实施细则》开展外业调查与核实，每个核查点位从不同位置和角度拍摄至少三张地面实景照片，完整反映监测对象全景、局部及所需采集属性的特征。</w:t>
      </w:r>
    </w:p>
    <w:p w14:paraId="33FB5D32">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（六）数据库建设</w:t>
      </w:r>
    </w:p>
    <w:p w14:paraId="4D3320DA">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根据国家和省级要求，完成数据成果汇交，建立铜山区城市国土空间监测数据库。同时，将数据库成果纳入自然资源三维立体时空数据库体系，与国土空间基础信息平台等管理系统互联互通。</w:t>
      </w:r>
    </w:p>
    <w:p w14:paraId="7C6F8F90">
      <w:pPr>
        <w:pStyle w:val="4"/>
        <w:numPr>
          <w:ilvl w:val="1"/>
          <w:numId w:val="0"/>
        </w:numPr>
        <w:spacing w:before="0" w:after="0"/>
        <w:ind w:left="578" w:hanging="578"/>
        <w:rPr>
          <w:rFonts w:hint="eastAsia" w:ascii="仿宋" w:hAnsi="仿宋" w:eastAsia="仿宋" w:cs="仿宋"/>
          <w:sz w:val="30"/>
          <w:szCs w:val="30"/>
        </w:rPr>
      </w:pPr>
      <w:bookmarkStart w:id="4" w:name="OLE_LINK3"/>
      <w:r>
        <w:rPr>
          <w:rFonts w:hint="eastAsia" w:ascii="仿宋" w:hAnsi="仿宋" w:eastAsia="仿宋" w:cs="仿宋"/>
          <w:sz w:val="30"/>
          <w:szCs w:val="30"/>
        </w:rPr>
        <w:t>标段二 徐州市铜山区2025年城市国土空间监测成果汇总分析</w:t>
      </w:r>
    </w:p>
    <w:bookmarkEnd w:id="4"/>
    <w:p w14:paraId="2768986F">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（一）统计分析与应用评价</w:t>
      </w:r>
    </w:p>
    <w:p w14:paraId="72AC93B7">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基于城市国土空间监测成果，开展监测成果的统计分析和应用评价，形成统计分析报表和统计分析报告，服务国土空间规划编制及实施监督、城市体检评估和用途管制等国土空间治理工作。</w:t>
      </w:r>
    </w:p>
    <w:p w14:paraId="00E72751">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（二）成果汇总及报告编制。</w:t>
      </w:r>
    </w:p>
    <w:p w14:paraId="40569EA8">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对标段一提交的项目成果进行汇总，形成全区统一的城市国土空间监测成果资料，并编制项目总结报告。</w:t>
      </w:r>
    </w:p>
    <w:p w14:paraId="63363C27">
      <w:pPr>
        <w:pStyle w:val="4"/>
        <w:numPr>
          <w:ilvl w:val="1"/>
          <w:numId w:val="0"/>
        </w:numPr>
        <w:spacing w:before="0" w:after="0"/>
        <w:ind w:left="578" w:hanging="578"/>
        <w:rPr>
          <w:rFonts w:hint="eastAsia" w:ascii="仿宋" w:hAnsi="仿宋" w:eastAsia="仿宋" w:cs="仿宋"/>
          <w:sz w:val="30"/>
          <w:szCs w:val="30"/>
        </w:rPr>
      </w:pPr>
      <w:r>
        <w:rPr>
          <w:rFonts w:hint="eastAsia" w:ascii="仿宋" w:hAnsi="仿宋" w:eastAsia="仿宋" w:cs="仿宋"/>
          <w:sz w:val="30"/>
          <w:szCs w:val="30"/>
        </w:rPr>
        <w:t>四、项目成果</w:t>
      </w:r>
    </w:p>
    <w:p w14:paraId="08DF847C">
      <w:pPr>
        <w:pStyle w:val="28"/>
        <w:spacing w:line="360" w:lineRule="auto"/>
        <w:ind w:firstLine="482"/>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（一）标段一徐州市铜山区2025年城市国土空间监测数据生产</w:t>
      </w:r>
    </w:p>
    <w:p w14:paraId="4A5F0F95">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徐州市铜山区城市国土空间监测标段一成果包括遥感影像与专题资料、监测数据、元数据、外业调查成果等。</w:t>
      </w:r>
    </w:p>
    <w:p w14:paraId="594AB399">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1.正射影像数据</w:t>
      </w:r>
    </w:p>
    <w:p w14:paraId="5F7FEC24">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铜山区2025年全域正射影像成果。</w:t>
      </w:r>
    </w:p>
    <w:p w14:paraId="51A3426F">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2.监测数据</w:t>
      </w:r>
    </w:p>
    <w:p w14:paraId="1F5374D8">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城市空间监测数据地类变化数据集、细化数据集、补充数据集等；</w:t>
      </w:r>
    </w:p>
    <w:p w14:paraId="50566A69">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年度城镇住宅细化与地上建筑单体化采集成果。</w:t>
      </w:r>
    </w:p>
    <w:p w14:paraId="09421D0D">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3.生产元数据</w:t>
      </w:r>
    </w:p>
    <w:p w14:paraId="0F22D1AB">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生产元数据包括成果数据基本信息、数据源情况、数据采集情况、外业调查情况、数据编辑与整理情况、质量检查情况等图层。</w:t>
      </w:r>
    </w:p>
    <w:p w14:paraId="6190B823">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4.实地照片数据</w:t>
      </w:r>
    </w:p>
    <w:p w14:paraId="0CE784DA">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包括外业拍摄照片，照片命名与图斑要素标识码（FEATID）保持一致，包含时间、经纬度、方位角等属性信息。</w:t>
      </w:r>
    </w:p>
    <w:p w14:paraId="39A08F29">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5.文档成果</w:t>
      </w:r>
    </w:p>
    <w:p w14:paraId="66368564">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徐州市铜山区2025年城市国土空间监测项目实施方案。</w:t>
      </w:r>
    </w:p>
    <w:p w14:paraId="22CAEA63">
      <w:pPr>
        <w:pStyle w:val="28"/>
        <w:spacing w:line="360" w:lineRule="auto"/>
        <w:ind w:firstLine="480"/>
        <w:jc w:val="both"/>
        <w:rPr>
          <w:rFonts w:hint="eastAsia" w:ascii="仿宋" w:hAnsi="仿宋" w:eastAsia="仿宋" w:cs="仿宋"/>
          <w:color w:val="auto"/>
          <w:sz w:val="30"/>
          <w:szCs w:val="30"/>
        </w:rPr>
      </w:pPr>
    </w:p>
    <w:p w14:paraId="7BC95176">
      <w:pPr>
        <w:pStyle w:val="28"/>
        <w:spacing w:line="360" w:lineRule="auto"/>
        <w:ind w:firstLine="482"/>
        <w:jc w:val="both"/>
        <w:rPr>
          <w:rFonts w:hint="eastAsia" w:ascii="仿宋" w:hAnsi="仿宋" w:eastAsia="仿宋" w:cs="仿宋"/>
          <w:b/>
          <w:bCs/>
          <w:color w:val="auto"/>
          <w:sz w:val="30"/>
          <w:szCs w:val="30"/>
        </w:rPr>
      </w:pPr>
      <w:r>
        <w:rPr>
          <w:rFonts w:hint="eastAsia" w:ascii="仿宋" w:hAnsi="仿宋" w:eastAsia="仿宋" w:cs="仿宋"/>
          <w:b/>
          <w:bCs/>
          <w:color w:val="auto"/>
          <w:sz w:val="30"/>
          <w:szCs w:val="30"/>
        </w:rPr>
        <w:t>（二）标段二 徐州市铜山区2025年城市国土空间监测成果汇总分析</w:t>
      </w:r>
    </w:p>
    <w:p w14:paraId="75472210">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徐州市铜山区城市国土空间监测标段二成果包括相关技术文档成果、统计成果等。</w:t>
      </w:r>
    </w:p>
    <w:p w14:paraId="44F2A5F1">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1.文档成果</w:t>
      </w:r>
    </w:p>
    <w:p w14:paraId="1F7731F0">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徐州市铜山区2025年城市国土空间监测项目总结报告。</w:t>
      </w:r>
    </w:p>
    <w:p w14:paraId="3AC37F02">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2.统计成果</w:t>
      </w:r>
    </w:p>
    <w:p w14:paraId="78EC39C1">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徐州市铜山区2025年城市国土空间监测项目统计分析报表；</w:t>
      </w:r>
    </w:p>
    <w:p w14:paraId="19708CA3">
      <w:pPr>
        <w:pStyle w:val="28"/>
        <w:spacing w:line="360" w:lineRule="auto"/>
        <w:ind w:firstLine="480"/>
        <w:jc w:val="both"/>
        <w:rPr>
          <w:rFonts w:hint="eastAsia" w:ascii="仿宋" w:hAnsi="仿宋" w:eastAsia="仿宋" w:cs="仿宋"/>
          <w:color w:val="auto"/>
          <w:sz w:val="30"/>
          <w:szCs w:val="30"/>
        </w:rPr>
      </w:pPr>
      <w:r>
        <w:rPr>
          <w:rFonts w:hint="eastAsia" w:ascii="仿宋" w:hAnsi="仿宋" w:eastAsia="仿宋" w:cs="仿宋"/>
          <w:color w:val="auto"/>
          <w:sz w:val="30"/>
          <w:szCs w:val="30"/>
        </w:rPr>
        <w:t>徐州市铜山区2025年城市国土空间监测项目统计分析报告。</w:t>
      </w:r>
    </w:p>
    <w:p w14:paraId="7AE69AB0">
      <w:pPr>
        <w:pStyle w:val="28"/>
        <w:spacing w:line="360" w:lineRule="auto"/>
        <w:ind w:firstLine="480"/>
        <w:jc w:val="both"/>
        <w:rPr>
          <w:rFonts w:hint="eastAsia" w:ascii="仿宋" w:hAnsi="仿宋" w:eastAsia="仿宋" w:cs="仿宋"/>
          <w:color w:val="auto"/>
          <w:sz w:val="30"/>
          <w:szCs w:val="30"/>
        </w:rPr>
      </w:pPr>
    </w:p>
    <w:p w14:paraId="57EAD462">
      <w:pPr>
        <w:rPr>
          <w:rFonts w:hint="eastAsia" w:ascii="仿宋" w:hAnsi="仿宋" w:eastAsia="仿宋" w:cs="仿宋"/>
          <w:b/>
          <w:bCs/>
          <w:sz w:val="30"/>
          <w:szCs w:val="30"/>
        </w:rPr>
      </w:pPr>
      <w:bookmarkStart w:id="5" w:name="_GoBack"/>
      <w:bookmarkEnd w:id="5"/>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C21A9">
    <w:pPr>
      <w:pStyle w:val="11"/>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704B6"/>
    <w:multiLevelType w:val="multilevel"/>
    <w:tmpl w:val="0C6704B6"/>
    <w:lvl w:ilvl="0" w:tentative="0">
      <w:start w:val="1"/>
      <w:numFmt w:val="chineseCountingThousand"/>
      <w:lvlText w:val="第%1章"/>
      <w:lvlJc w:val="left"/>
      <w:pPr>
        <w:ind w:left="432" w:hanging="432"/>
      </w:pPr>
      <w:rPr>
        <w:rFonts w:hint="eastAsia"/>
      </w:rPr>
    </w:lvl>
    <w:lvl w:ilvl="1" w:tentative="0">
      <w:start w:val="1"/>
      <w:numFmt w:val="chineseCountingThousand"/>
      <w:pStyle w:val="4"/>
      <w:lvlText w:val="%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xNjRhYjA5YWNjYmMzOTRhODVkNTAyNGMyZDRmZDUifQ=="/>
  </w:docVars>
  <w:rsids>
    <w:rsidRoot w:val="006867C5"/>
    <w:rsid w:val="0002731D"/>
    <w:rsid w:val="000311B0"/>
    <w:rsid w:val="000554FE"/>
    <w:rsid w:val="00070915"/>
    <w:rsid w:val="000845D4"/>
    <w:rsid w:val="00086C41"/>
    <w:rsid w:val="00094FE7"/>
    <w:rsid w:val="000A5003"/>
    <w:rsid w:val="000B1199"/>
    <w:rsid w:val="000B41AC"/>
    <w:rsid w:val="000D5851"/>
    <w:rsid w:val="00142EF0"/>
    <w:rsid w:val="00154551"/>
    <w:rsid w:val="001819DF"/>
    <w:rsid w:val="001B6326"/>
    <w:rsid w:val="001D48E7"/>
    <w:rsid w:val="001D7239"/>
    <w:rsid w:val="001E5BFF"/>
    <w:rsid w:val="00252002"/>
    <w:rsid w:val="00252C87"/>
    <w:rsid w:val="0026359A"/>
    <w:rsid w:val="002B232A"/>
    <w:rsid w:val="00301034"/>
    <w:rsid w:val="00312A0C"/>
    <w:rsid w:val="00343FEE"/>
    <w:rsid w:val="00371362"/>
    <w:rsid w:val="00390C12"/>
    <w:rsid w:val="00390D20"/>
    <w:rsid w:val="0039376F"/>
    <w:rsid w:val="003A2B59"/>
    <w:rsid w:val="003A54F3"/>
    <w:rsid w:val="003B34E6"/>
    <w:rsid w:val="003C348A"/>
    <w:rsid w:val="003D3195"/>
    <w:rsid w:val="003E3153"/>
    <w:rsid w:val="003E3182"/>
    <w:rsid w:val="003E6853"/>
    <w:rsid w:val="003F792A"/>
    <w:rsid w:val="00411650"/>
    <w:rsid w:val="00424406"/>
    <w:rsid w:val="00425804"/>
    <w:rsid w:val="00431195"/>
    <w:rsid w:val="00446348"/>
    <w:rsid w:val="00485F32"/>
    <w:rsid w:val="004A0092"/>
    <w:rsid w:val="004B60B8"/>
    <w:rsid w:val="004F5EA4"/>
    <w:rsid w:val="00504B5D"/>
    <w:rsid w:val="00510113"/>
    <w:rsid w:val="00531BE4"/>
    <w:rsid w:val="005574EC"/>
    <w:rsid w:val="00566C2B"/>
    <w:rsid w:val="005733EF"/>
    <w:rsid w:val="00574E6E"/>
    <w:rsid w:val="005806B3"/>
    <w:rsid w:val="005D3DDA"/>
    <w:rsid w:val="005F1705"/>
    <w:rsid w:val="006048BB"/>
    <w:rsid w:val="006052F5"/>
    <w:rsid w:val="0061359C"/>
    <w:rsid w:val="00636888"/>
    <w:rsid w:val="006376FD"/>
    <w:rsid w:val="00653B8E"/>
    <w:rsid w:val="006838B7"/>
    <w:rsid w:val="006867C5"/>
    <w:rsid w:val="006B7246"/>
    <w:rsid w:val="006D3190"/>
    <w:rsid w:val="006F04B5"/>
    <w:rsid w:val="007413B6"/>
    <w:rsid w:val="00741BEC"/>
    <w:rsid w:val="00757D21"/>
    <w:rsid w:val="00796ECD"/>
    <w:rsid w:val="007A3B8D"/>
    <w:rsid w:val="007B53E1"/>
    <w:rsid w:val="007C39B5"/>
    <w:rsid w:val="007E75D8"/>
    <w:rsid w:val="008002ED"/>
    <w:rsid w:val="00830372"/>
    <w:rsid w:val="0083086E"/>
    <w:rsid w:val="00832D7C"/>
    <w:rsid w:val="008811D8"/>
    <w:rsid w:val="008924EF"/>
    <w:rsid w:val="008D3CEA"/>
    <w:rsid w:val="009914B1"/>
    <w:rsid w:val="009E2AC2"/>
    <w:rsid w:val="00A14EB5"/>
    <w:rsid w:val="00A17D09"/>
    <w:rsid w:val="00A71897"/>
    <w:rsid w:val="00A75B97"/>
    <w:rsid w:val="00A87D15"/>
    <w:rsid w:val="00AC465D"/>
    <w:rsid w:val="00AC592D"/>
    <w:rsid w:val="00B042F8"/>
    <w:rsid w:val="00B2364F"/>
    <w:rsid w:val="00B525AA"/>
    <w:rsid w:val="00B66655"/>
    <w:rsid w:val="00B73162"/>
    <w:rsid w:val="00B95321"/>
    <w:rsid w:val="00BB2D67"/>
    <w:rsid w:val="00BD6EDF"/>
    <w:rsid w:val="00C20FDD"/>
    <w:rsid w:val="00C444F2"/>
    <w:rsid w:val="00C82EFE"/>
    <w:rsid w:val="00C879B3"/>
    <w:rsid w:val="00CA298E"/>
    <w:rsid w:val="00CA3B92"/>
    <w:rsid w:val="00CA41E9"/>
    <w:rsid w:val="00CC2CEB"/>
    <w:rsid w:val="00D02BDF"/>
    <w:rsid w:val="00D37350"/>
    <w:rsid w:val="00D56404"/>
    <w:rsid w:val="00D61F6E"/>
    <w:rsid w:val="00D6227C"/>
    <w:rsid w:val="00D6744C"/>
    <w:rsid w:val="00D67CE0"/>
    <w:rsid w:val="00D977E7"/>
    <w:rsid w:val="00DC06FB"/>
    <w:rsid w:val="00DC2525"/>
    <w:rsid w:val="00DD4F1E"/>
    <w:rsid w:val="00DF0891"/>
    <w:rsid w:val="00E04A81"/>
    <w:rsid w:val="00E1720A"/>
    <w:rsid w:val="00E440E2"/>
    <w:rsid w:val="00E46BFE"/>
    <w:rsid w:val="00E87FD1"/>
    <w:rsid w:val="00EC7EDC"/>
    <w:rsid w:val="00ED3DC3"/>
    <w:rsid w:val="00EE01BD"/>
    <w:rsid w:val="00EE4D61"/>
    <w:rsid w:val="00EF2D71"/>
    <w:rsid w:val="00F112EC"/>
    <w:rsid w:val="00F374B4"/>
    <w:rsid w:val="00FA40DF"/>
    <w:rsid w:val="00FA76FD"/>
    <w:rsid w:val="00FB56EF"/>
    <w:rsid w:val="013B4944"/>
    <w:rsid w:val="01675739"/>
    <w:rsid w:val="034A70C0"/>
    <w:rsid w:val="03755EF9"/>
    <w:rsid w:val="06D57239"/>
    <w:rsid w:val="07091040"/>
    <w:rsid w:val="082A74C0"/>
    <w:rsid w:val="0B8E420A"/>
    <w:rsid w:val="10AA73F0"/>
    <w:rsid w:val="199B1FCC"/>
    <w:rsid w:val="19C72DC1"/>
    <w:rsid w:val="19F33BB6"/>
    <w:rsid w:val="1C670302"/>
    <w:rsid w:val="1D74500E"/>
    <w:rsid w:val="1F505606"/>
    <w:rsid w:val="207176F1"/>
    <w:rsid w:val="224D407F"/>
    <w:rsid w:val="251E1D03"/>
    <w:rsid w:val="256426B8"/>
    <w:rsid w:val="26647BE9"/>
    <w:rsid w:val="26E825C8"/>
    <w:rsid w:val="277F4CDB"/>
    <w:rsid w:val="29907656"/>
    <w:rsid w:val="299C372B"/>
    <w:rsid w:val="2A7C3754"/>
    <w:rsid w:val="2C71156C"/>
    <w:rsid w:val="2E7D3F3E"/>
    <w:rsid w:val="2E9372BE"/>
    <w:rsid w:val="31CF0C90"/>
    <w:rsid w:val="33202D97"/>
    <w:rsid w:val="35463DE3"/>
    <w:rsid w:val="38084878"/>
    <w:rsid w:val="3834566E"/>
    <w:rsid w:val="3B5B1927"/>
    <w:rsid w:val="3FAB5F00"/>
    <w:rsid w:val="3FCC262F"/>
    <w:rsid w:val="413C321B"/>
    <w:rsid w:val="433429C6"/>
    <w:rsid w:val="489B642B"/>
    <w:rsid w:val="4BA76F1C"/>
    <w:rsid w:val="4CD40D75"/>
    <w:rsid w:val="4FBD1A01"/>
    <w:rsid w:val="50243F98"/>
    <w:rsid w:val="50C03AEB"/>
    <w:rsid w:val="58705199"/>
    <w:rsid w:val="59DD74BB"/>
    <w:rsid w:val="61A15272"/>
    <w:rsid w:val="63253C81"/>
    <w:rsid w:val="658C7FE7"/>
    <w:rsid w:val="69310643"/>
    <w:rsid w:val="6A9A036A"/>
    <w:rsid w:val="6C9E00A6"/>
    <w:rsid w:val="6D5F5F2F"/>
    <w:rsid w:val="6E9D1B01"/>
    <w:rsid w:val="6F5B2BF8"/>
    <w:rsid w:val="781E0F73"/>
    <w:rsid w:val="793F73F3"/>
    <w:rsid w:val="7BB120FE"/>
    <w:rsid w:val="7F5E434B"/>
    <w:rsid w:val="7FB65F35"/>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numPr>
        <w:ilvl w:val="1"/>
        <w:numId w:val="1"/>
      </w:numPr>
      <w:spacing w:before="260" w:after="260" w:line="360" w:lineRule="auto"/>
      <w:jc w:val="left"/>
      <w:outlineLvl w:val="1"/>
    </w:pPr>
    <w:rPr>
      <w:rFonts w:ascii="宋体" w:hAnsi="宋体"/>
      <w:b/>
      <w:bCs/>
      <w:sz w:val="28"/>
      <w:szCs w:val="28"/>
    </w:rPr>
  </w:style>
  <w:style w:type="paragraph" w:styleId="5">
    <w:name w:val="heading 5"/>
    <w:basedOn w:val="1"/>
    <w:next w:val="1"/>
    <w:semiHidden/>
    <w:unhideWhenUsed/>
    <w:qFormat/>
    <w:uiPriority w:val="0"/>
    <w:pPr>
      <w:spacing w:beforeAutospacing="1" w:afterAutospacing="1"/>
      <w:jc w:val="left"/>
      <w:outlineLvl w:val="4"/>
    </w:pPr>
    <w:rPr>
      <w:rFonts w:hint="eastAsia" w:ascii="宋体" w:hAnsi="宋体"/>
      <w:b/>
      <w:bCs/>
      <w:kern w:val="0"/>
      <w:sz w:val="20"/>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rPr>
      <w:rFonts w:ascii="Calibri" w:hAnsi="Calibri" w:eastAsia="宋体" w:cs="Times New Roman"/>
      <w:sz w:val="22"/>
      <w:lang w:val="en-US" w:eastAsia="zh-CN" w:bidi="ar-SA"/>
    </w:rPr>
  </w:style>
  <w:style w:type="paragraph" w:styleId="6">
    <w:name w:val="Body Text"/>
    <w:basedOn w:val="1"/>
    <w:next w:val="1"/>
    <w:qFormat/>
    <w:uiPriority w:val="99"/>
    <w:pPr>
      <w:spacing w:after="120"/>
    </w:pPr>
  </w:style>
  <w:style w:type="paragraph" w:styleId="7">
    <w:name w:val="Body Text Indent"/>
    <w:basedOn w:val="1"/>
    <w:next w:val="8"/>
    <w:autoRedefine/>
    <w:qFormat/>
    <w:uiPriority w:val="99"/>
    <w:pPr>
      <w:spacing w:after="120" w:line="360" w:lineRule="auto"/>
      <w:ind w:left="420" w:leftChars="200" w:firstLine="200" w:firstLineChars="200"/>
    </w:pPr>
    <w:rPr>
      <w:rFonts w:ascii="Verdana" w:hAnsi="Verdana"/>
      <w:sz w:val="24"/>
      <w:szCs w:val="28"/>
    </w:rPr>
  </w:style>
  <w:style w:type="paragraph" w:styleId="8">
    <w:name w:val="envelope return"/>
    <w:basedOn w:val="1"/>
    <w:autoRedefine/>
    <w:unhideWhenUsed/>
    <w:qFormat/>
    <w:uiPriority w:val="99"/>
    <w:pPr>
      <w:snapToGrid w:val="0"/>
    </w:pPr>
    <w:rPr>
      <w:rFonts w:ascii="Arial" w:hAnsi="Arial"/>
    </w:rPr>
  </w:style>
  <w:style w:type="paragraph" w:styleId="9">
    <w:name w:val="Block Text"/>
    <w:basedOn w:val="1"/>
    <w:autoRedefine/>
    <w:qFormat/>
    <w:uiPriority w:val="0"/>
    <w:pPr>
      <w:autoSpaceDE w:val="0"/>
      <w:autoSpaceDN w:val="0"/>
      <w:adjustRightInd w:val="0"/>
      <w:ind w:left="256" w:right="6" w:firstLine="624" w:firstLineChars="200"/>
    </w:pPr>
    <w:rPr>
      <w:rFonts w:eastAsia="仿宋_GB2312"/>
      <w:kern w:val="0"/>
      <w:sz w:val="28"/>
      <w:szCs w:val="20"/>
    </w:rPr>
  </w:style>
  <w:style w:type="paragraph" w:styleId="10">
    <w:name w:val="footer"/>
    <w:basedOn w:val="1"/>
    <w:link w:val="30"/>
    <w:qFormat/>
    <w:uiPriority w:val="0"/>
    <w:pPr>
      <w:tabs>
        <w:tab w:val="center" w:pos="4153"/>
        <w:tab w:val="right" w:pos="8306"/>
      </w:tabs>
      <w:snapToGrid w:val="0"/>
      <w:jc w:val="left"/>
    </w:pPr>
    <w:rPr>
      <w:sz w:val="18"/>
      <w:szCs w:val="18"/>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next w:val="1"/>
    <w:autoRedefine/>
    <w:qFormat/>
    <w:uiPriority w:val="0"/>
    <w:pPr>
      <w:ind w:firstLine="420"/>
    </w:pPr>
    <w:rPr>
      <w:rFonts w:ascii="Times New Roman" w:hAnsi="Times New Roman"/>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目录 11"/>
    <w:basedOn w:val="17"/>
    <w:next w:val="1"/>
    <w:autoRedefine/>
    <w:qFormat/>
    <w:uiPriority w:val="0"/>
    <w:pPr>
      <w:widowControl/>
      <w:spacing w:after="100" w:line="259" w:lineRule="auto"/>
      <w:jc w:val="left"/>
    </w:pPr>
    <w:rPr>
      <w:rFonts w:ascii="Calibri" w:hAnsi="Calibri"/>
      <w:sz w:val="22"/>
      <w:szCs w:val="22"/>
    </w:rPr>
  </w:style>
  <w:style w:type="paragraph" w:customStyle="1" w:styleId="17">
    <w:name w:val="正文11"/>
    <w:next w:val="18"/>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8">
    <w:name w:val="文本块1"/>
    <w:basedOn w:val="19"/>
    <w:next w:val="25"/>
    <w:autoRedefine/>
    <w:qFormat/>
    <w:uiPriority w:val="0"/>
    <w:pPr>
      <w:spacing w:after="120"/>
      <w:ind w:left="1440" w:right="1440"/>
    </w:pPr>
  </w:style>
  <w:style w:type="paragraph" w:customStyle="1" w:styleId="19">
    <w:name w:val="正文1"/>
    <w:basedOn w:val="20"/>
    <w:next w:val="23"/>
    <w:autoRedefine/>
    <w:qFormat/>
    <w:uiPriority w:val="0"/>
  </w:style>
  <w:style w:type="paragraph" w:customStyle="1" w:styleId="20">
    <w:name w:val="正文111"/>
    <w:next w:val="21"/>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1">
    <w:name w:val="正文文本缩进1"/>
    <w:basedOn w:val="17"/>
    <w:next w:val="22"/>
    <w:autoRedefine/>
    <w:qFormat/>
    <w:uiPriority w:val="0"/>
    <w:pPr>
      <w:spacing w:after="120"/>
      <w:ind w:left="420"/>
    </w:pPr>
  </w:style>
  <w:style w:type="paragraph" w:customStyle="1" w:styleId="22">
    <w:name w:val="寄信人地址1"/>
    <w:basedOn w:val="20"/>
    <w:autoRedefine/>
    <w:qFormat/>
    <w:uiPriority w:val="0"/>
    <w:rPr>
      <w:rFonts w:ascii="Arial" w:hAnsi="Arial"/>
    </w:rPr>
  </w:style>
  <w:style w:type="paragraph" w:customStyle="1" w:styleId="23">
    <w:name w:val="脚注文本1"/>
    <w:basedOn w:val="19"/>
    <w:next w:val="24"/>
    <w:autoRedefine/>
    <w:qFormat/>
    <w:uiPriority w:val="0"/>
    <w:pPr>
      <w:jc w:val="left"/>
    </w:pPr>
    <w:rPr>
      <w:rFonts w:ascii="宋体" w:eastAsia="Times New Roman"/>
      <w:sz w:val="18"/>
      <w:szCs w:val="18"/>
    </w:rPr>
  </w:style>
  <w:style w:type="paragraph" w:customStyle="1" w:styleId="24">
    <w:name w:val="索引 51"/>
    <w:basedOn w:val="19"/>
    <w:next w:val="19"/>
    <w:autoRedefine/>
    <w:qFormat/>
    <w:uiPriority w:val="0"/>
    <w:pPr>
      <w:ind w:left="798"/>
      <w:jc w:val="left"/>
    </w:pPr>
    <w:rPr>
      <w:rFonts w:ascii="Calibri" w:hAnsi="Calibri"/>
    </w:rPr>
  </w:style>
  <w:style w:type="paragraph" w:customStyle="1" w:styleId="25">
    <w:name w:val="标题 41"/>
    <w:basedOn w:val="19"/>
    <w:next w:val="17"/>
    <w:autoRedefine/>
    <w:qFormat/>
    <w:uiPriority w:val="0"/>
    <w:pPr>
      <w:keepNext/>
      <w:keepLines/>
      <w:spacing w:before="280" w:after="290" w:line="376" w:lineRule="auto"/>
      <w:outlineLvl w:val="3"/>
    </w:pPr>
    <w:rPr>
      <w:rFonts w:ascii="Cambria" w:hAnsi="Cambria"/>
      <w:b/>
      <w:bCs/>
      <w:sz w:val="28"/>
      <w:szCs w:val="28"/>
    </w:rPr>
  </w:style>
  <w:style w:type="paragraph" w:customStyle="1" w:styleId="26">
    <w:name w:val="首行缩进"/>
    <w:basedOn w:val="1"/>
    <w:next w:val="1"/>
    <w:autoRedefine/>
    <w:qFormat/>
    <w:uiPriority w:val="0"/>
    <w:pPr>
      <w:spacing w:line="360" w:lineRule="auto"/>
      <w:ind w:firstLine="480"/>
    </w:pPr>
    <w:rPr>
      <w:rFonts w:ascii="宋体" w:hAnsi="宋体" w:cs="宋体"/>
      <w:kern w:val="0"/>
      <w:sz w:val="24"/>
    </w:rPr>
  </w:style>
  <w:style w:type="paragraph" w:customStyle="1" w:styleId="27">
    <w:name w:val="正文12"/>
    <w:next w:val="23"/>
    <w:autoRedefine/>
    <w:qFormat/>
    <w:uiPriority w:val="0"/>
    <w:pPr>
      <w:widowControl w:val="0"/>
      <w:spacing w:line="360" w:lineRule="auto"/>
      <w:ind w:firstLine="723"/>
      <w:jc w:val="both"/>
    </w:pPr>
    <w:rPr>
      <w:rFonts w:ascii="Times New Roman" w:hAnsi="Times New Roman" w:eastAsia="宋体" w:cs="Times New Roman"/>
      <w:sz w:val="24"/>
      <w:szCs w:val="24"/>
      <w:lang w:val="en-US" w:eastAsia="zh-CN" w:bidi="ar-SA"/>
    </w:rPr>
  </w:style>
  <w:style w:type="paragraph" w:customStyle="1" w:styleId="28">
    <w:name w:val="Default"/>
    <w:autoRedefine/>
    <w:qFormat/>
    <w:uiPriority w:val="0"/>
    <w:pPr>
      <w:widowControl w:val="0"/>
      <w:ind w:firstLine="200" w:firstLineChars="200"/>
    </w:pPr>
    <w:rPr>
      <w:rFonts w:ascii="Times New Roman" w:hAnsi="Times New Roman" w:eastAsia="仿宋_GB2312" w:cs="宋体"/>
      <w:color w:val="000000"/>
      <w:sz w:val="24"/>
      <w:szCs w:val="24"/>
      <w:lang w:val="en-US" w:eastAsia="zh-CN" w:bidi="ar-SA"/>
    </w:rPr>
  </w:style>
  <w:style w:type="character" w:customStyle="1" w:styleId="29">
    <w:name w:val="页眉 字符"/>
    <w:basedOn w:val="15"/>
    <w:link w:val="11"/>
    <w:qFormat/>
    <w:uiPriority w:val="99"/>
    <w:rPr>
      <w:rFonts w:ascii="Times New Roman" w:hAnsi="Times New Roman" w:eastAsia="宋体" w:cs="Times New Roman"/>
      <w:kern w:val="2"/>
      <w:sz w:val="18"/>
      <w:szCs w:val="18"/>
    </w:rPr>
  </w:style>
  <w:style w:type="character" w:customStyle="1" w:styleId="30">
    <w:name w:val="页脚 字符"/>
    <w:basedOn w:val="15"/>
    <w:link w:val="10"/>
    <w:qFormat/>
    <w:uiPriority w:val="0"/>
    <w:rPr>
      <w:rFonts w:ascii="Times New Roman" w:hAnsi="Times New Roman" w:eastAsia="宋体" w:cs="Times New Roman"/>
      <w:kern w:val="2"/>
      <w:sz w:val="18"/>
      <w:szCs w:val="18"/>
    </w:rPr>
  </w:style>
  <w:style w:type="character" w:customStyle="1" w:styleId="31">
    <w:name w:val="标题 1 字符"/>
    <w:basedOn w:val="15"/>
    <w:link w:val="3"/>
    <w:qFormat/>
    <w:uiPriority w:val="0"/>
    <w:rPr>
      <w:b/>
      <w:bCs/>
      <w:kern w:val="44"/>
      <w:sz w:val="44"/>
      <w:szCs w:val="44"/>
    </w:rPr>
  </w:style>
  <w:style w:type="paragraph" w:customStyle="1" w:styleId="32">
    <w:name w:val="列表段落1"/>
    <w:basedOn w:val="1"/>
    <w:qFormat/>
    <w:uiPriority w:val="0"/>
    <w:pPr>
      <w:ind w:firstLine="420"/>
    </w:pPr>
    <w:rPr>
      <w:kern w:val="0"/>
      <w:szCs w:val="24"/>
    </w:rPr>
  </w:style>
  <w:style w:type="paragraph" w:customStyle="1" w:styleId="33">
    <w:name w:val="列表段落2"/>
    <w:basedOn w:val="27"/>
    <w:qFormat/>
    <w:uiPriority w:val="34"/>
    <w:pPr>
      <w:spacing w:line="240" w:lineRule="auto"/>
      <w:ind w:firstLine="420"/>
    </w:pPr>
    <w:rPr>
      <w:sz w:val="21"/>
    </w:rPr>
  </w:style>
  <w:style w:type="paragraph" w:customStyle="1" w:styleId="34">
    <w:name w:val="正文文本1"/>
    <w:basedOn w:val="27"/>
    <w:next w:val="1"/>
    <w:autoRedefine/>
    <w:qFormat/>
    <w:uiPriority w:val="0"/>
    <w:pPr>
      <w:spacing w:after="120" w:line="240" w:lineRule="auto"/>
      <w:ind w:firstLine="0"/>
    </w:pPr>
    <w:rPr>
      <w:rFonts w:ascii="Calibri" w:hAnsi="Calibri"/>
      <w:sz w:val="21"/>
    </w:rPr>
  </w:style>
  <w:style w:type="paragraph" w:customStyle="1" w:styleId="35">
    <w:name w:val="一级条标题"/>
    <w:basedOn w:val="1"/>
    <w:next w:val="1"/>
    <w:autoRedefine/>
    <w:qFormat/>
    <w:uiPriority w:val="0"/>
    <w:pPr>
      <w:widowControl/>
      <w:tabs>
        <w:tab w:val="left" w:pos="810"/>
        <w:tab w:val="left" w:pos="907"/>
        <w:tab w:val="left" w:pos="1265"/>
      </w:tabs>
      <w:ind w:left="907" w:hanging="907"/>
      <w:outlineLvl w:val="2"/>
    </w:pPr>
    <w:rPr>
      <w:rFonts w:ascii="黑体" w:hAnsi="宋体" w:eastAsia="黑体"/>
      <w:kern w:val="0"/>
      <w:sz w:val="20"/>
      <w:szCs w:val="20"/>
    </w:rPr>
  </w:style>
  <w:style w:type="character" w:customStyle="1" w:styleId="36">
    <w:name w:val="NormalCharacter"/>
    <w:semiHidden/>
    <w:qFormat/>
    <w:uiPriority w:val="0"/>
    <w:rPr>
      <w:sz w:val="28"/>
      <w:lang w:val="en-US" w:eastAsia="zh-CN" w:bidi="ar-SA"/>
    </w:rPr>
  </w:style>
  <w:style w:type="paragraph" w:customStyle="1" w:styleId="37">
    <w:name w:val="标题 11"/>
    <w:basedOn w:val="1"/>
    <w:next w:val="1"/>
    <w:qFormat/>
    <w:uiPriority w:val="0"/>
    <w:pPr>
      <w:keepNext/>
      <w:keepLines/>
      <w:spacing w:line="578" w:lineRule="auto"/>
      <w:jc w:val="center"/>
      <w:outlineLvl w:val="0"/>
    </w:pPr>
    <w:rPr>
      <w:rFonts w:ascii="Calibri" w:hAnsi="Calibri" w:eastAsia="新宋体"/>
      <w:b/>
      <w:bCs/>
      <w:kern w:val="0"/>
      <w:sz w:val="30"/>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9011</Words>
  <Characters>9528</Characters>
  <Lines>70</Lines>
  <Paragraphs>19</Paragraphs>
  <TotalTime>81</TotalTime>
  <ScaleCrop>false</ScaleCrop>
  <LinksUpToDate>false</LinksUpToDate>
  <CharactersWithSpaces>9637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2025-04-02T08:42:00Z</dcterms:created>
  <dc:creator>Administrator</dc:creator>
  <cp:lastModifiedBy>Sourire</cp:lastModifiedBy>
  <cp:lastPrinted>2025-04-16T07:28:00Z</cp:lastPrinted>
  <dcterms:modified xsi:type="dcterms:W3CDTF">2025-04-16T10:22:23Z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BC295F3BA84A45228652CFA994133745_13</vt:lpwstr>
  </property>
  <property fmtid="{D5CDD505-2E9C-101B-9397-08002B2CF9AE}" pid="4" name="KSOTemplateDocerSaveRecord">
    <vt:lpwstr>eyJoZGlkIjoiZjhlNWFlYjFlMDNjMjljNTk0NzgxNjk0MGI1NTQ4ZjAiLCJ1c2VySWQiOiIzMDM4NTU2ODgifQ==</vt:lpwstr>
  </property>
</Properties>
</file>