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FB4C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如有建议或意见，请以书面形式并加盖公章、注明联系人、联系方式，于202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  <w:szCs w:val="24"/>
        </w:rPr>
        <w:t>日17:00之前送至我单位，逾期不受理（如邮寄，202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sz w:val="24"/>
          <w:szCs w:val="24"/>
        </w:rPr>
        <w:t>日17:00之后到达本公司的邮件将不再受理）。</w:t>
      </w:r>
    </w:p>
    <w:p w14:paraId="2B7D6CE4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54B71350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24AFD3B7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74D8B4BB">
      <w:pPr>
        <w:rPr>
          <w:rFonts w:hint="eastAsia" w:asciiTheme="minorEastAsia" w:hAnsiTheme="minorEastAsia" w:eastAsiaTheme="minorEastAsia"/>
          <w:sz w:val="24"/>
          <w:szCs w:val="24"/>
        </w:rPr>
      </w:pPr>
      <w:bookmarkStart w:id="0" w:name="_GoBack"/>
      <w:bookmarkEnd w:id="0"/>
    </w:p>
    <w:p w14:paraId="216D233B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731B47B7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78741E95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5C543995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613A6D21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69CF2712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0EE98180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01E258CF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48682AD0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33F724C8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5FC74B98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4C9A41E8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2CE48D28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22B32936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6B7A9D75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03F4C435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4EA5390D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6E9D6223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68274174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60A9477C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4C38845B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4A851B1E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5837CAF5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57939E49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08AD6CC2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262E7E0B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78A99757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2DC59DF7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6F16C5BD">
      <w:pPr>
        <w:pStyle w:val="10"/>
        <w:rPr>
          <w:rFonts w:hint="eastAsia" w:asciiTheme="minorEastAsia" w:hAnsiTheme="minorEastAsia" w:eastAsiaTheme="minorEastAsia"/>
          <w:sz w:val="24"/>
          <w:szCs w:val="24"/>
        </w:rPr>
      </w:pPr>
    </w:p>
    <w:p w14:paraId="7F282004">
      <w:pPr>
        <w:pStyle w:val="25"/>
        <w:pageBreakBefore/>
        <w:spacing w:line="360" w:lineRule="auto"/>
        <w:ind w:firstLine="723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</w:rPr>
        <w:t>项目要求（采购需求）</w:t>
      </w:r>
    </w:p>
    <w:p w14:paraId="576E90F8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一、项目名称：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徐州市中医院新院工程测绘项目</w:t>
      </w:r>
    </w:p>
    <w:p w14:paraId="44267201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二、项目预算：</w:t>
      </w:r>
    </w:p>
    <w:p w14:paraId="42D66F10">
      <w:pPr>
        <w:keepNext w:val="0"/>
        <w:keepLines w:val="0"/>
        <w:pageBreakBefore w:val="0"/>
        <w:widowControl w:val="0"/>
        <w:spacing w:line="360" w:lineRule="auto"/>
        <w:ind w:right="0" w:firstLine="48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本项目不接受超过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70万元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的报价，报价包括全部费用，采购人不再支付报价以外的任何费用。</w:t>
      </w:r>
    </w:p>
    <w:p w14:paraId="46B6224A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三、项目概况：</w:t>
      </w:r>
    </w:p>
    <w:p w14:paraId="2BB4C711">
      <w:pPr>
        <w:keepNext w:val="0"/>
        <w:keepLines w:val="0"/>
        <w:pageBreakBefore w:val="0"/>
        <w:widowControl w:val="0"/>
        <w:spacing w:line="360" w:lineRule="auto"/>
        <w:ind w:right="0" w:firstLine="48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徐州市中医院新院工程是徐州市重点民生项目，旨在放大我市高端优质医疗资源、提升我市医疗服务整体水平的重要举措，也是打造区域性医疗中心、增强我市医疗服务辐射带动能力的重要载体。</w:t>
      </w:r>
    </w:p>
    <w:p w14:paraId="3F303273">
      <w:pPr>
        <w:keepNext w:val="0"/>
        <w:keepLines w:val="0"/>
        <w:pageBreakBefore w:val="0"/>
        <w:widowControl w:val="0"/>
        <w:spacing w:line="360" w:lineRule="auto"/>
        <w:ind w:right="0" w:firstLine="48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徐州市中医院新院工程位于云龙区湘江路以北、沟棠路以西交叉地块，占地约150.15亩；规划建筑总面积30万平方米。其中地上建筑面积约22万平方米，地下8万平方米；包含5层门急诊医技楼，25层病房综合楼。</w:t>
      </w:r>
    </w:p>
    <w:p w14:paraId="699B84DE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测绘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内容</w:t>
      </w:r>
    </w:p>
    <w:p w14:paraId="20E50450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徐州市中医院新院工程测绘项目包括规划核实/土地核验、人防竣工测绘、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房产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测绘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。</w:t>
      </w:r>
    </w:p>
    <w:p w14:paraId="65A25815">
      <w:pPr>
        <w:keepNext w:val="0"/>
        <w:keepLines w:val="0"/>
        <w:pageBreakBefore w:val="0"/>
        <w:widowControl w:val="0"/>
        <w:spacing w:line="360" w:lineRule="auto"/>
        <w:ind w:right="0" w:firstLine="480" w:firstLineChars="200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 w:bidi="ar-SA"/>
        </w:rPr>
        <w:t>测绘清单</w:t>
      </w:r>
    </w:p>
    <w:tbl>
      <w:tblPr>
        <w:tblStyle w:val="8"/>
        <w:tblW w:w="41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352"/>
        <w:gridCol w:w="1735"/>
      </w:tblGrid>
      <w:tr w14:paraId="0E3C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pct"/>
            <w:vAlign w:val="center"/>
          </w:tcPr>
          <w:p w14:paraId="4605DA9F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类型</w:t>
            </w:r>
          </w:p>
        </w:tc>
        <w:tc>
          <w:tcPr>
            <w:tcW w:w="2347" w:type="pct"/>
            <w:vAlign w:val="center"/>
          </w:tcPr>
          <w:p w14:paraId="6844FC06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215" w:type="pct"/>
            <w:vAlign w:val="center"/>
          </w:tcPr>
          <w:p w14:paraId="7B89BC9E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单位</w:t>
            </w:r>
          </w:p>
        </w:tc>
      </w:tr>
      <w:tr w14:paraId="1F19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pct"/>
            <w:vAlign w:val="center"/>
          </w:tcPr>
          <w:p w14:paraId="69A3CDA5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建筑单体</w:t>
            </w:r>
          </w:p>
        </w:tc>
        <w:tc>
          <w:tcPr>
            <w:tcW w:w="2347" w:type="pct"/>
            <w:vAlign w:val="center"/>
          </w:tcPr>
          <w:p w14:paraId="5FCFCFAC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15" w:type="pct"/>
            <w:vAlign w:val="center"/>
          </w:tcPr>
          <w:p w14:paraId="6B6F1B97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幢</w:t>
            </w:r>
          </w:p>
        </w:tc>
      </w:tr>
      <w:tr w14:paraId="30AD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pct"/>
            <w:vAlign w:val="center"/>
          </w:tcPr>
          <w:p w14:paraId="284095F7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建筑面积</w:t>
            </w:r>
          </w:p>
        </w:tc>
        <w:tc>
          <w:tcPr>
            <w:tcW w:w="2347" w:type="pct"/>
            <w:vAlign w:val="center"/>
          </w:tcPr>
          <w:p w14:paraId="1D9A90BE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300000</w:t>
            </w:r>
          </w:p>
        </w:tc>
        <w:tc>
          <w:tcPr>
            <w:tcW w:w="1215" w:type="pct"/>
            <w:vAlign w:val="center"/>
          </w:tcPr>
          <w:p w14:paraId="4D909B86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平方米</w:t>
            </w:r>
          </w:p>
        </w:tc>
      </w:tr>
      <w:tr w14:paraId="743FF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7" w:type="pct"/>
            <w:vAlign w:val="center"/>
          </w:tcPr>
          <w:p w14:paraId="7A298FB8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人防面积</w:t>
            </w:r>
          </w:p>
        </w:tc>
        <w:tc>
          <w:tcPr>
            <w:tcW w:w="2347" w:type="pct"/>
            <w:vAlign w:val="center"/>
          </w:tcPr>
          <w:p w14:paraId="343EFBCD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20000</w:t>
            </w:r>
          </w:p>
        </w:tc>
        <w:tc>
          <w:tcPr>
            <w:tcW w:w="1215" w:type="pct"/>
            <w:vAlign w:val="center"/>
          </w:tcPr>
          <w:p w14:paraId="2DCC24F9">
            <w:pPr>
              <w:keepNext w:val="0"/>
              <w:keepLines w:val="0"/>
              <w:pageBreakBefore w:val="0"/>
              <w:widowControl w:val="0"/>
              <w:spacing w:line="360" w:lineRule="auto"/>
              <w:ind w:right="0" w:firstLine="482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平方米</w:t>
            </w:r>
          </w:p>
        </w:tc>
      </w:tr>
    </w:tbl>
    <w:p w14:paraId="2FF6782F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2.具体要求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</w:p>
    <w:p w14:paraId="256FF70C">
      <w:pPr>
        <w:numPr>
          <w:ilvl w:val="0"/>
          <w:numId w:val="0"/>
        </w:numPr>
        <w:bidi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规划核实/土地核验</w:t>
      </w:r>
    </w:p>
    <w:p w14:paraId="19CECA39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建（构）筑物平面位置、高程、高度、建筑层数、配套和服务设施以及各种地物地貌的测绘；建（构）筑物面积测算与统计；绿地面积及停车位数量测算与统计；核实土地合同（划拨）主体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用地范围、实际用地面积、土地用途以及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出让合同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划拨决定书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的履行情况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各种图件的编绘和成果的整理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0EBE142B">
      <w:pPr>
        <w:numPr>
          <w:ilvl w:val="0"/>
          <w:numId w:val="0"/>
        </w:numPr>
        <w:bidi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人防竣工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  <w:t>测绘</w:t>
      </w:r>
    </w:p>
    <w:p w14:paraId="3FF8DA32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调查人防工程基本情况；采集人防工程地理坐标、高程；防护单元面积测量；附属建筑面积测量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0C98DBAE">
      <w:pPr>
        <w:numPr>
          <w:ilvl w:val="0"/>
          <w:numId w:val="0"/>
        </w:numPr>
        <w:bidi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（3）房产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测绘</w:t>
      </w:r>
    </w:p>
    <w:p w14:paraId="4F00525C">
      <w:p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按照主管部门技术要求，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进行房产测量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。</w:t>
      </w:r>
    </w:p>
    <w:p w14:paraId="764986F8">
      <w:pPr>
        <w:numPr>
          <w:ilvl w:val="0"/>
          <w:numId w:val="0"/>
        </w:numPr>
        <w:bidi w:val="0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地籍调查</w:t>
      </w:r>
    </w:p>
    <w:p w14:paraId="0BF8C872">
      <w:pPr>
        <w:bidi w:val="0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按照主管部门技术要求,进行地籍调查。</w:t>
      </w:r>
    </w:p>
    <w:p w14:paraId="4DE7CAD3">
      <w:pPr>
        <w:bidi w:val="0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3.服务期限：自项目竣工验收合格之日起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60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日历天内提交全部成果。</w:t>
      </w:r>
    </w:p>
    <w:p w14:paraId="534B0BE4">
      <w:pPr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四、成果提交</w:t>
      </w:r>
    </w:p>
    <w:p w14:paraId="186E9532"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规划和土地核实测量成果资料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4A495364"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2.人防竣工测量报告；</w:t>
      </w:r>
    </w:p>
    <w:p w14:paraId="4C2CFCB7"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3.房产测量报告；</w:t>
      </w:r>
    </w:p>
    <w:p w14:paraId="577CD384"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4.地籍调查表。</w:t>
      </w:r>
    </w:p>
    <w:p w14:paraId="3D750598">
      <w:pPr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五、相关技术规范</w:t>
      </w:r>
    </w:p>
    <w:p w14:paraId="2E6DB407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《建筑工程建筑面积计算规范》（GB/T 50353-2013）</w:t>
      </w:r>
    </w:p>
    <w:p w14:paraId="10E72B74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《国家基本比例尺地图图式第1部分：1:500 1:1000 1:2000地形图图式》（GB/T 20257.1-2017）</w:t>
      </w:r>
    </w:p>
    <w:p w14:paraId="00898654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城市测量规范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》（</w:t>
      </w:r>
      <w:r>
        <w:rPr>
          <w:rFonts w:hint="eastAsia" w:ascii="宋体" w:hAnsi="宋体" w:eastAsia="宋体" w:cs="宋体"/>
          <w:sz w:val="24"/>
          <w:szCs w:val="24"/>
        </w:rPr>
        <w:t>CJJ/T8-2011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0E7DF613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《卫星定位城市测量技术标准》（CJJ/T 73-2019）</w:t>
      </w:r>
    </w:p>
    <w:p w14:paraId="0AF2D178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《徐州市区建设工程项目“多测合一”操作细则（试行）》</w:t>
      </w:r>
    </w:p>
    <w:p w14:paraId="5DE22EA3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《工程建设项目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“多测合一”</w:t>
      </w:r>
      <w:r>
        <w:rPr>
          <w:rFonts w:hint="eastAsia" w:ascii="宋体" w:hAnsi="宋体" w:eastAsia="宋体" w:cs="宋体"/>
          <w:sz w:val="24"/>
          <w:szCs w:val="24"/>
        </w:rPr>
        <w:t>技术规程》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DB32／T 4405-2022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66E1EDC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《徐州市建设项目人防工程竣工测绘技术指南（试行）》</w:t>
      </w:r>
    </w:p>
    <w:p w14:paraId="1CCDF22F">
      <w:pPr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、验收要求</w:t>
      </w:r>
    </w:p>
    <w:p w14:paraId="3566B9B5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项目完成后将由采购人负责组织验收。</w:t>
      </w:r>
    </w:p>
    <w:p w14:paraId="574FDA8B">
      <w:pPr>
        <w:numPr>
          <w:ilvl w:val="0"/>
          <w:numId w:val="0"/>
        </w:numPr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验收标准：成果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报告</w:t>
      </w:r>
      <w:r>
        <w:rPr>
          <w:rFonts w:hint="eastAsia" w:ascii="宋体" w:hAnsi="宋体" w:eastAsia="宋体" w:cs="宋体"/>
          <w:sz w:val="24"/>
          <w:szCs w:val="24"/>
        </w:rPr>
        <w:t>符合徐州市自然资源和规划局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等相关部门对成果报告的</w:t>
      </w:r>
      <w:r>
        <w:rPr>
          <w:rFonts w:hint="eastAsia" w:ascii="宋体" w:hAnsi="宋体" w:eastAsia="宋体" w:cs="宋体"/>
          <w:sz w:val="24"/>
          <w:szCs w:val="24"/>
        </w:rPr>
        <w:t>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131EE1B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如中标人未能按时完成项目内容或验收不合格、相关要求不合格、达不到采购文件要求或投标文件中所承诺的标准，中标单位将无偿给予重测或采取补救措施，以达到质量要求且不得影响最终完成交付时间。</w:t>
      </w:r>
    </w:p>
    <w:p w14:paraId="54250B8A">
      <w:pPr>
        <w:spacing w:line="4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、其他要求</w:t>
      </w:r>
    </w:p>
    <w:p w14:paraId="28178079">
      <w:pPr>
        <w:keepNext w:val="0"/>
        <w:keepLines w:val="0"/>
        <w:pageBreakBefore w:val="0"/>
        <w:widowControl w:val="0"/>
        <w:spacing w:line="360" w:lineRule="auto"/>
        <w:ind w:right="0" w:firstLine="482"/>
        <w:jc w:val="left"/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中标人保证所提供服务涉及到的知识产权是合法取得，并享有完整的知识产权，所产生的所有与本项目相关的，无论以任何载体形式出现的工作成果，包括本次开发所有源代码，归采购人所有。不会因为需方的使用而被责令停止使用、追偿或要求赔偿损失，如出现此情况，一切经济和法律责任均由供方承担。</w:t>
      </w:r>
    </w:p>
    <w:p w14:paraId="3C7269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92407"/>
    <w:rsid w:val="04EA22CB"/>
    <w:rsid w:val="0AA74DB3"/>
    <w:rsid w:val="0D585EC5"/>
    <w:rsid w:val="0DE545B5"/>
    <w:rsid w:val="15CC134D"/>
    <w:rsid w:val="162149FA"/>
    <w:rsid w:val="18CD21AD"/>
    <w:rsid w:val="1B186B16"/>
    <w:rsid w:val="1C32009D"/>
    <w:rsid w:val="219A0DB5"/>
    <w:rsid w:val="21CB3A2A"/>
    <w:rsid w:val="24AA385A"/>
    <w:rsid w:val="26233A75"/>
    <w:rsid w:val="29166E86"/>
    <w:rsid w:val="2AD03C74"/>
    <w:rsid w:val="2AFE7321"/>
    <w:rsid w:val="2B9F00AB"/>
    <w:rsid w:val="2F083AEA"/>
    <w:rsid w:val="2FA03A48"/>
    <w:rsid w:val="2FC11140"/>
    <w:rsid w:val="31822277"/>
    <w:rsid w:val="36D01AF4"/>
    <w:rsid w:val="42D2202F"/>
    <w:rsid w:val="43890998"/>
    <w:rsid w:val="44C82B7F"/>
    <w:rsid w:val="4523505F"/>
    <w:rsid w:val="48630BA8"/>
    <w:rsid w:val="4AC9433B"/>
    <w:rsid w:val="51333AD0"/>
    <w:rsid w:val="55124B31"/>
    <w:rsid w:val="57E90CD2"/>
    <w:rsid w:val="59660D27"/>
    <w:rsid w:val="5A30344B"/>
    <w:rsid w:val="5EE505B1"/>
    <w:rsid w:val="5F833F67"/>
    <w:rsid w:val="61851843"/>
    <w:rsid w:val="67217D1F"/>
    <w:rsid w:val="68475732"/>
    <w:rsid w:val="696712DD"/>
    <w:rsid w:val="69AB6822"/>
    <w:rsid w:val="6AB122F3"/>
    <w:rsid w:val="6D2C76A3"/>
    <w:rsid w:val="6DA44441"/>
    <w:rsid w:val="70E2242A"/>
    <w:rsid w:val="71A35D6E"/>
    <w:rsid w:val="77E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1"/>
    <w:basedOn w:val="3"/>
    <w:next w:val="1"/>
    <w:qFormat/>
    <w:uiPriority w:val="0"/>
    <w:pPr>
      <w:spacing w:line="360" w:lineRule="auto"/>
      <w:ind w:left="630" w:right="-609" w:firstLine="420"/>
    </w:pPr>
    <w:rPr>
      <w:rFonts w:ascii="仿宋_GB2312" w:eastAsia="仿宋_GB2312"/>
      <w:sz w:val="20"/>
      <w:szCs w:val="20"/>
    </w:rPr>
  </w:style>
  <w:style w:type="paragraph" w:customStyle="1" w:styleId="3">
    <w:name w:val="正文1111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lock Text"/>
    <w:basedOn w:val="1"/>
    <w:next w:val="1"/>
    <w:qFormat/>
    <w:uiPriority w:val="6"/>
    <w:pPr>
      <w:ind w:left="256" w:right="6" w:firstLine="624"/>
    </w:pPr>
    <w:rPr>
      <w:rFonts w:eastAsia="仿宋"/>
      <w:sz w:val="28"/>
    </w:rPr>
  </w:style>
  <w:style w:type="paragraph" w:styleId="6">
    <w:name w:val="Message Header"/>
    <w:basedOn w:val="1"/>
    <w:next w:val="4"/>
    <w:qFormat/>
    <w:uiPriority w:val="99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pct20" w:color="auto" w:fill="auto"/>
      <w:kinsoku w:val="0"/>
      <w:overflowPunct w:val="0"/>
      <w:autoSpaceDE w:val="0"/>
      <w:autoSpaceDN w:val="0"/>
    </w:pPr>
    <w:rPr>
      <w:rFonts w:ascii="Arial" w:hAnsi="Arial"/>
      <w:color w:val="000000"/>
      <w:szCs w:val="2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10">
    <w:name w:val="正文文本11"/>
    <w:basedOn w:val="11"/>
    <w:next w:val="23"/>
    <w:qFormat/>
    <w:uiPriority w:val="0"/>
    <w:pPr>
      <w:spacing w:after="120"/>
    </w:pPr>
  </w:style>
  <w:style w:type="paragraph" w:customStyle="1" w:styleId="11">
    <w:name w:val="正文11"/>
    <w:next w:val="12"/>
    <w:qFormat/>
    <w:uiPriority w:val="0"/>
    <w:pPr>
      <w:jc w:val="both"/>
    </w:pPr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12">
    <w:name w:val="文本块1"/>
    <w:basedOn w:val="13"/>
    <w:next w:val="19"/>
    <w:qFormat/>
    <w:uiPriority w:val="0"/>
    <w:pPr>
      <w:ind w:left="256" w:right="6" w:firstLine="624"/>
    </w:pPr>
    <w:rPr>
      <w:rFonts w:eastAsia="仿宋_GB2312"/>
      <w:sz w:val="28"/>
    </w:rPr>
  </w:style>
  <w:style w:type="paragraph" w:customStyle="1" w:styleId="13">
    <w:name w:val="正文1"/>
    <w:basedOn w:val="14"/>
    <w:next w:val="1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112"/>
    <w:next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5">
    <w:name w:val="正文首行缩进1"/>
    <w:basedOn w:val="16"/>
    <w:next w:val="17"/>
    <w:qFormat/>
    <w:uiPriority w:val="0"/>
    <w:pPr>
      <w:widowControl w:val="0"/>
      <w:spacing w:after="120"/>
      <w:ind w:firstLine="42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6">
    <w:name w:val="正文文本111"/>
    <w:basedOn w:val="1"/>
    <w:next w:val="1"/>
    <w:qFormat/>
    <w:uiPriority w:val="0"/>
    <w:rPr>
      <w:rFonts w:ascii="Verdana" w:hAnsi="Verdana"/>
      <w:sz w:val="24"/>
      <w:szCs w:val="18"/>
    </w:rPr>
  </w:style>
  <w:style w:type="paragraph" w:customStyle="1" w:styleId="17">
    <w:name w:val="正文首行缩进 211"/>
    <w:basedOn w:val="18"/>
    <w:next w:val="14"/>
    <w:qFormat/>
    <w:uiPriority w:val="0"/>
    <w:pPr>
      <w:ind w:firstLine="420"/>
    </w:pPr>
    <w:rPr>
      <w:sz w:val="24"/>
    </w:rPr>
  </w:style>
  <w:style w:type="paragraph" w:customStyle="1" w:styleId="18">
    <w:name w:val="正文文本缩进11"/>
    <w:basedOn w:val="14"/>
    <w:qFormat/>
    <w:uiPriority w:val="0"/>
    <w:pPr>
      <w:spacing w:after="120"/>
      <w:ind w:left="420"/>
    </w:pPr>
    <w:rPr>
      <w:rFonts w:ascii="Calibri" w:hAnsi="Calibri" w:eastAsia="宋体" w:cs="Times New Roman"/>
      <w:sz w:val="20"/>
      <w:szCs w:val="20"/>
      <w:lang w:val="en-US" w:eastAsia="zh-CN" w:bidi="ar-SA"/>
    </w:rPr>
  </w:style>
  <w:style w:type="paragraph" w:customStyle="1" w:styleId="19">
    <w:name w:val="标题 41"/>
    <w:basedOn w:val="20"/>
    <w:next w:val="1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20">
    <w:name w:val="正文12"/>
    <w:next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1">
    <w:name w:val="脚注文本1"/>
    <w:next w:val="22"/>
    <w:qFormat/>
    <w:uiPriority w:val="0"/>
    <w:rPr>
      <w:rFonts w:ascii="宋体" w:hAnsi="Times New Roman" w:eastAsia="Times New Roman" w:cs="Times New Roman"/>
      <w:sz w:val="18"/>
      <w:szCs w:val="18"/>
      <w:lang w:val="en-US" w:eastAsia="zh-CN" w:bidi="ar-SA"/>
    </w:rPr>
  </w:style>
  <w:style w:type="paragraph" w:customStyle="1" w:styleId="22">
    <w:name w:val="索引 51"/>
    <w:next w:val="13"/>
    <w:qFormat/>
    <w:uiPriority w:val="0"/>
    <w:pPr>
      <w:widowControl w:val="0"/>
      <w:ind w:left="798"/>
      <w:jc w:val="left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23">
    <w:name w:val="一级条标题"/>
    <w:next w:val="24"/>
    <w:qFormat/>
    <w:uiPriority w:val="0"/>
    <w:pPr>
      <w:widowControl w:val="0"/>
      <w:tabs>
        <w:tab w:val="left" w:pos="810"/>
        <w:tab w:val="left" w:pos="907"/>
        <w:tab w:val="left" w:pos="1265"/>
      </w:tabs>
      <w:spacing w:before="0" w:after="0"/>
      <w:ind w:left="907" w:hanging="907"/>
      <w:jc w:val="both"/>
      <w:outlineLvl w:val="2"/>
    </w:pPr>
    <w:rPr>
      <w:rFonts w:ascii="黑体" w:hAnsi="宋体" w:eastAsia="黑体" w:cs="Times New Roman"/>
      <w:sz w:val="20"/>
      <w:szCs w:val="20"/>
      <w:lang w:val="en-US" w:eastAsia="zh-CN" w:bidi="ar-SA"/>
    </w:rPr>
  </w:style>
  <w:style w:type="paragraph" w:customStyle="1" w:styleId="24">
    <w:name w:val="段"/>
    <w:next w:val="13"/>
    <w:qFormat/>
    <w:uiPriority w:val="0"/>
    <w:pPr>
      <w:ind w:firstLine="200"/>
    </w:pPr>
    <w:rPr>
      <w:rFonts w:hint="eastAsia" w:ascii="宋体" w:hAnsi="Times New Roman" w:eastAsia="宋体" w:cs="Times New Roman"/>
      <w:lang w:val="en-US" w:eastAsia="zh-CN" w:bidi="ar-SA"/>
    </w:rPr>
  </w:style>
  <w:style w:type="paragraph" w:customStyle="1" w:styleId="25">
    <w:name w:val="正文111"/>
    <w:next w:val="2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6">
    <w:name w:val="正文文本缩进1"/>
    <w:basedOn w:val="11"/>
    <w:next w:val="27"/>
    <w:unhideWhenUsed/>
    <w:qFormat/>
    <w:uiPriority w:val="99"/>
    <w:pPr>
      <w:widowControl w:val="0"/>
      <w:spacing w:line="360" w:lineRule="auto"/>
      <w:ind w:firstLine="425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7">
    <w:name w:val="寄信人地址1"/>
    <w:unhideWhenUsed/>
    <w:qFormat/>
    <w:uiPriority w:val="99"/>
    <w:pPr>
      <w:widowControl w:val="0"/>
      <w:jc w:val="both"/>
    </w:pPr>
    <w:rPr>
      <w:rFonts w:ascii="Arial" w:hAnsi="Arial" w:eastAsia="宋体" w:cs="Times New Roman"/>
      <w:sz w:val="21"/>
      <w:szCs w:val="24"/>
      <w:lang w:val="en-US" w:eastAsia="zh-CN" w:bidi="ar-SA"/>
    </w:rPr>
  </w:style>
  <w:style w:type="paragraph" w:customStyle="1" w:styleId="28">
    <w:name w:val="*正文"/>
    <w:basedOn w:val="1"/>
    <w:qFormat/>
    <w:uiPriority w:val="0"/>
    <w:pPr>
      <w:jc w:val="both"/>
    </w:pPr>
    <w:rPr>
      <w:rFonts w:ascii="Calibri" w:hAnsi="Calibri" w:cs="Times New Roman"/>
    </w:rPr>
  </w:style>
  <w:style w:type="paragraph" w:customStyle="1" w:styleId="29">
    <w:name w:val="正文首行缩进 21"/>
    <w:next w:val="20"/>
    <w:qFormat/>
    <w:uiPriority w:val="0"/>
    <w:pPr>
      <w:widowControl w:val="0"/>
      <w:spacing w:line="360" w:lineRule="auto"/>
      <w:ind w:firstLine="420"/>
      <w:jc w:val="both"/>
    </w:pPr>
    <w:rPr>
      <w:rFonts w:ascii="宋体" w:hAnsi="宋体" w:eastAsia="宋体" w:cs="Times New Roman"/>
      <w:sz w:val="20"/>
      <w:szCs w:val="20"/>
      <w:lang w:val="en-US" w:eastAsia="zh-CN" w:bidi="ar-SA"/>
    </w:rPr>
  </w:style>
  <w:style w:type="paragraph" w:customStyle="1" w:styleId="30">
    <w:name w:val="索引 41"/>
    <w:next w:val="13"/>
    <w:qFormat/>
    <w:uiPriority w:val="0"/>
    <w:pPr>
      <w:widowControl w:val="0"/>
      <w:ind w:left="600"/>
      <w:jc w:val="both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31">
    <w:name w:val="章标题"/>
    <w:next w:val="1"/>
    <w:qFormat/>
    <w:uiPriority w:val="0"/>
    <w:pPr>
      <w:widowControl w:val="0"/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2">
    <w:name w:val="文本块11"/>
    <w:qFormat/>
    <w:uiPriority w:val="6"/>
    <w:pPr>
      <w:widowControl w:val="0"/>
      <w:ind w:left="256" w:right="6" w:firstLine="624"/>
      <w:jc w:val="both"/>
    </w:pPr>
    <w:rPr>
      <w:rFonts w:ascii="Times New Roman" w:hAnsi="Times New Roman" w:eastAsia="仿宋" w:cs="Times New Roman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1214</Words>
  <Characters>1336</Characters>
  <Lines>0</Lines>
  <Paragraphs>0</Paragraphs>
  <TotalTime>10</TotalTime>
  <ScaleCrop>false</ScaleCrop>
  <LinksUpToDate>false</LinksUpToDate>
  <CharactersWithSpaces>1342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9</cp:lastModifiedBy>
  <dcterms:modified xsi:type="dcterms:W3CDTF">2025-04-15T01:44:24Z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49FAC2D6BE004D13BBC263D4BB1ACFA0_13</vt:lpwstr>
  </property>
  <property fmtid="{D5CDD505-2E9C-101B-9397-08002B2CF9AE}" pid="4" name="KSOTemplateDocerSaveRecord">
    <vt:lpwstr>eyJoZGlkIjoiZjNlNmQ4ZWViMDEyZWY4Y2Y5NmRlYTBlNzAzZGZhZDIiLCJ1c2VySWQiOiI0MDQ0MjEwMTgifQ==</vt:lpwstr>
  </property>
</Properties>
</file>