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351369A">
      <w:pPr>
        <w:pageBreakBefore w:val="0"/>
        <w:kinsoku/>
        <w:wordWrap/>
        <w:overflowPunct/>
        <w:topLinePunct w:val="0"/>
        <w:autoSpaceDE/>
        <w:autoSpaceDN/>
        <w:bidi w:val="0"/>
        <w:adjustRightInd/>
        <w:snapToGrid/>
        <w:spacing w:beforeAutospacing="0" w:afterAutospacing="0" w:line="440" w:lineRule="exact"/>
        <w:ind w:left="0" w:right="0" w:firstLine="786" w:firstLineChars="200"/>
        <w:jc w:val="center"/>
        <w:textAlignment w:val="auto"/>
        <w:rPr>
          <w:rFonts w:hint="default" w:ascii="仿宋" w:hAnsi="仿宋" w:eastAsia="仿宋" w:cs="仿宋"/>
          <w:b/>
          <w:spacing w:val="76"/>
          <w:sz w:val="24"/>
          <w:szCs w:val="24"/>
          <w:lang w:val="en-US" w:eastAsia="zh-CN"/>
        </w:rPr>
      </w:pPr>
      <w:r>
        <w:rPr>
          <w:rFonts w:hint="eastAsia" w:ascii="仿宋" w:hAnsi="仿宋" w:eastAsia="仿宋" w:cs="仿宋"/>
          <w:b/>
          <w:spacing w:val="76"/>
          <w:sz w:val="24"/>
          <w:szCs w:val="24"/>
          <w:lang w:val="en-US" w:eastAsia="zh-CN"/>
        </w:rPr>
        <w:t xml:space="preserve">                                                                                                        </w:t>
      </w:r>
    </w:p>
    <w:p w14:paraId="13C669A8">
      <w:pPr>
        <w:pageBreakBefore w:val="0"/>
        <w:kinsoku/>
        <w:wordWrap/>
        <w:overflowPunct/>
        <w:topLinePunct w:val="0"/>
        <w:autoSpaceDE/>
        <w:autoSpaceDN/>
        <w:bidi w:val="0"/>
        <w:adjustRightInd/>
        <w:snapToGrid/>
        <w:spacing w:beforeAutospacing="0" w:afterAutospacing="0" w:line="440" w:lineRule="exact"/>
        <w:ind w:left="0" w:right="0" w:firstLine="786" w:firstLineChars="200"/>
        <w:textAlignment w:val="auto"/>
        <w:rPr>
          <w:rFonts w:hint="eastAsia" w:ascii="仿宋" w:hAnsi="仿宋" w:eastAsia="仿宋" w:cs="仿宋"/>
          <w:b/>
          <w:spacing w:val="76"/>
          <w:sz w:val="24"/>
          <w:szCs w:val="24"/>
        </w:rPr>
      </w:pPr>
    </w:p>
    <w:p w14:paraId="2290681F">
      <w:pPr>
        <w:pageBreakBefore w:val="0"/>
        <w:kinsoku/>
        <w:wordWrap/>
        <w:overflowPunct/>
        <w:topLinePunct w:val="0"/>
        <w:autoSpaceDE/>
        <w:autoSpaceDN/>
        <w:bidi w:val="0"/>
        <w:adjustRightInd/>
        <w:snapToGrid/>
        <w:spacing w:beforeAutospacing="0" w:afterAutospacing="0" w:line="440" w:lineRule="exact"/>
        <w:ind w:left="0" w:right="0" w:firstLine="786" w:firstLineChars="200"/>
        <w:jc w:val="center"/>
        <w:textAlignment w:val="auto"/>
        <w:rPr>
          <w:rFonts w:hint="eastAsia" w:ascii="仿宋" w:hAnsi="仿宋" w:eastAsia="仿宋" w:cs="仿宋"/>
          <w:b/>
          <w:spacing w:val="76"/>
          <w:sz w:val="24"/>
          <w:szCs w:val="24"/>
        </w:rPr>
      </w:pPr>
    </w:p>
    <w:p w14:paraId="5C17CA19">
      <w:pPr>
        <w:pStyle w:val="14"/>
        <w:pageBreakBefore w:val="0"/>
        <w:kinsoku/>
        <w:wordWrap/>
        <w:overflowPunct/>
        <w:topLinePunct w:val="0"/>
        <w:autoSpaceDE/>
        <w:autoSpaceDN/>
        <w:bidi w:val="0"/>
        <w:adjustRightInd/>
        <w:snapToGrid/>
        <w:spacing w:beforeAutospacing="0" w:afterAutospacing="0" w:line="440" w:lineRule="exact"/>
        <w:ind w:left="0" w:right="0" w:firstLine="1750" w:firstLineChars="200"/>
        <w:jc w:val="center"/>
        <w:textAlignment w:val="auto"/>
        <w:rPr>
          <w:rFonts w:hint="eastAsia" w:ascii="仿宋" w:hAnsi="仿宋" w:eastAsia="仿宋" w:cs="仿宋"/>
          <w:b/>
          <w:spacing w:val="76"/>
          <w:sz w:val="72"/>
          <w:szCs w:val="72"/>
          <w:lang w:val="en-US" w:eastAsia="zh-CN"/>
        </w:rPr>
      </w:pPr>
    </w:p>
    <w:p w14:paraId="1F3016F9">
      <w:pPr>
        <w:pStyle w:val="14"/>
        <w:pageBreakBefore w:val="0"/>
        <w:kinsoku/>
        <w:wordWrap/>
        <w:overflowPunct/>
        <w:topLinePunct w:val="0"/>
        <w:autoSpaceDE/>
        <w:autoSpaceDN/>
        <w:bidi w:val="0"/>
        <w:adjustRightInd/>
        <w:snapToGrid/>
        <w:spacing w:beforeAutospacing="0" w:afterAutospacing="0" w:line="440" w:lineRule="exact"/>
        <w:ind w:left="0" w:right="0" w:firstLine="1750" w:firstLineChars="200"/>
        <w:jc w:val="center"/>
        <w:textAlignment w:val="auto"/>
        <w:rPr>
          <w:rFonts w:hint="eastAsia" w:ascii="仿宋" w:hAnsi="仿宋" w:eastAsia="仿宋" w:cs="仿宋"/>
          <w:b/>
          <w:spacing w:val="76"/>
          <w:sz w:val="72"/>
          <w:szCs w:val="72"/>
          <w:lang w:val="en-US" w:eastAsia="zh-CN"/>
        </w:rPr>
      </w:pPr>
    </w:p>
    <w:p w14:paraId="5D19F1DF">
      <w:pPr>
        <w:bidi w:val="0"/>
        <w:jc w:val="center"/>
        <w:rPr>
          <w:rFonts w:hint="eastAsia"/>
          <w:sz w:val="84"/>
          <w:szCs w:val="84"/>
          <w:lang w:val="en-US" w:eastAsia="zh-CN"/>
        </w:rPr>
      </w:pPr>
      <w:r>
        <w:rPr>
          <w:rFonts w:hint="eastAsia"/>
          <w:sz w:val="84"/>
          <w:szCs w:val="84"/>
          <w:lang w:val="en-US" w:eastAsia="zh-CN"/>
        </w:rPr>
        <w:t>招 标 文 件</w:t>
      </w:r>
    </w:p>
    <w:p w14:paraId="10D95DDB">
      <w:pPr>
        <w:pStyle w:val="14"/>
        <w:pageBreakBefore w:val="0"/>
        <w:kinsoku/>
        <w:wordWrap/>
        <w:overflowPunct/>
        <w:topLinePunct w:val="0"/>
        <w:autoSpaceDE/>
        <w:autoSpaceDN/>
        <w:bidi w:val="0"/>
        <w:adjustRightInd/>
        <w:snapToGrid/>
        <w:spacing w:beforeAutospacing="0" w:afterAutospacing="0" w:line="440" w:lineRule="exact"/>
        <w:ind w:left="0" w:right="0" w:firstLine="786" w:firstLineChars="200"/>
        <w:textAlignment w:val="auto"/>
        <w:rPr>
          <w:rFonts w:hint="eastAsia" w:ascii="仿宋" w:hAnsi="仿宋" w:eastAsia="仿宋" w:cs="仿宋"/>
          <w:b/>
          <w:spacing w:val="76"/>
          <w:sz w:val="24"/>
          <w:szCs w:val="24"/>
        </w:rPr>
      </w:pPr>
    </w:p>
    <w:p w14:paraId="6C845464">
      <w:pPr>
        <w:pageBreakBefore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仿宋" w:hAnsi="仿宋" w:eastAsia="仿宋" w:cs="仿宋"/>
          <w:b/>
          <w:sz w:val="24"/>
          <w:szCs w:val="24"/>
        </w:rPr>
      </w:pPr>
    </w:p>
    <w:p w14:paraId="23B4F51D">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s="仿宋"/>
          <w:sz w:val="24"/>
          <w:szCs w:val="24"/>
        </w:rPr>
      </w:pPr>
    </w:p>
    <w:p w14:paraId="377FBB45">
      <w:pPr>
        <w:pStyle w:val="14"/>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s="仿宋"/>
          <w:sz w:val="24"/>
          <w:szCs w:val="24"/>
        </w:rPr>
      </w:pPr>
    </w:p>
    <w:p w14:paraId="3DDC4032">
      <w:pPr>
        <w:pageBreakBefore w:val="0"/>
        <w:kinsoku/>
        <w:wordWrap/>
        <w:overflowPunct/>
        <w:topLinePunct w:val="0"/>
        <w:autoSpaceDE/>
        <w:autoSpaceDN/>
        <w:bidi w:val="0"/>
        <w:adjustRightInd/>
        <w:snapToGrid/>
        <w:spacing w:beforeAutospacing="0" w:afterAutospacing="0" w:line="440" w:lineRule="exact"/>
        <w:ind w:left="0" w:leftChars="0" w:right="0" w:firstLine="723" w:firstLineChars="200"/>
        <w:textAlignment w:val="auto"/>
        <w:rPr>
          <w:rFonts w:hint="eastAsia" w:ascii="仿宋" w:hAnsi="仿宋" w:eastAsia="仿宋" w:cs="仿宋"/>
          <w:sz w:val="36"/>
          <w:szCs w:val="36"/>
          <w:lang w:eastAsia="zh-CN"/>
        </w:rPr>
      </w:pPr>
      <w:r>
        <w:rPr>
          <w:rFonts w:hint="eastAsia" w:ascii="仿宋" w:hAnsi="仿宋" w:eastAsia="仿宋" w:cs="仿宋"/>
          <w:b/>
          <w:bCs/>
          <w:sz w:val="36"/>
          <w:szCs w:val="36"/>
          <w:lang w:eastAsia="zh-CN"/>
        </w:rPr>
        <w:t>项目编号：</w:t>
      </w:r>
      <w:r>
        <w:rPr>
          <w:rFonts w:hint="eastAsia" w:ascii="仿宋" w:hAnsi="仿宋" w:eastAsia="仿宋" w:cs="仿宋"/>
          <w:sz w:val="36"/>
          <w:szCs w:val="36"/>
          <w:lang w:eastAsia="zh-CN"/>
        </w:rPr>
        <w:t>JSZC-320300-HMGL-G2025-0002</w:t>
      </w:r>
    </w:p>
    <w:p w14:paraId="39FAC000">
      <w:pPr>
        <w:pageBreakBefore w:val="0"/>
        <w:kinsoku/>
        <w:wordWrap/>
        <w:overflowPunct/>
        <w:topLinePunct w:val="0"/>
        <w:autoSpaceDE/>
        <w:autoSpaceDN/>
        <w:bidi w:val="0"/>
        <w:adjustRightInd/>
        <w:snapToGrid/>
        <w:spacing w:beforeAutospacing="0" w:afterAutospacing="0" w:line="440" w:lineRule="exact"/>
        <w:ind w:left="0" w:leftChars="0" w:right="0" w:firstLine="720" w:firstLineChars="200"/>
        <w:jc w:val="center"/>
        <w:textAlignment w:val="auto"/>
        <w:rPr>
          <w:rFonts w:hint="eastAsia" w:ascii="仿宋" w:hAnsi="仿宋" w:eastAsia="仿宋" w:cs="仿宋"/>
          <w:sz w:val="36"/>
          <w:szCs w:val="36"/>
        </w:rPr>
      </w:pPr>
    </w:p>
    <w:p w14:paraId="534049FD">
      <w:pPr>
        <w:pageBreakBefore w:val="0"/>
        <w:kinsoku/>
        <w:wordWrap/>
        <w:overflowPunct/>
        <w:topLinePunct w:val="0"/>
        <w:autoSpaceDE/>
        <w:autoSpaceDN/>
        <w:bidi w:val="0"/>
        <w:adjustRightInd/>
        <w:snapToGrid/>
        <w:spacing w:beforeAutospacing="0" w:afterAutospacing="0" w:line="440" w:lineRule="exact"/>
        <w:ind w:left="0" w:leftChars="0" w:right="0" w:firstLine="723" w:firstLineChars="200"/>
        <w:textAlignment w:val="auto"/>
        <w:rPr>
          <w:rFonts w:hint="eastAsia" w:ascii="仿宋" w:hAnsi="仿宋" w:eastAsia="仿宋" w:cs="仿宋"/>
          <w:sz w:val="36"/>
          <w:szCs w:val="36"/>
          <w:lang w:eastAsia="zh-CN"/>
        </w:rPr>
      </w:pPr>
      <w:r>
        <w:rPr>
          <w:rFonts w:hint="eastAsia" w:ascii="仿宋" w:hAnsi="仿宋" w:eastAsia="仿宋" w:cs="仿宋"/>
          <w:b/>
          <w:bCs/>
          <w:sz w:val="36"/>
          <w:szCs w:val="36"/>
        </w:rPr>
        <w:t>项目名称：</w:t>
      </w:r>
      <w:r>
        <w:rPr>
          <w:rFonts w:hint="eastAsia" w:ascii="仿宋" w:hAnsi="仿宋" w:eastAsia="仿宋" w:cs="仿宋"/>
          <w:b w:val="0"/>
          <w:bCs w:val="0"/>
          <w:sz w:val="36"/>
          <w:szCs w:val="36"/>
        </w:rPr>
        <w:t>徐州市耕地保护和利用专项规划</w:t>
      </w:r>
    </w:p>
    <w:p w14:paraId="480C6BBA">
      <w:pPr>
        <w:pageBreakBefore w:val="0"/>
        <w:kinsoku/>
        <w:wordWrap/>
        <w:overflowPunct/>
        <w:topLinePunct w:val="0"/>
        <w:autoSpaceDE/>
        <w:autoSpaceDN/>
        <w:bidi w:val="0"/>
        <w:adjustRightInd/>
        <w:snapToGrid/>
        <w:spacing w:beforeAutospacing="0" w:afterAutospacing="0" w:line="440" w:lineRule="exact"/>
        <w:ind w:left="0" w:leftChars="0" w:right="0" w:firstLine="720" w:firstLineChars="200"/>
        <w:textAlignment w:val="auto"/>
        <w:rPr>
          <w:rFonts w:hint="eastAsia" w:ascii="仿宋" w:hAnsi="仿宋" w:eastAsia="仿宋" w:cs="仿宋"/>
          <w:sz w:val="36"/>
          <w:szCs w:val="36"/>
        </w:rPr>
      </w:pPr>
    </w:p>
    <w:p w14:paraId="2E938BFF">
      <w:pPr>
        <w:pageBreakBefore w:val="0"/>
        <w:kinsoku/>
        <w:wordWrap/>
        <w:overflowPunct/>
        <w:topLinePunct w:val="0"/>
        <w:autoSpaceDE/>
        <w:autoSpaceDN/>
        <w:bidi w:val="0"/>
        <w:adjustRightInd/>
        <w:snapToGrid/>
        <w:spacing w:beforeAutospacing="0" w:afterAutospacing="0" w:line="440" w:lineRule="exact"/>
        <w:ind w:left="0" w:leftChars="0" w:right="0" w:firstLine="723" w:firstLineChars="200"/>
        <w:textAlignment w:val="auto"/>
        <w:rPr>
          <w:rFonts w:hint="eastAsia" w:ascii="仿宋" w:hAnsi="仿宋" w:eastAsia="仿宋" w:cs="仿宋"/>
          <w:sz w:val="36"/>
          <w:szCs w:val="36"/>
          <w:lang w:eastAsia="zh-CN"/>
        </w:rPr>
      </w:pPr>
      <w:r>
        <w:rPr>
          <w:rFonts w:hint="eastAsia" w:ascii="仿宋" w:hAnsi="仿宋" w:eastAsia="仿宋" w:cs="仿宋"/>
          <w:b/>
          <w:bCs/>
          <w:sz w:val="36"/>
          <w:szCs w:val="36"/>
        </w:rPr>
        <w:t>采 购 人：</w:t>
      </w:r>
      <w:r>
        <w:rPr>
          <w:rFonts w:hint="eastAsia" w:ascii="仿宋" w:hAnsi="仿宋" w:eastAsia="仿宋" w:cs="仿宋"/>
          <w:sz w:val="36"/>
          <w:szCs w:val="36"/>
          <w:lang w:eastAsia="zh-CN"/>
        </w:rPr>
        <w:t>徐州市自然资源和规划局</w:t>
      </w:r>
    </w:p>
    <w:p w14:paraId="748743D8">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s="仿宋"/>
          <w:sz w:val="24"/>
          <w:szCs w:val="24"/>
        </w:rPr>
      </w:pPr>
    </w:p>
    <w:p w14:paraId="75E135E8">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s="仿宋"/>
          <w:sz w:val="24"/>
          <w:szCs w:val="24"/>
        </w:rPr>
      </w:pPr>
    </w:p>
    <w:p w14:paraId="23D4A4C1">
      <w:pPr>
        <w:pStyle w:val="52"/>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s="仿宋"/>
          <w:sz w:val="24"/>
          <w:szCs w:val="24"/>
        </w:rPr>
      </w:pPr>
    </w:p>
    <w:p w14:paraId="0F55AA09">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s="仿宋"/>
          <w:sz w:val="24"/>
          <w:szCs w:val="24"/>
        </w:rPr>
      </w:pPr>
    </w:p>
    <w:p w14:paraId="1D8FD8E9">
      <w:pPr>
        <w:pStyle w:val="19"/>
        <w:pageBreakBefore w:val="0"/>
        <w:kinsoku/>
        <w:wordWrap/>
        <w:overflowPunct/>
        <w:topLinePunct w:val="0"/>
        <w:autoSpaceDE/>
        <w:autoSpaceDN/>
        <w:bidi w:val="0"/>
        <w:adjustRightInd/>
        <w:snapToGrid/>
        <w:spacing w:beforeAutospacing="0" w:after="0" w:afterAutospacing="0" w:line="440" w:lineRule="exact"/>
        <w:ind w:left="0" w:right="0" w:firstLine="480" w:firstLineChars="200"/>
        <w:textAlignment w:val="auto"/>
        <w:rPr>
          <w:rFonts w:hint="eastAsia" w:ascii="仿宋" w:hAnsi="仿宋" w:eastAsia="仿宋" w:cs="仿宋"/>
          <w:sz w:val="24"/>
          <w:szCs w:val="24"/>
        </w:rPr>
      </w:pPr>
    </w:p>
    <w:p w14:paraId="77C8E89E">
      <w:pPr>
        <w:pageBreakBefore w:val="0"/>
        <w:kinsoku/>
        <w:wordWrap/>
        <w:overflowPunct/>
        <w:topLinePunct w:val="0"/>
        <w:autoSpaceDE/>
        <w:autoSpaceDN/>
        <w:bidi w:val="0"/>
        <w:adjustRightInd/>
        <w:snapToGrid/>
        <w:spacing w:beforeAutospacing="0" w:afterAutospacing="0" w:line="440" w:lineRule="exact"/>
        <w:ind w:left="0" w:right="0" w:firstLine="643" w:firstLineChars="200"/>
        <w:jc w:val="center"/>
        <w:textAlignment w:val="auto"/>
        <w:rPr>
          <w:rFonts w:hint="eastAsia" w:ascii="仿宋" w:hAnsi="仿宋" w:eastAsia="仿宋" w:cs="仿宋"/>
          <w:sz w:val="32"/>
          <w:szCs w:val="32"/>
          <w:lang w:eastAsia="zh-CN"/>
        </w:rPr>
      </w:pPr>
      <w:r>
        <w:rPr>
          <w:rFonts w:hint="eastAsia" w:ascii="仿宋" w:hAnsi="仿宋" w:eastAsia="仿宋" w:cs="仿宋"/>
          <w:b/>
          <w:bCs/>
          <w:sz w:val="32"/>
          <w:szCs w:val="32"/>
        </w:rPr>
        <w:t>采购代理机构：</w:t>
      </w:r>
      <w:r>
        <w:rPr>
          <w:rFonts w:hint="eastAsia" w:ascii="仿宋" w:hAnsi="仿宋" w:eastAsia="仿宋" w:cs="仿宋"/>
          <w:sz w:val="32"/>
          <w:szCs w:val="32"/>
          <w:lang w:eastAsia="zh-CN"/>
        </w:rPr>
        <w:t>江苏华铭工程管理咨询有限公司</w:t>
      </w:r>
    </w:p>
    <w:p w14:paraId="4F1A6179">
      <w:pPr>
        <w:pageBreakBefore w:val="0"/>
        <w:kinsoku/>
        <w:wordWrap/>
        <w:overflowPunct/>
        <w:topLinePunct w:val="0"/>
        <w:autoSpaceDE/>
        <w:autoSpaceDN/>
        <w:bidi w:val="0"/>
        <w:adjustRightInd/>
        <w:snapToGrid/>
        <w:spacing w:beforeAutospacing="0" w:afterAutospacing="0" w:line="440" w:lineRule="exact"/>
        <w:ind w:left="0" w:right="0" w:firstLine="640" w:firstLineChars="200"/>
        <w:jc w:val="center"/>
        <w:textAlignment w:val="auto"/>
        <w:rPr>
          <w:rFonts w:hint="eastAsia" w:ascii="仿宋" w:hAnsi="仿宋" w:eastAsia="仿宋" w:cs="仿宋"/>
          <w:bCs/>
          <w:sz w:val="32"/>
          <w:szCs w:val="32"/>
        </w:rPr>
      </w:pPr>
    </w:p>
    <w:p w14:paraId="38CFFE49">
      <w:pPr>
        <w:pageBreakBefore w:val="0"/>
        <w:kinsoku/>
        <w:wordWrap/>
        <w:overflowPunct/>
        <w:topLinePunct w:val="0"/>
        <w:autoSpaceDE/>
        <w:autoSpaceDN/>
        <w:bidi w:val="0"/>
        <w:adjustRightInd/>
        <w:snapToGrid/>
        <w:spacing w:beforeAutospacing="0" w:afterAutospacing="0" w:line="440" w:lineRule="exact"/>
        <w:ind w:left="0" w:right="0" w:firstLine="640" w:firstLineChars="200"/>
        <w:jc w:val="center"/>
        <w:textAlignment w:val="auto"/>
        <w:rPr>
          <w:rFonts w:hint="eastAsia" w:ascii="仿宋" w:hAnsi="仿宋" w:eastAsia="仿宋" w:cs="仿宋"/>
          <w:sz w:val="32"/>
          <w:szCs w:val="32"/>
        </w:rPr>
      </w:pPr>
      <w:r>
        <w:rPr>
          <w:rFonts w:hint="eastAsia" w:ascii="仿宋" w:hAnsi="仿宋" w:eastAsia="仿宋" w:cs="仿宋"/>
          <w:bCs/>
          <w:sz w:val="32"/>
          <w:szCs w:val="32"/>
        </w:rPr>
        <w:t>二</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〇</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二</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lang w:eastAsia="zh-CN"/>
        </w:rPr>
        <w:t>五</w:t>
      </w:r>
      <w:r>
        <w:rPr>
          <w:rFonts w:hint="eastAsia" w:ascii="仿宋" w:hAnsi="仿宋" w:eastAsia="仿宋" w:cs="仿宋"/>
          <w:bCs/>
          <w:sz w:val="32"/>
          <w:szCs w:val="32"/>
          <w:lang w:val="en-US" w:eastAsia="zh-CN"/>
        </w:rPr>
        <w:t xml:space="preserve"> </w:t>
      </w:r>
      <w:r>
        <w:rPr>
          <w:rFonts w:hint="eastAsia" w:ascii="仿宋" w:hAnsi="仿宋" w:eastAsia="仿宋" w:cs="仿宋"/>
          <w:bCs/>
          <w:sz w:val="32"/>
          <w:szCs w:val="32"/>
        </w:rPr>
        <w:t>年</w:t>
      </w:r>
      <w:r>
        <w:rPr>
          <w:rFonts w:hint="eastAsia" w:ascii="仿宋" w:hAnsi="仿宋" w:eastAsia="仿宋" w:cs="仿宋"/>
          <w:bCs/>
          <w:sz w:val="32"/>
          <w:szCs w:val="32"/>
          <w:lang w:val="en-US" w:eastAsia="zh-CN"/>
        </w:rPr>
        <w:t xml:space="preserve"> 四 </w:t>
      </w:r>
      <w:r>
        <w:rPr>
          <w:rFonts w:hint="eastAsia" w:ascii="仿宋" w:hAnsi="仿宋" w:eastAsia="仿宋" w:cs="仿宋"/>
          <w:bCs/>
          <w:sz w:val="32"/>
          <w:szCs w:val="32"/>
        </w:rPr>
        <w:t>月</w:t>
      </w:r>
    </w:p>
    <w:p w14:paraId="6D8C4D29">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s="仿宋"/>
          <w:sz w:val="24"/>
          <w:szCs w:val="24"/>
        </w:rPr>
      </w:pPr>
    </w:p>
    <w:p w14:paraId="128AAD5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2" w:firstLineChars="200"/>
        <w:jc w:val="center"/>
        <w:textAlignment w:val="auto"/>
        <w:rPr>
          <w:rFonts w:hint="eastAsia" w:ascii="仿宋" w:hAnsi="仿宋" w:eastAsia="仿宋" w:cs="仿宋"/>
          <w:b/>
          <w:sz w:val="24"/>
          <w:szCs w:val="24"/>
        </w:rPr>
        <w:sectPr>
          <w:footerReference r:id="rId3" w:type="default"/>
          <w:pgSz w:w="11906" w:h="16838"/>
          <w:pgMar w:top="1440" w:right="1803" w:bottom="1440" w:left="1803" w:header="851" w:footer="992" w:gutter="0"/>
          <w:pgNumType w:fmt="decimal" w:start="1"/>
          <w:cols w:space="720" w:num="1"/>
          <w:docGrid w:linePitch="360" w:charSpace="0"/>
        </w:sectPr>
      </w:pPr>
    </w:p>
    <w:p w14:paraId="0B0CC66C">
      <w:pPr>
        <w:pageBreakBefore w:val="0"/>
        <w:widowControl/>
        <w:kinsoku/>
        <w:wordWrap/>
        <w:overflowPunct/>
        <w:topLinePunct w:val="0"/>
        <w:autoSpaceDE/>
        <w:autoSpaceDN/>
        <w:bidi w:val="0"/>
        <w:adjustRightInd/>
        <w:snapToGrid/>
        <w:spacing w:beforeAutospacing="0" w:afterAutospacing="0" w:line="440" w:lineRule="exact"/>
        <w:ind w:left="0" w:right="0" w:firstLine="964" w:firstLineChars="200"/>
        <w:jc w:val="center"/>
        <w:textAlignment w:val="auto"/>
        <w:rPr>
          <w:rFonts w:hint="eastAsia" w:ascii="宋体" w:hAnsi="宋体"/>
          <w:b/>
          <w:color w:val="auto"/>
          <w:sz w:val="48"/>
          <w:szCs w:val="28"/>
          <w:highlight w:val="none"/>
        </w:rPr>
      </w:pPr>
    </w:p>
    <w:p w14:paraId="1B63B928">
      <w:pPr>
        <w:pageBreakBefore w:val="0"/>
        <w:widowControl/>
        <w:kinsoku/>
        <w:wordWrap/>
        <w:overflowPunct/>
        <w:topLinePunct w:val="0"/>
        <w:autoSpaceDE/>
        <w:autoSpaceDN/>
        <w:bidi w:val="0"/>
        <w:adjustRightInd/>
        <w:snapToGrid/>
        <w:spacing w:beforeAutospacing="0" w:afterAutospacing="0" w:line="440" w:lineRule="exact"/>
        <w:ind w:right="0"/>
        <w:jc w:val="center"/>
        <w:textAlignment w:val="auto"/>
        <w:rPr>
          <w:rFonts w:ascii="宋体" w:hAnsi="宋体"/>
          <w:b/>
          <w:color w:val="auto"/>
          <w:sz w:val="44"/>
          <w:szCs w:val="24"/>
          <w:highlight w:val="none"/>
        </w:rPr>
      </w:pPr>
      <w:r>
        <w:rPr>
          <w:rFonts w:hint="eastAsia" w:ascii="宋体" w:hAnsi="宋体"/>
          <w:b/>
          <w:color w:val="auto"/>
          <w:sz w:val="44"/>
          <w:szCs w:val="24"/>
          <w:highlight w:val="none"/>
        </w:rPr>
        <w:t>目</w:t>
      </w:r>
      <w:r>
        <w:rPr>
          <w:rFonts w:hint="eastAsia" w:ascii="宋体" w:hAnsi="宋体"/>
          <w:b/>
          <w:color w:val="auto"/>
          <w:sz w:val="44"/>
          <w:szCs w:val="24"/>
          <w:highlight w:val="none"/>
          <w:lang w:val="en-US" w:eastAsia="zh-CN"/>
        </w:rPr>
        <w:t xml:space="preserve"> </w:t>
      </w:r>
      <w:r>
        <w:rPr>
          <w:rFonts w:hint="eastAsia" w:ascii="宋体" w:hAnsi="宋体"/>
          <w:b/>
          <w:color w:val="auto"/>
          <w:sz w:val="44"/>
          <w:szCs w:val="24"/>
          <w:highlight w:val="none"/>
        </w:rPr>
        <w:t xml:space="preserve"> 录</w:t>
      </w:r>
    </w:p>
    <w:p w14:paraId="480D4E0F">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bookmarkStart w:id="0" w:name="_Toc522790130"/>
    </w:p>
    <w:p w14:paraId="59133C14">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80" w:lineRule="auto"/>
        <w:ind w:left="0" w:right="0" w:firstLine="562" w:firstLineChars="200"/>
        <w:textAlignment w:val="auto"/>
        <w:rPr>
          <w:rFonts w:hint="eastAsia" w:ascii="宋体" w:hAnsi="宋体" w:eastAsia="宋体" w:cs="宋体"/>
          <w:sz w:val="28"/>
          <w:szCs w:val="28"/>
          <w:highlight w:val="none"/>
        </w:rPr>
      </w:pPr>
      <w:r>
        <w:rPr>
          <w:rFonts w:hint="eastAsia" w:ascii="宋体" w:hAnsi="宋体" w:eastAsia="宋体" w:cs="宋体"/>
          <w:b/>
          <w:color w:val="auto"/>
          <w:sz w:val="28"/>
          <w:szCs w:val="28"/>
          <w:highlight w:val="none"/>
        </w:rPr>
        <w:fldChar w:fldCharType="begin"/>
      </w:r>
      <w:r>
        <w:rPr>
          <w:rFonts w:hint="eastAsia" w:ascii="宋体" w:hAnsi="宋体" w:eastAsia="宋体" w:cs="宋体"/>
          <w:b/>
          <w:color w:val="auto"/>
          <w:sz w:val="28"/>
          <w:szCs w:val="28"/>
          <w:highlight w:val="none"/>
        </w:rPr>
        <w:instrText xml:space="preserve"> TOC \o "1-3" \h \z \u </w:instrText>
      </w:r>
      <w:r>
        <w:rPr>
          <w:rFonts w:hint="eastAsia" w:ascii="宋体" w:hAnsi="宋体" w:eastAsia="宋体" w:cs="宋体"/>
          <w:b/>
          <w:color w:val="auto"/>
          <w:sz w:val="28"/>
          <w:szCs w:val="28"/>
          <w:highlight w:val="none"/>
        </w:rPr>
        <w:fldChar w:fldCharType="separate"/>
      </w: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_Toc20862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第一章  投标邀请</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_Toc20862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2F7877BE">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80" w:lineRule="auto"/>
        <w:ind w:left="0" w:right="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_Toc31451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第二章  投标人须知</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_Toc31451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0DDA71CC">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80" w:lineRule="auto"/>
        <w:ind w:left="0" w:right="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_Toc5667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第三章  投标资料表</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_Toc5667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12</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49E19535">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80" w:lineRule="auto"/>
        <w:ind w:left="0" w:right="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_Toc20896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第四章  评标标准</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_Toc20896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20</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50F0BE0A">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80" w:lineRule="auto"/>
        <w:ind w:left="0" w:right="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_Toc15576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第五章  拟签订的合同文本</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_Toc15576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23</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6F1E14AE">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80" w:lineRule="auto"/>
        <w:ind w:left="0" w:right="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_Toc13715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第六章  采购需求</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_Toc13715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28</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6393327B">
      <w:pPr>
        <w:pStyle w:val="26"/>
        <w:keepNext w:val="0"/>
        <w:keepLines w:val="0"/>
        <w:pageBreakBefore w:val="0"/>
        <w:widowControl w:val="0"/>
        <w:tabs>
          <w:tab w:val="right" w:leader="dot" w:pos="8306"/>
        </w:tabs>
        <w:kinsoku/>
        <w:wordWrap/>
        <w:overflowPunct/>
        <w:topLinePunct w:val="0"/>
        <w:autoSpaceDE/>
        <w:autoSpaceDN/>
        <w:bidi w:val="0"/>
        <w:adjustRightInd/>
        <w:snapToGrid/>
        <w:spacing w:beforeAutospacing="0" w:afterAutospacing="0" w:line="480" w:lineRule="auto"/>
        <w:ind w:left="0" w:right="0" w:firstLine="560" w:firstLineChars="200"/>
        <w:textAlignment w:val="auto"/>
        <w:rPr>
          <w:rFonts w:hint="eastAsia" w:ascii="宋体" w:hAnsi="宋体" w:eastAsia="宋体" w:cs="宋体"/>
          <w:sz w:val="28"/>
          <w:szCs w:val="28"/>
          <w:highlight w:val="none"/>
        </w:rPr>
      </w:pPr>
      <w:r>
        <w:rPr>
          <w:rFonts w:hint="eastAsia" w:ascii="宋体" w:hAnsi="宋体" w:eastAsia="宋体" w:cs="宋体"/>
          <w:color w:val="auto"/>
          <w:sz w:val="28"/>
          <w:szCs w:val="28"/>
          <w:highlight w:val="none"/>
        </w:rPr>
        <w:fldChar w:fldCharType="begin"/>
      </w:r>
      <w:r>
        <w:rPr>
          <w:rFonts w:hint="eastAsia" w:ascii="宋体" w:hAnsi="宋体" w:eastAsia="宋体" w:cs="宋体"/>
          <w:sz w:val="28"/>
          <w:szCs w:val="28"/>
          <w:highlight w:val="none"/>
        </w:rPr>
        <w:instrText xml:space="preserve"> HYPERLINK \l _Toc8772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第七章  投标文件相关格式</w:t>
      </w:r>
      <w:r>
        <w:rPr>
          <w:rFonts w:hint="eastAsia" w:ascii="宋体" w:hAnsi="宋体" w:eastAsia="宋体" w:cs="宋体"/>
          <w:sz w:val="28"/>
          <w:szCs w:val="28"/>
          <w:highlight w:val="none"/>
        </w:rPr>
        <w:tab/>
      </w:r>
      <w:r>
        <w:rPr>
          <w:rFonts w:hint="eastAsia" w:ascii="宋体" w:hAnsi="宋体" w:eastAsia="宋体" w:cs="宋体"/>
          <w:sz w:val="28"/>
          <w:szCs w:val="28"/>
          <w:highlight w:val="none"/>
        </w:rPr>
        <w:fldChar w:fldCharType="begin"/>
      </w:r>
      <w:r>
        <w:rPr>
          <w:rFonts w:hint="eastAsia" w:ascii="宋体" w:hAnsi="宋体" w:eastAsia="宋体" w:cs="宋体"/>
          <w:sz w:val="28"/>
          <w:szCs w:val="28"/>
          <w:highlight w:val="none"/>
        </w:rPr>
        <w:instrText xml:space="preserve"> PAGEREF _Toc8772 </w:instrText>
      </w:r>
      <w:r>
        <w:rPr>
          <w:rFonts w:hint="eastAsia" w:ascii="宋体" w:hAnsi="宋体" w:eastAsia="宋体" w:cs="宋体"/>
          <w:sz w:val="28"/>
          <w:szCs w:val="28"/>
          <w:highlight w:val="none"/>
        </w:rPr>
        <w:fldChar w:fldCharType="separate"/>
      </w:r>
      <w:r>
        <w:rPr>
          <w:rFonts w:hint="eastAsia" w:ascii="宋体" w:hAnsi="宋体" w:eastAsia="宋体" w:cs="宋体"/>
          <w:sz w:val="28"/>
          <w:szCs w:val="28"/>
          <w:highlight w:val="none"/>
        </w:rPr>
        <w:t>31</w:t>
      </w:r>
      <w:r>
        <w:rPr>
          <w:rFonts w:hint="eastAsia" w:ascii="宋体" w:hAnsi="宋体" w:eastAsia="宋体" w:cs="宋体"/>
          <w:sz w:val="28"/>
          <w:szCs w:val="28"/>
          <w:highlight w:val="none"/>
        </w:rPr>
        <w:fldChar w:fldCharType="end"/>
      </w:r>
      <w:r>
        <w:rPr>
          <w:rFonts w:hint="eastAsia" w:ascii="宋体" w:hAnsi="宋体" w:eastAsia="宋体" w:cs="宋体"/>
          <w:color w:val="auto"/>
          <w:sz w:val="28"/>
          <w:szCs w:val="28"/>
          <w:highlight w:val="none"/>
        </w:rPr>
        <w:fldChar w:fldCharType="end"/>
      </w:r>
    </w:p>
    <w:p w14:paraId="5F364AC8">
      <w:pPr>
        <w:keepNext w:val="0"/>
        <w:keepLines w:val="0"/>
        <w:pageBreakBefore w:val="0"/>
        <w:widowControl w:val="0"/>
        <w:kinsoku/>
        <w:wordWrap/>
        <w:overflowPunct/>
        <w:topLinePunct w:val="0"/>
        <w:autoSpaceDE/>
        <w:autoSpaceDN/>
        <w:bidi w:val="0"/>
        <w:adjustRightInd/>
        <w:snapToGrid/>
        <w:spacing w:beforeAutospacing="0" w:afterAutospacing="0" w:line="480" w:lineRule="auto"/>
        <w:ind w:left="0" w:right="0" w:firstLine="560" w:firstLineChars="200"/>
        <w:jc w:val="center"/>
        <w:textAlignment w:val="auto"/>
        <w:rPr>
          <w:rFonts w:hint="eastAsia" w:ascii="仿宋" w:hAnsi="仿宋" w:eastAsia="仿宋"/>
          <w:color w:val="auto"/>
          <w:szCs w:val="30"/>
          <w:highlight w:val="none"/>
        </w:rPr>
      </w:pPr>
      <w:r>
        <w:rPr>
          <w:rFonts w:hint="eastAsia" w:ascii="宋体" w:hAnsi="宋体" w:eastAsia="宋体" w:cs="宋体"/>
          <w:color w:val="auto"/>
          <w:sz w:val="28"/>
          <w:szCs w:val="28"/>
          <w:highlight w:val="none"/>
        </w:rPr>
        <w:fldChar w:fldCharType="end"/>
      </w:r>
    </w:p>
    <w:p w14:paraId="265E0007">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76EB1168">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393A9E83">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5144CBF1">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52A47781">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668F80C3">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523B7D04">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1BE7E977">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1503C2CA">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2F6067F0">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753B2482">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616D47EF">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5A4D0FA2">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2B66A15D">
      <w:pPr>
        <w:pageBreakBefore w:val="0"/>
        <w:kinsoku/>
        <w:wordWrap/>
        <w:overflowPunct/>
        <w:topLinePunct w:val="0"/>
        <w:autoSpaceDE/>
        <w:autoSpaceDN/>
        <w:bidi w:val="0"/>
        <w:adjustRightInd/>
        <w:snapToGrid/>
        <w:spacing w:beforeAutospacing="0" w:afterAutospacing="0" w:line="440" w:lineRule="exact"/>
        <w:ind w:left="0" w:right="0" w:firstLine="883" w:firstLineChars="200"/>
        <w:jc w:val="center"/>
        <w:textAlignment w:val="auto"/>
        <w:rPr>
          <w:rFonts w:ascii="华文中宋" w:hAnsi="华文中宋" w:eastAsia="华文中宋"/>
          <w:b/>
          <w:color w:val="auto"/>
          <w:sz w:val="44"/>
          <w:szCs w:val="44"/>
          <w:highlight w:val="none"/>
        </w:rPr>
      </w:pPr>
    </w:p>
    <w:p w14:paraId="633A6F8E">
      <w:pPr>
        <w:pageBreakBefore w:val="0"/>
        <w:widowControl/>
        <w:kinsoku/>
        <w:wordWrap/>
        <w:overflowPunct/>
        <w:topLinePunct w:val="0"/>
        <w:autoSpaceDE/>
        <w:autoSpaceDN/>
        <w:bidi w:val="0"/>
        <w:adjustRightInd/>
        <w:snapToGrid/>
        <w:spacing w:beforeAutospacing="0" w:afterAutospacing="0" w:line="440" w:lineRule="exact"/>
        <w:ind w:left="0" w:right="0" w:firstLine="723" w:firstLineChars="200"/>
        <w:jc w:val="center"/>
        <w:textAlignment w:val="auto"/>
        <w:rPr>
          <w:rFonts w:hint="eastAsia" w:ascii="华文中宋" w:hAnsi="华文中宋" w:eastAsia="华文中宋"/>
          <w:b/>
          <w:color w:val="auto"/>
          <w:sz w:val="36"/>
          <w:szCs w:val="36"/>
          <w:highlight w:val="none"/>
          <w:lang w:eastAsia="zh-CN"/>
        </w:rPr>
        <w:sectPr>
          <w:headerReference r:id="rId4" w:type="default"/>
          <w:footerReference r:id="rId5" w:type="default"/>
          <w:pgSz w:w="11906" w:h="16838"/>
          <w:pgMar w:top="1440" w:right="1800" w:bottom="1440" w:left="1800" w:header="851" w:footer="992" w:gutter="0"/>
          <w:cols w:space="720" w:num="1"/>
          <w:docGrid w:linePitch="360" w:charSpace="0"/>
        </w:sectPr>
      </w:pPr>
    </w:p>
    <w:p w14:paraId="3D279AD9">
      <w:pPr>
        <w:pageBreakBefore w:val="0"/>
        <w:widowControl/>
        <w:kinsoku/>
        <w:wordWrap/>
        <w:overflowPunct/>
        <w:topLinePunct w:val="0"/>
        <w:autoSpaceDE/>
        <w:autoSpaceDN/>
        <w:bidi w:val="0"/>
        <w:adjustRightInd/>
        <w:snapToGrid/>
        <w:spacing w:beforeAutospacing="0" w:afterAutospacing="0" w:line="440" w:lineRule="exact"/>
        <w:ind w:left="0" w:right="0" w:firstLine="723" w:firstLineChars="200"/>
        <w:jc w:val="center"/>
        <w:textAlignment w:val="auto"/>
        <w:rPr>
          <w:rFonts w:hint="eastAsia" w:ascii="华文中宋" w:hAnsi="华文中宋" w:eastAsia="华文中宋"/>
          <w:b/>
          <w:color w:val="auto"/>
          <w:sz w:val="36"/>
          <w:szCs w:val="36"/>
          <w:highlight w:val="none"/>
          <w:lang w:eastAsia="zh-CN"/>
        </w:rPr>
      </w:pPr>
      <w:r>
        <w:rPr>
          <w:rFonts w:hint="eastAsia" w:ascii="华文中宋" w:hAnsi="华文中宋" w:eastAsia="华文中宋"/>
          <w:b/>
          <w:color w:val="auto"/>
          <w:sz w:val="36"/>
          <w:szCs w:val="36"/>
          <w:highlight w:val="none"/>
          <w:lang w:eastAsia="zh-CN"/>
        </w:rPr>
        <w:t>徐州市自然资源和规划局</w:t>
      </w:r>
    </w:p>
    <w:p w14:paraId="60F73065">
      <w:pPr>
        <w:pageBreakBefore w:val="0"/>
        <w:kinsoku/>
        <w:wordWrap/>
        <w:overflowPunct/>
        <w:topLinePunct w:val="0"/>
        <w:autoSpaceDE/>
        <w:autoSpaceDN/>
        <w:bidi w:val="0"/>
        <w:adjustRightInd/>
        <w:snapToGrid/>
        <w:spacing w:beforeAutospacing="0" w:afterAutospacing="0" w:line="440" w:lineRule="exact"/>
        <w:ind w:left="0" w:right="0" w:firstLine="723" w:firstLineChars="200"/>
        <w:jc w:val="center"/>
        <w:textAlignment w:val="auto"/>
        <w:rPr>
          <w:rFonts w:hint="eastAsia"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w:t>
      </w:r>
      <w:r>
        <w:rPr>
          <w:rFonts w:hint="eastAsia" w:ascii="华文中宋" w:hAnsi="华文中宋" w:eastAsia="华文中宋"/>
          <w:b/>
          <w:color w:val="auto"/>
          <w:sz w:val="36"/>
          <w:szCs w:val="36"/>
          <w:highlight w:val="none"/>
          <w:lang w:eastAsia="zh-CN"/>
        </w:rPr>
        <w:t>徐州市耕地保护和利用专项规划</w:t>
      </w:r>
      <w:r>
        <w:rPr>
          <w:rFonts w:hint="eastAsia" w:ascii="华文中宋" w:hAnsi="华文中宋" w:eastAsia="华文中宋"/>
          <w:b/>
          <w:color w:val="auto"/>
          <w:sz w:val="36"/>
          <w:szCs w:val="36"/>
          <w:highlight w:val="none"/>
        </w:rPr>
        <w:t>》</w:t>
      </w:r>
    </w:p>
    <w:p w14:paraId="43DBB4B6">
      <w:pPr>
        <w:pageBreakBefore w:val="0"/>
        <w:kinsoku/>
        <w:wordWrap/>
        <w:overflowPunct/>
        <w:topLinePunct w:val="0"/>
        <w:autoSpaceDE/>
        <w:autoSpaceDN/>
        <w:bidi w:val="0"/>
        <w:adjustRightInd/>
        <w:snapToGrid/>
        <w:spacing w:beforeAutospacing="0" w:afterAutospacing="0" w:line="440" w:lineRule="exact"/>
        <w:ind w:left="0" w:right="0" w:firstLine="723" w:firstLineChars="200"/>
        <w:jc w:val="center"/>
        <w:textAlignment w:val="auto"/>
        <w:rPr>
          <w:rFonts w:hint="eastAsia" w:ascii="华文中宋" w:hAnsi="华文中宋" w:eastAsia="华文中宋"/>
          <w:b/>
          <w:color w:val="auto"/>
          <w:sz w:val="36"/>
          <w:szCs w:val="36"/>
          <w:highlight w:val="none"/>
        </w:rPr>
      </w:pPr>
      <w:r>
        <w:rPr>
          <w:rFonts w:hint="eastAsia" w:ascii="华文中宋" w:hAnsi="华文中宋" w:eastAsia="华文中宋"/>
          <w:b/>
          <w:color w:val="auto"/>
          <w:sz w:val="36"/>
          <w:szCs w:val="36"/>
          <w:highlight w:val="none"/>
        </w:rPr>
        <w:t>招标文件</w:t>
      </w:r>
    </w:p>
    <w:p w14:paraId="556F7D8F">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遵照政府采购法律法规、制度规定和采购人的采购需求、评标标准、评标办法，编制本项目招标文件。本项目招标文件共分七章：第一章，投标邀请;第二章，投标人须知;第三章，投标资料表;第四章，评标标准;第五章，拟签订的合同文本;第六章，采购需求;第七章，投标文件相关格式。</w:t>
      </w:r>
    </w:p>
    <w:p w14:paraId="3D12EDDD">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060EF046">
      <w:pPr>
        <w:pStyle w:val="202"/>
        <w:pageBreakBefore w:val="0"/>
        <w:widowControl w:val="0"/>
        <w:kinsoku/>
        <w:wordWrap/>
        <w:overflowPunct/>
        <w:topLinePunct w:val="0"/>
        <w:autoSpaceDE/>
        <w:autoSpaceDN/>
        <w:bidi w:val="0"/>
        <w:adjustRightInd/>
        <w:snapToGrid/>
        <w:spacing w:beforeAutospacing="0" w:afterAutospacing="0" w:line="440" w:lineRule="exact"/>
        <w:ind w:left="0" w:right="0" w:firstLine="643" w:firstLineChars="200"/>
        <w:textAlignment w:val="auto"/>
        <w:rPr>
          <w:rFonts w:hint="eastAsia" w:ascii="宋体" w:hAnsi="宋体" w:eastAsia="宋体" w:cs="宋体"/>
          <w:color w:val="auto"/>
          <w:sz w:val="32"/>
          <w:szCs w:val="32"/>
          <w:highlight w:val="none"/>
        </w:rPr>
      </w:pPr>
      <w:bookmarkStart w:id="1" w:name="_Toc20862"/>
      <w:r>
        <w:rPr>
          <w:rFonts w:hint="eastAsia" w:ascii="宋体" w:hAnsi="宋体" w:eastAsia="宋体" w:cs="宋体"/>
          <w:color w:val="auto"/>
          <w:sz w:val="32"/>
          <w:szCs w:val="32"/>
          <w:highlight w:val="none"/>
        </w:rPr>
        <w:t>第一章  投标邀请</w:t>
      </w:r>
      <w:bookmarkEnd w:id="1"/>
    </w:p>
    <w:p w14:paraId="2BFDE89D">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auto"/>
          <w:sz w:val="24"/>
          <w:szCs w:val="24"/>
          <w:highlight w:val="none"/>
        </w:rPr>
      </w:pPr>
    </w:p>
    <w:p w14:paraId="11661B25">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cs="宋体"/>
          <w:color w:val="auto"/>
          <w:sz w:val="24"/>
          <w:szCs w:val="24"/>
          <w:highlight w:val="none"/>
          <w:u w:val="single"/>
          <w:lang w:eastAsia="zh-CN"/>
        </w:rPr>
        <w:t>江苏华铭工程管理咨询有限公司</w:t>
      </w:r>
      <w:r>
        <w:rPr>
          <w:rFonts w:hint="eastAsia" w:ascii="宋体" w:hAnsi="宋体" w:eastAsia="宋体" w:cs="宋体"/>
          <w:color w:val="auto"/>
          <w:sz w:val="24"/>
          <w:szCs w:val="24"/>
          <w:highlight w:val="none"/>
        </w:rPr>
        <w:t>对</w:t>
      </w:r>
      <w:r>
        <w:rPr>
          <w:rFonts w:hint="eastAsia" w:ascii="宋体" w:hAnsi="宋体" w:cs="宋体"/>
          <w:color w:val="auto"/>
          <w:sz w:val="24"/>
          <w:szCs w:val="24"/>
          <w:highlight w:val="none"/>
          <w:u w:val="single"/>
          <w:lang w:eastAsia="zh-CN"/>
        </w:rPr>
        <w:t>徐州市自然资源和规划局</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u w:val="single"/>
          <w:lang w:eastAsia="zh-CN"/>
        </w:rPr>
        <w:t>徐州市耕地保护和利用专项规划</w:t>
      </w:r>
      <w:r>
        <w:rPr>
          <w:rFonts w:hint="eastAsia" w:ascii="宋体" w:hAnsi="宋体" w:eastAsia="宋体" w:cs="宋体"/>
          <w:color w:val="auto"/>
          <w:sz w:val="24"/>
          <w:szCs w:val="24"/>
          <w:highlight w:val="none"/>
        </w:rPr>
        <w:t>”进行公开招标采购，现邀请符合相关条件的供应商投标。</w:t>
      </w:r>
    </w:p>
    <w:p w14:paraId="54B3E563">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一、项目名称和项目编号</w:t>
      </w:r>
    </w:p>
    <w:p w14:paraId="71E5E9BC">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(一)项目名称：</w:t>
      </w:r>
      <w:r>
        <w:rPr>
          <w:rFonts w:hint="eastAsia" w:ascii="宋体" w:hAnsi="宋体" w:cs="宋体"/>
          <w:color w:val="auto"/>
          <w:sz w:val="24"/>
          <w:szCs w:val="24"/>
          <w:highlight w:val="none"/>
          <w:lang w:eastAsia="zh-CN"/>
        </w:rPr>
        <w:t>徐州市耕地保护和利用专项规划</w:t>
      </w:r>
    </w:p>
    <w:p w14:paraId="39E6A23D">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(二)项目编号：</w:t>
      </w:r>
      <w:r>
        <w:rPr>
          <w:rFonts w:hint="eastAsia" w:ascii="宋体" w:hAnsi="宋体" w:cs="宋体"/>
          <w:color w:val="auto"/>
          <w:sz w:val="24"/>
          <w:szCs w:val="24"/>
          <w:highlight w:val="none"/>
          <w:lang w:eastAsia="zh-CN"/>
        </w:rPr>
        <w:t>JSZC-320300-HMGL-G2025-0002</w:t>
      </w:r>
    </w:p>
    <w:p w14:paraId="4CBEDF0E">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二、对投标人的资格要求</w:t>
      </w:r>
    </w:p>
    <w:p w14:paraId="6DD10C30">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default" w:asciiTheme="minorEastAsia" w:hAnsiTheme="minorEastAsia" w:eastAsiaTheme="minorEastAsia"/>
          <w:sz w:val="24"/>
          <w:highlight w:val="none"/>
          <w:lang w:val="en-US" w:eastAsia="zh-CN"/>
        </w:rPr>
      </w:pPr>
      <w:r>
        <w:rPr>
          <w:rFonts w:hint="eastAsia" w:ascii="宋体" w:hAnsi="宋体" w:eastAsia="宋体" w:cs="宋体"/>
          <w:color w:val="auto"/>
          <w:sz w:val="24"/>
          <w:szCs w:val="24"/>
          <w:highlight w:val="none"/>
        </w:rPr>
        <w:t>详见本项目公开招标公告。</w:t>
      </w:r>
    </w:p>
    <w:p w14:paraId="52C7E3BA">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三、获取招标文件</w:t>
      </w:r>
      <w:bookmarkEnd w:id="0"/>
    </w:p>
    <w:p w14:paraId="338451EB">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（1）潜在供应商访问电子招标投标交易平台的网络地址和方法：</w:t>
      </w:r>
    </w:p>
    <w:p w14:paraId="16CC0E9F">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①登录 http://jszfcg.jsczt.cn/ ，或进入徐州政府采购网--业务工作--用户登录，点击“苏采云”进入系统。</w:t>
      </w:r>
    </w:p>
    <w:p w14:paraId="77A9DE33">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②供应商需办理CA锁，“苏采云”系统目前仅支持“苏采云”系统下的政务CA，省内各地区办理的“苏采云”系统下的政务CA全省通用。“CA数字证书”的办理材料详见“徐州政府采购网-业务工作-快速服务-下载专区”中的《“苏采云”系统政务CA办理材料、操作手册及控件下载》。</w:t>
      </w:r>
    </w:p>
    <w:p w14:paraId="00251DA5">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（2）采购代理机构将数据电文形式的招标文件加载至电子招标投标交易平台，供潜在供应商下载或者查阅。</w:t>
      </w:r>
    </w:p>
    <w:p w14:paraId="3F42A601">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bCs/>
          <w:color w:val="auto"/>
          <w:sz w:val="24"/>
          <w:szCs w:val="24"/>
          <w:highlight w:val="none"/>
        </w:rPr>
      </w:pPr>
      <w:r>
        <w:rPr>
          <w:rFonts w:hint="eastAsia" w:ascii="宋体" w:hAnsi="宋体" w:eastAsia="宋体" w:cs="宋体"/>
          <w:bCs/>
          <w:color w:val="auto"/>
          <w:sz w:val="24"/>
          <w:szCs w:val="24"/>
          <w:highlight w:val="none"/>
        </w:rPr>
        <w:t xml:space="preserve">（3）售价：免费。 </w:t>
      </w:r>
    </w:p>
    <w:p w14:paraId="4BEB4177">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四、提交投标文件截止时间、开标时间和地点</w:t>
      </w:r>
    </w:p>
    <w:p w14:paraId="6EC5F9F4">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（一）投标截止时间：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rPr>
        <w:t>北京时间</w:t>
      </w:r>
      <w:r>
        <w:rPr>
          <w:rFonts w:hint="eastAsia" w:ascii="宋体" w:hAnsi="宋体" w:cs="宋体"/>
          <w:color w:val="auto"/>
          <w:sz w:val="24"/>
          <w:szCs w:val="24"/>
          <w:highlight w:val="none"/>
          <w:lang w:eastAsia="zh-CN"/>
        </w:rPr>
        <w:t>9：30</w:t>
      </w:r>
      <w:r>
        <w:rPr>
          <w:rFonts w:hint="eastAsia" w:ascii="宋体" w:hAnsi="宋体" w:eastAsia="宋体" w:cs="宋体"/>
          <w:color w:val="auto"/>
          <w:sz w:val="24"/>
          <w:szCs w:val="24"/>
          <w:highlight w:val="none"/>
        </w:rPr>
        <w:t>。</w:t>
      </w:r>
    </w:p>
    <w:p w14:paraId="5FD68D1C">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宋体" w:hAnsi="宋体" w:eastAsia="宋体" w:cs="宋体"/>
          <w:color w:val="auto"/>
          <w:sz w:val="24"/>
          <w:szCs w:val="24"/>
          <w:highlight w:val="none"/>
        </w:rPr>
        <w:t>北京时间</w:t>
      </w:r>
      <w:r>
        <w:rPr>
          <w:rFonts w:hint="eastAsia" w:ascii="宋体" w:hAnsi="宋体" w:cs="宋体"/>
          <w:color w:val="auto"/>
          <w:sz w:val="24"/>
          <w:szCs w:val="24"/>
          <w:highlight w:val="none"/>
          <w:lang w:eastAsia="zh-CN"/>
        </w:rPr>
        <w:t>9：30</w:t>
      </w:r>
      <w:r>
        <w:rPr>
          <w:rFonts w:hint="eastAsia" w:ascii="宋体" w:hAnsi="宋体" w:eastAsia="宋体" w:cs="宋体"/>
          <w:color w:val="auto"/>
          <w:sz w:val="24"/>
          <w:szCs w:val="24"/>
          <w:highlight w:val="none"/>
        </w:rPr>
        <w:t>。</w:t>
      </w:r>
    </w:p>
    <w:p w14:paraId="22A55DC8">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（三）开标地点：“苏采云”系统（网址： http://jszfcg.jsczt.cn/）“开标大厅”或进入徐州政府采购网（网址：http://czj.xz.gov.cn/Home/HomeIndex）-业务工作 -用户登录，点击“苏采云”进入系统“开标大厅”。</w:t>
      </w:r>
    </w:p>
    <w:p w14:paraId="6ECE73B7">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w:t>
      </w:r>
    </w:p>
    <w:p w14:paraId="6FDF47F8">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（一）名称：</w:t>
      </w:r>
      <w:r>
        <w:rPr>
          <w:rFonts w:hint="eastAsia" w:ascii="宋体" w:hAnsi="宋体" w:cs="宋体"/>
          <w:color w:val="auto"/>
          <w:sz w:val="24"/>
          <w:szCs w:val="24"/>
          <w:highlight w:val="none"/>
          <w:lang w:eastAsia="zh-CN"/>
        </w:rPr>
        <w:t>徐州市自然资源和规划局</w:t>
      </w:r>
      <w:r>
        <w:rPr>
          <w:rFonts w:hint="eastAsia" w:ascii="宋体" w:hAnsi="宋体" w:eastAsia="宋体" w:cs="宋体"/>
          <w:color w:val="auto"/>
          <w:sz w:val="24"/>
          <w:szCs w:val="24"/>
          <w:highlight w:val="none"/>
        </w:rPr>
        <w:t>。</w:t>
      </w:r>
    </w:p>
    <w:p w14:paraId="1A339941">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（二）地址：</w:t>
      </w:r>
      <w:r>
        <w:rPr>
          <w:rFonts w:hint="eastAsia" w:ascii="宋体" w:hAnsi="宋体" w:cs="宋体"/>
          <w:color w:val="auto"/>
          <w:sz w:val="24"/>
          <w:szCs w:val="24"/>
          <w:highlight w:val="none"/>
          <w:lang w:eastAsia="zh-CN"/>
        </w:rPr>
        <w:t>徐州市镜泊西路7号</w:t>
      </w:r>
    </w:p>
    <w:p w14:paraId="014F90A4">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（三）联系方法：</w:t>
      </w:r>
      <w:r>
        <w:rPr>
          <w:rFonts w:hint="eastAsia" w:ascii="宋体" w:hAnsi="宋体" w:cs="宋体"/>
          <w:color w:val="auto"/>
          <w:sz w:val="24"/>
          <w:szCs w:val="24"/>
          <w:highlight w:val="none"/>
          <w:lang w:val="en-US" w:eastAsia="zh-CN"/>
        </w:rPr>
        <w:t>15050012727</w:t>
      </w:r>
    </w:p>
    <w:p w14:paraId="7F2C97C9">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val="en-US" w:eastAsia="zh-CN"/>
        </w:rPr>
      </w:pPr>
      <w:r>
        <w:rPr>
          <w:rFonts w:hint="eastAsia" w:ascii="宋体" w:hAnsi="宋体" w:eastAsia="宋体" w:cs="宋体"/>
          <w:color w:val="auto"/>
          <w:sz w:val="24"/>
          <w:szCs w:val="24"/>
          <w:highlight w:val="none"/>
        </w:rPr>
        <w:t>（四）采购项目联系人：</w:t>
      </w:r>
      <w:r>
        <w:rPr>
          <w:rFonts w:hint="eastAsia" w:ascii="宋体" w:hAnsi="宋体" w:cs="宋体"/>
          <w:color w:val="auto"/>
          <w:sz w:val="24"/>
          <w:szCs w:val="24"/>
          <w:highlight w:val="none"/>
          <w:lang w:val="en-US" w:eastAsia="zh-CN"/>
        </w:rPr>
        <w:t>许瑞山</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val="en-US" w:eastAsia="zh-CN"/>
        </w:rPr>
        <w:t>15050012727</w:t>
      </w:r>
    </w:p>
    <w:p w14:paraId="48BBD4D7">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六、采购代理机构</w:t>
      </w:r>
    </w:p>
    <w:p w14:paraId="48FBEF68">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（一）名称：</w:t>
      </w:r>
      <w:r>
        <w:rPr>
          <w:rFonts w:hint="eastAsia" w:ascii="宋体" w:hAnsi="宋体" w:cs="宋体"/>
          <w:color w:val="auto"/>
          <w:sz w:val="24"/>
          <w:szCs w:val="24"/>
          <w:highlight w:val="none"/>
          <w:lang w:eastAsia="zh-CN"/>
        </w:rPr>
        <w:t>江苏华铭工程管理咨询有限公司</w:t>
      </w:r>
      <w:r>
        <w:rPr>
          <w:rFonts w:hint="eastAsia" w:ascii="宋体" w:hAnsi="宋体" w:eastAsia="宋体" w:cs="宋体"/>
          <w:color w:val="auto"/>
          <w:sz w:val="24"/>
          <w:szCs w:val="24"/>
          <w:highlight w:val="none"/>
        </w:rPr>
        <w:t>。</w:t>
      </w:r>
    </w:p>
    <w:p w14:paraId="2558B920">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（二）地址：</w:t>
      </w:r>
      <w:r>
        <w:rPr>
          <w:rFonts w:hint="eastAsia" w:ascii="宋体" w:hAnsi="宋体" w:cs="宋体"/>
          <w:color w:val="auto"/>
          <w:sz w:val="24"/>
          <w:szCs w:val="24"/>
          <w:highlight w:val="none"/>
          <w:lang w:eastAsia="zh-CN"/>
        </w:rPr>
        <w:t>徐州市云龙区绿地商务城商务办公楼B号楼1-1607</w:t>
      </w:r>
    </w:p>
    <w:p w14:paraId="720F5DB1">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（三）联系方法：</w:t>
      </w:r>
      <w:r>
        <w:rPr>
          <w:rFonts w:hint="eastAsia" w:ascii="宋体" w:hAnsi="宋体" w:cs="宋体"/>
          <w:color w:val="auto"/>
          <w:sz w:val="24"/>
          <w:szCs w:val="24"/>
          <w:highlight w:val="none"/>
          <w:lang w:eastAsia="zh-CN"/>
        </w:rPr>
        <w:t>19285150710</w:t>
      </w:r>
      <w:r>
        <w:rPr>
          <w:rFonts w:hint="eastAsia" w:ascii="宋体" w:hAnsi="宋体" w:eastAsia="宋体" w:cs="宋体"/>
          <w:color w:val="auto"/>
          <w:sz w:val="24"/>
          <w:szCs w:val="24"/>
          <w:highlight w:val="none"/>
        </w:rPr>
        <w:t xml:space="preserve"> </w:t>
      </w:r>
    </w:p>
    <w:p w14:paraId="0E046083">
      <w:pPr>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（四）采购项目联系人：</w:t>
      </w:r>
      <w:r>
        <w:rPr>
          <w:rFonts w:hint="eastAsia" w:ascii="宋体" w:hAnsi="宋体" w:cs="宋体"/>
          <w:color w:val="auto"/>
          <w:sz w:val="24"/>
          <w:szCs w:val="24"/>
          <w:highlight w:val="none"/>
          <w:lang w:eastAsia="zh-CN"/>
        </w:rPr>
        <w:t>魏雪梅</w:t>
      </w:r>
      <w:r>
        <w:rPr>
          <w:rFonts w:hint="eastAsia" w:ascii="宋体" w:hAnsi="宋体" w:eastAsia="宋体" w:cs="宋体"/>
          <w:color w:val="auto"/>
          <w:sz w:val="24"/>
          <w:szCs w:val="24"/>
          <w:highlight w:val="none"/>
        </w:rPr>
        <w:t>；</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联系电话：</w:t>
      </w:r>
      <w:r>
        <w:rPr>
          <w:rFonts w:hint="eastAsia" w:ascii="宋体" w:hAnsi="宋体" w:cs="宋体"/>
          <w:color w:val="auto"/>
          <w:sz w:val="24"/>
          <w:szCs w:val="24"/>
          <w:highlight w:val="none"/>
          <w:lang w:eastAsia="zh-CN"/>
        </w:rPr>
        <w:t>19285150710</w:t>
      </w:r>
      <w:r>
        <w:rPr>
          <w:rFonts w:hint="eastAsia" w:ascii="宋体" w:hAnsi="宋体" w:eastAsia="宋体" w:cs="宋体"/>
          <w:color w:val="auto"/>
          <w:sz w:val="24"/>
          <w:szCs w:val="24"/>
          <w:highlight w:val="none"/>
        </w:rPr>
        <w:t xml:space="preserve"> </w:t>
      </w:r>
    </w:p>
    <w:p w14:paraId="6D8C02F1">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45BAB797">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r>
        <w:rPr>
          <w:rFonts w:ascii="仿宋_GB2312" w:hAnsi="宋体" w:eastAsia="仿宋_GB2312"/>
          <w:color w:val="auto"/>
          <w:sz w:val="30"/>
          <w:szCs w:val="30"/>
          <w:highlight w:val="none"/>
        </w:rPr>
        <w:br w:type="page" w:clear="all"/>
      </w:r>
    </w:p>
    <w:p w14:paraId="2C84372C">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675D9890">
      <w:pPr>
        <w:pStyle w:val="5"/>
        <w:pageBreakBefore w:val="0"/>
        <w:kinsoku/>
        <w:wordWrap/>
        <w:overflowPunct/>
        <w:topLinePunct w:val="0"/>
        <w:autoSpaceDE/>
        <w:autoSpaceDN/>
        <w:bidi w:val="0"/>
        <w:adjustRightInd/>
        <w:snapToGrid/>
        <w:spacing w:before="0" w:beforeAutospacing="0" w:after="0" w:afterAutospacing="0" w:line="440" w:lineRule="exact"/>
        <w:ind w:left="0" w:right="0" w:firstLine="723" w:firstLineChars="200"/>
        <w:jc w:val="center"/>
        <w:textAlignment w:val="auto"/>
        <w:rPr>
          <w:rFonts w:ascii="仿宋_GB2312" w:hAnsi="宋体" w:eastAsia="仿宋_GB2312"/>
          <w:color w:val="auto"/>
          <w:sz w:val="36"/>
          <w:szCs w:val="36"/>
          <w:highlight w:val="none"/>
        </w:rPr>
      </w:pPr>
      <w:bookmarkStart w:id="2" w:name="_Toc31451"/>
      <w:r>
        <w:rPr>
          <w:rFonts w:hint="eastAsia"/>
          <w:sz w:val="36"/>
          <w:szCs w:val="36"/>
          <w:highlight w:val="none"/>
        </w:rPr>
        <w:t>第二章  投标人须知</w:t>
      </w:r>
      <w:bookmarkEnd w:id="2"/>
    </w:p>
    <w:p w14:paraId="4DECD13C">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一、总则</w:t>
      </w:r>
    </w:p>
    <w:p w14:paraId="16E3B65D">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（一）采购人。采购人即指依法进行政府采购的国家机关、事业单位和团体组织。</w:t>
      </w:r>
    </w:p>
    <w:p w14:paraId="4B61B6B4">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（二）政府招标采购方式。政府采购货物或服务（以下简称“货物服务”）的招标方式，分为公开招标和邀请招标。</w:t>
      </w:r>
    </w:p>
    <w:p w14:paraId="2EE6A11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（三）采购人在采购货物服务的招标投标活动中，应当贯彻落实“节约能源、保护环境、扶持不发达地区和少数民族地区和促进中小企业发展”等政府采购政策。</w:t>
      </w:r>
    </w:p>
    <w:p w14:paraId="1B5BC3F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（四）采购人应当按照财政部制定的《政府采购品目分类目录》确定采购项目属性，对按照《政府采购品目分类目录》无法确定采购项目属性的，应按照有利于采购项目实施的原则确定。</w:t>
      </w:r>
    </w:p>
    <w:p w14:paraId="79473C4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（五）采购人委托采购代理机构代理招标的，采购代理机构必须在采购人委托的范围内依法开展采购活动。</w:t>
      </w:r>
    </w:p>
    <w:p w14:paraId="1374458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（六）投标人的资格条件：</w:t>
      </w:r>
    </w:p>
    <w:p w14:paraId="3ACC325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1.参加“政府采购货物服务投标活动”的供应商（以下简称投标人），应当是能够提供本国货物服务的本国供应商，但法律、行政法规规定的外国供应商可以参加货物服务招标投标活动的除外。</w:t>
      </w:r>
    </w:p>
    <w:p w14:paraId="4CA75A1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投标人是指响应招标、参加投标竞争的法人、其他组织或者自然人。</w:t>
      </w:r>
    </w:p>
    <w:p w14:paraId="01F1BE7C">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2.投标人授权代表系指法定代表人或受法人委托的受托人。</w:t>
      </w:r>
    </w:p>
    <w:p w14:paraId="5BACE95B">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（七）投标费用：投标人应承担所有与准备和参加投标有关的费用。无论投标的结果如何，采购代理机构对上述费用不承担任何责任和义务。</w:t>
      </w:r>
    </w:p>
    <w:p w14:paraId="17C5C85E">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二、招标</w:t>
      </w:r>
    </w:p>
    <w:p w14:paraId="7ACA6971">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（八）招标文件应包括以下内容：</w:t>
      </w:r>
    </w:p>
    <w:p w14:paraId="594D5598">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第一章，投标邀请；</w:t>
      </w:r>
    </w:p>
    <w:p w14:paraId="2B2F268B">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第二章，投标人须知；</w:t>
      </w:r>
    </w:p>
    <w:p w14:paraId="5BF75B69">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第三章，投标资料表；</w:t>
      </w:r>
    </w:p>
    <w:p w14:paraId="6D0B1D6E">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第四章，评标标准；</w:t>
      </w:r>
    </w:p>
    <w:p w14:paraId="7FA47AA3">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第五章，拟签订的合同文本；</w:t>
      </w:r>
    </w:p>
    <w:p w14:paraId="01339E0E">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第六章，采购需求；</w:t>
      </w:r>
    </w:p>
    <w:p w14:paraId="774BEC97">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第七章，投标文件相关格式。</w:t>
      </w:r>
    </w:p>
    <w:p w14:paraId="1D1D6B8E">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（九）招标文件澄清或者修改：</w:t>
      </w:r>
    </w:p>
    <w:p w14:paraId="046EDA53">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可以对已发出的招标文件、资格预审文件、投标邀请书进行必要的澄清或者修改，但不得改变采购标的和资格条件。澄清或者修改应当在原公告发布媒体上发布澄清公告。澄清或者修改的内容为招标文件、资格预审文件、投标邀请书的组成部分。</w:t>
      </w:r>
    </w:p>
    <w:p w14:paraId="439CB176">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澄清或者修改的内容可能影响投标文件编制的，采购代理机构应当在投标截止时间至少15日前，以书面形式通知所有获取招标文件的潜在投标人；不足15日的，采购代理机构应当顺延提交投标文件的截止时间。</w:t>
      </w:r>
    </w:p>
    <w:p w14:paraId="15A17424">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2.现场考察以本文件第三章《投标资料表》中的要求为准。</w:t>
      </w:r>
    </w:p>
    <w:p w14:paraId="4350B04B">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3.开标前答疑会以本文件第三章《投标资料表》中的要求为准。</w:t>
      </w:r>
    </w:p>
    <w:p w14:paraId="365EA211">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三、投标</w:t>
      </w:r>
    </w:p>
    <w:p w14:paraId="063B63D2">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（十）投标人应当按照招标文件的要求编制投标文件。投标文件应对招标文件提出的要求和条件作出实质性响应。</w:t>
      </w:r>
    </w:p>
    <w:p w14:paraId="00CC98C6">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（十一）投标文件的语言。投标文件以及投标人与采购代理机构就有关投标的往来函电均应使用本文件第三章《投标资料表》规定的语言书写，否则无效。</w:t>
      </w:r>
    </w:p>
    <w:p w14:paraId="1342C34C">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（十二）投标文件的构成：</w:t>
      </w:r>
    </w:p>
    <w:p w14:paraId="6CD08EF8">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1.投标文件的构成以本文件第三章《投标资料表》中的要求为准。</w:t>
      </w:r>
    </w:p>
    <w:p w14:paraId="00E6708B">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2.投标人应当提交的资格、资信证明文件，以本文件第三章《投标资料表》中的所提要求为准。</w:t>
      </w:r>
    </w:p>
    <w:p w14:paraId="22499334">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（十三）投标函和价格表、商务条件、交货和提供服务的时间：</w:t>
      </w:r>
    </w:p>
    <w:p w14:paraId="6F2E797D">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1.投标函和价格表的要求见本章（十二）、（十三），格式见本文件第七章《投标文件相关格式》中《投标函》和《开标一览表》。</w:t>
      </w:r>
    </w:p>
    <w:p w14:paraId="55B018D1">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2.商务条件以本文件第三章《投标资料表》中的要求为准。</w:t>
      </w:r>
    </w:p>
    <w:p w14:paraId="79DF0AE2">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3.交货和提供服务的时间，以本文件第三章《投标资料表》中所提要求为准。</w:t>
      </w:r>
    </w:p>
    <w:p w14:paraId="57B27CCE">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（十四）投标报价要求：</w:t>
      </w:r>
    </w:p>
    <w:p w14:paraId="2371B880">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1.投标人应按照招标文件的要求报出分项价格和总价。</w:t>
      </w:r>
    </w:p>
    <w:p w14:paraId="6E1C8F3D">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2.投标人应按照招标文件的要求进行报价，如投标人作出偏离，应在《偏离表》中列出。</w:t>
      </w:r>
    </w:p>
    <w:p w14:paraId="62FE4C85">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3.采购人不支付报价以外的任何费用。</w:t>
      </w:r>
    </w:p>
    <w:p w14:paraId="5FB34641">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4.投标人所报的价格，在合同执行过程中是固定的，不得以任何理由予以变更。投标人提交滑动价格的投标文件，在资格性、符合性检查时按照无效投标处理。</w:t>
      </w:r>
    </w:p>
    <w:p w14:paraId="27D4E0E8">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5.投标人只能提交一个投标价格，投标人提交多个价格的投标文件，在资格性、符合性检查时按照无效投标处理。</w:t>
      </w:r>
    </w:p>
    <w:p w14:paraId="178FE612">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（十五）投标货币。以本文件第三章《投标资料表》中所提要求为准。</w:t>
      </w:r>
    </w:p>
    <w:p w14:paraId="789636F9">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（十六）投标有效期：</w:t>
      </w:r>
    </w:p>
    <w:p w14:paraId="3302A360">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1.投标有效期为开标之日后90天。采购人可以要求对投标有效期延长一次，但该延长期最长不得超过30天。</w:t>
      </w:r>
    </w:p>
    <w:p w14:paraId="1CA39918">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2.采购人要求延长投标有效期的，必须要在距投标有效期满20日之前，以书面形式通知投标人，如果有关投标人同意延长投标有效期的要求，其应在原投标有效期期满前以书面形式向采购人确认。</w:t>
      </w:r>
    </w:p>
    <w:p w14:paraId="08830919">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3.如果采购人发出要求延长投标有效期的通知，并在投标有效期届满前，没有收到投标人同意的书面通知，则视为该投标人不接受上述延期的要求。</w:t>
      </w:r>
    </w:p>
    <w:p w14:paraId="3B0AAD83">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（十七）投标文件的编制要求和签署要求：</w:t>
      </w:r>
    </w:p>
    <w:p w14:paraId="4F33E74B">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1.电子投标文件要求</w:t>
      </w:r>
    </w:p>
    <w:p w14:paraId="6897CB5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（1）电子招标投标交易平台（即“苏采云”系统）相关要求是本招标文件的组成部分。</w:t>
      </w:r>
    </w:p>
    <w:p w14:paraId="2A295C9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（2）投标人应对 CA 证书妥善保管，如被他人盗用投标，因此带来的结果均由投标人自行承担。</w:t>
      </w:r>
    </w:p>
    <w:p w14:paraId="3174E81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（3）投标人应当对招标文件提出的要求和条件作出实质性响应，并在电子投标系统逐条应答。</w:t>
      </w:r>
    </w:p>
    <w:p w14:paraId="47663DF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（4）投标人应对要求提供的资格证明文件（如资质证书、资格证书）、技术资料（如白皮书、彩页、手册、检测报告等）扫描上传至投标系统。</w:t>
      </w:r>
    </w:p>
    <w:p w14:paraId="1E64370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2"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b/>
          <w:bCs/>
          <w:color w:val="auto"/>
          <w:sz w:val="24"/>
          <w:szCs w:val="24"/>
          <w:highlight w:val="none"/>
          <w:lang w:eastAsia="zh-CN"/>
        </w:rPr>
        <w:t>注：如投标人为联合体</w:t>
      </w:r>
      <w:r>
        <w:rPr>
          <w:rFonts w:hint="eastAsia" w:ascii="宋体" w:hAnsi="宋体" w:eastAsia="宋体" w:cs="宋体"/>
          <w:b/>
          <w:bCs/>
          <w:color w:val="auto"/>
          <w:sz w:val="24"/>
          <w:szCs w:val="24"/>
          <w:highlight w:val="none"/>
          <w:lang w:val="en-US" w:eastAsia="zh-CN"/>
        </w:rPr>
        <w:t>,</w:t>
      </w:r>
      <w:r>
        <w:rPr>
          <w:rFonts w:hint="eastAsia" w:ascii="宋体" w:hAnsi="宋体" w:eastAsia="宋体" w:cs="宋体"/>
          <w:b/>
          <w:bCs/>
          <w:color w:val="auto"/>
          <w:sz w:val="24"/>
          <w:szCs w:val="24"/>
          <w:highlight w:val="none"/>
          <w:lang w:eastAsia="zh-CN"/>
        </w:rPr>
        <w:t>在</w:t>
      </w:r>
      <w:r>
        <w:rPr>
          <w:rFonts w:hint="eastAsia" w:ascii="宋体" w:hAnsi="宋体" w:eastAsia="宋体" w:cs="宋体"/>
          <w:b/>
          <w:bCs/>
          <w:color w:val="auto"/>
          <w:sz w:val="24"/>
          <w:szCs w:val="24"/>
          <w:highlight w:val="none"/>
        </w:rPr>
        <w:t>线编制响应文件（电子数据）</w:t>
      </w:r>
      <w:r>
        <w:rPr>
          <w:rFonts w:hint="eastAsia" w:ascii="宋体" w:hAnsi="宋体" w:eastAsia="宋体" w:cs="宋体"/>
          <w:b/>
          <w:bCs/>
          <w:color w:val="auto"/>
          <w:sz w:val="24"/>
          <w:szCs w:val="24"/>
          <w:highlight w:val="none"/>
          <w:lang w:eastAsia="zh-CN"/>
        </w:rPr>
        <w:t>需签章的，只需签牵头单位，</w:t>
      </w:r>
      <w:r>
        <w:rPr>
          <w:rFonts w:hint="eastAsia" w:ascii="宋体" w:hAnsi="宋体" w:eastAsia="宋体" w:cs="宋体"/>
          <w:b/>
          <w:bCs/>
          <w:color w:val="auto"/>
          <w:sz w:val="24"/>
          <w:szCs w:val="24"/>
          <w:highlight w:val="none"/>
          <w:lang w:val="en-US" w:eastAsia="zh-CN"/>
        </w:rPr>
        <w:t>特别注明的详见投标文件格式</w:t>
      </w:r>
      <w:r>
        <w:rPr>
          <w:rFonts w:hint="eastAsia" w:ascii="宋体" w:hAnsi="宋体" w:eastAsia="宋体" w:cs="宋体"/>
          <w:b/>
          <w:bCs/>
          <w:color w:val="auto"/>
          <w:sz w:val="24"/>
          <w:szCs w:val="24"/>
          <w:highlight w:val="none"/>
          <w:lang w:eastAsia="zh-CN"/>
        </w:rPr>
        <w:t>。</w:t>
      </w:r>
    </w:p>
    <w:p w14:paraId="1D3826C6">
      <w:pPr>
        <w:pStyle w:val="227"/>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（十八）投标文件的盖章要求：</w:t>
      </w:r>
    </w:p>
    <w:p w14:paraId="04E64493">
      <w:pPr>
        <w:pStyle w:val="227"/>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投标文件的盖章要求，以本文件第三章《投标资料表》中所提要求为准。</w:t>
      </w:r>
    </w:p>
    <w:p w14:paraId="33804C6E">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（十九）提交电子投标文件的截止时间注意事项。投标人应在招标文件要求的提交投标文件的截止时间前，将投标文件提交至“苏采云”系统。</w:t>
      </w:r>
    </w:p>
    <w:p w14:paraId="2646F8D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（二十）凡在招标文件要求提交投标文件的截止时间之后提交的投标文件，均为无效投标文件，“苏采云”系统将自动拒收。各投标人应在规定时间内通过CA锁进行网上解密。</w:t>
      </w:r>
    </w:p>
    <w:p w14:paraId="0F61DBC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一）投标人在投标截止时间前，可以对所递交的投标文件进行补充、修改或者撤回，但应书面通知采购代理机构。其所进行补充、修改的内容，应当按照招标文件要求进行电子签章，然后纳为投标文件的组成部分。</w:t>
      </w:r>
    </w:p>
    <w:p w14:paraId="48D5537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（二十二）本项目不允许分包。</w:t>
      </w:r>
    </w:p>
    <w:p w14:paraId="7672F2E4">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（二十三）投标人应当遵循公平竞争的原则，不得恶意串通，不得妨碍其他投标人的竞争行为，不得损害采购人或者其他投标人的合法权益。</w:t>
      </w:r>
    </w:p>
    <w:p w14:paraId="0160009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在评标过程中发现投标人有上述情形的，评标委员会应当认定其投标无效，并书面报告本级财政部门。</w:t>
      </w:r>
    </w:p>
    <w:p w14:paraId="42CAE911">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2" w:firstLineChars="200"/>
        <w:jc w:val="left"/>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（二十四）有下列情形之一的，其投标无效。</w:t>
      </w:r>
    </w:p>
    <w:p w14:paraId="6B8441B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1.不同投标人的投标文件，由同一单位或者个人编制；</w:t>
      </w:r>
    </w:p>
    <w:p w14:paraId="6BF71B5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2.不同投标人委托同一单位或者个人办理投标事宜；</w:t>
      </w:r>
    </w:p>
    <w:p w14:paraId="21011A2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3.不同投标人的投标文件中，所载明的项目管理成员或联系人为同一人；</w:t>
      </w:r>
    </w:p>
    <w:p w14:paraId="44B3A68C">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4.不同投标人的投标文件，异常一致或者投标报价呈规律性差异；</w:t>
      </w:r>
    </w:p>
    <w:p w14:paraId="3A407E6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5.不同投标人的投标文件相互混装；</w:t>
      </w:r>
    </w:p>
    <w:p w14:paraId="1F4B0C9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6.不同投标人投标文件内容存在非正常一致、项目组成员出现同一人、投标文件中错误（或异常）一致或雷同、电子文档信息一致或雷同的、投标报价呈规律性差异的；</w:t>
      </w:r>
    </w:p>
    <w:p w14:paraId="3820AF20">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7.电子投标文件未按规定期限投标的；</w:t>
      </w:r>
    </w:p>
    <w:p w14:paraId="1D1C02F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8.电子投标文件未按招标文件要求签章的；</w:t>
      </w:r>
    </w:p>
    <w:p w14:paraId="7ECC027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9.投标人未在规定时间内解密电子投标文件的；</w:t>
      </w:r>
    </w:p>
    <w:p w14:paraId="2C9E8AA2">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10.投标文件未按招标文件规定的内容和要求填写的；没有在投标系统指定位置上传对应文件、材料的。</w:t>
      </w:r>
    </w:p>
    <w:p w14:paraId="334E124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11.不具备招标文件中规定的资格要求的；</w:t>
      </w:r>
    </w:p>
    <w:p w14:paraId="5A07FAB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12.报价超过招标文件中规定的预算金额或者最高限价的；</w:t>
      </w:r>
    </w:p>
    <w:p w14:paraId="335AA7B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13.投标文件含有采购人不能接受的附加条件的；</w:t>
      </w:r>
    </w:p>
    <w:p w14:paraId="76820D9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14.法律、法规和招标文件规定的其他无效情形。</w:t>
      </w:r>
    </w:p>
    <w:p w14:paraId="3D34B18A">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四、开标</w:t>
      </w:r>
    </w:p>
    <w:p w14:paraId="78A7BF99">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（二十五）开标：</w:t>
      </w:r>
    </w:p>
    <w:p w14:paraId="3C8FC161">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1.开标时间及地点。开标应当在招标文件确定的提交投标文件截止时间的同一时间公开进行；开标地点应当为招标文件中预先确定的地点。</w:t>
      </w:r>
    </w:p>
    <w:p w14:paraId="36BEDA4C">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2.由电子招标投标交易平台主持，邀请投标人参加。</w:t>
      </w:r>
    </w:p>
    <w:p w14:paraId="07AA97CB">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所有投标单位使用 CA 证书在开标时间时，解密各自投标文件，由工作人员操作系统进行开标，投标人不足3家的，不得评标。</w:t>
      </w:r>
    </w:p>
    <w:p w14:paraId="333C5345">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4.投标人原因造成投标文件未解密的，视为撤销其投标文件;因投标人之外的原因造成投标文件未解密的，视为撤回其投标文件。部分投标文件未解密的，其他投标文件的开标可以继续进行。</w:t>
      </w:r>
    </w:p>
    <w:p w14:paraId="631707ED">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五、评标</w:t>
      </w:r>
    </w:p>
    <w:p w14:paraId="12AA3AE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（二十六）公开招标采购项目开标结束后，采购人依法对投标人的资格进行审查。合格投标人不足3家的，不得评标。</w:t>
      </w:r>
    </w:p>
    <w:p w14:paraId="70D4FB4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1.评标工作由采购代理机构负责组织，并履行下列职责：</w:t>
      </w:r>
    </w:p>
    <w:p w14:paraId="3F16112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（1）核对评审专家身份和采购人代表授权函，对评审专家在政府采购活动中的职责履行情况予以记录，并及时将有关违法违规行为向财政部门报告；</w:t>
      </w:r>
    </w:p>
    <w:p w14:paraId="1322E610">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（2）宣布评标纪律；</w:t>
      </w:r>
    </w:p>
    <w:p w14:paraId="7551BBD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（3）公布投标人名单，告知评审专家应当回避的情形；</w:t>
      </w:r>
    </w:p>
    <w:p w14:paraId="227C78C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（4）组织评标委员会推选评标组长（采购人代表不得担任组长）；</w:t>
      </w:r>
    </w:p>
    <w:p w14:paraId="73C2D4B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（5）在评标期间采取必要的通讯管理措施，保证评标活动不受外界干扰；</w:t>
      </w:r>
    </w:p>
    <w:p w14:paraId="731A81C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（6）根据评标委员会的要求介绍政府采购相关政策法规、招标文件；</w:t>
      </w:r>
    </w:p>
    <w:p w14:paraId="1EBF21A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（7）维护评标秩序，监督评标委员会依照招标文件规定的评标程序、方法和标准进行独立评审。及时制止和纠正采购人代表、评审专家的倾向性言论或者违法违规行为；</w:t>
      </w:r>
    </w:p>
    <w:p w14:paraId="5BFC737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（8）核对评标结果，对有《</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"http://www.caigou2003.com/"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政府采购</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货物和服务招标投标管理办法》第六十四条规定情形的，应要求评标委员会复核或者书面说明理由，评标委员会拒绝的，应予记录并向本级财政部门报告；</w:t>
      </w:r>
    </w:p>
    <w:p w14:paraId="1E809E6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（9）评审工作完成后，按照规定向评审专家支付劳务报酬和异地评审差旅费，不得向评审专家以外的其他人员支付评审劳务报酬； </w:t>
      </w:r>
    </w:p>
    <w:p w14:paraId="0F23D6A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（10）处理与评标有关的其他事项。</w:t>
      </w:r>
    </w:p>
    <w:p w14:paraId="31A2B3A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采购人可以在评标前说明项目背景和采购需求，说明内容不得含有歧视性、倾向性意见，不得超出招标文件所述范围。其说明应当提交书面材料，并随采购文件一并存档。</w:t>
      </w:r>
    </w:p>
    <w:p w14:paraId="74CB35D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2.评标委员会负责具体评标事务，并独立履行下列职责：</w:t>
      </w:r>
    </w:p>
    <w:p w14:paraId="60CFC0C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（1）审查、评价投标文件是否符合招标文件的商务、技术等实质性要求；</w:t>
      </w:r>
    </w:p>
    <w:p w14:paraId="1DC2CBC9">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（2）要求投标人对投标文件有关事项作出澄清或者说明；</w:t>
      </w:r>
    </w:p>
    <w:p w14:paraId="7760D98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（3）对投标文件进行比较和评价；</w:t>
      </w:r>
    </w:p>
    <w:p w14:paraId="63C7F2D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（4）确定中标候选人名单，以及根据采购人委托直接确定中标人；</w:t>
      </w:r>
    </w:p>
    <w:p w14:paraId="4B8C1DF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（5）向采购人、采购代理机构或有关部门报告评标中发现的违法行为。</w:t>
      </w:r>
    </w:p>
    <w:p w14:paraId="09992C2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（二十七）评标方法分为最低评标价法和综合评分法。</w:t>
      </w:r>
    </w:p>
    <w:p w14:paraId="22CD9A0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（二十八）评标</w:t>
      </w:r>
    </w:p>
    <w:p w14:paraId="117EA44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1.评标工作程序：</w:t>
      </w:r>
    </w:p>
    <w:p w14:paraId="1FC5C477">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（1）投标文件初审。</w:t>
      </w:r>
    </w:p>
    <w:p w14:paraId="5C2F77B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①资格性审查。</w:t>
      </w:r>
    </w:p>
    <w:p w14:paraId="02D4039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②符合性审查。</w:t>
      </w:r>
    </w:p>
    <w:p w14:paraId="41F84A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（2）澄清有关问题。</w:t>
      </w:r>
    </w:p>
    <w:p w14:paraId="6018724F">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（3）比较与评价。</w:t>
      </w:r>
    </w:p>
    <w:p w14:paraId="6ACF046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（4）推荐中标候选供应商名单。</w:t>
      </w:r>
    </w:p>
    <w:p w14:paraId="6FFDC06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（5）编写评审报告（评标报告）。</w:t>
      </w:r>
    </w:p>
    <w:p w14:paraId="32AFA09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2.在评标中，不得改变招标文件中规定的评标标准、方法和中标条件。评标委员会对投标文件响应性的判定，要基于投标文件本身的内容，而不得寻求外部的证据。</w:t>
      </w:r>
    </w:p>
    <w:p w14:paraId="7A280BAD">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3.采用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"http://lilun.caigou2003.com/recijiedu/2365668.html"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最低评标价法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的采购项目，对提供相同品牌产品的不同投标人参加同一合同项下投标的，应以其中通过资格审查、符合性审查的，并且报价最低的参加评标；报价相同的，采取随机抽取方式确定，其他投标无效。</w:t>
      </w:r>
    </w:p>
    <w:p w14:paraId="763C5F87">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采用</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"http://lilun.caigou2003.com/recijiedu/2365667.html" \t "_blank"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综合评分法</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的采购项目，对提供相同品牌产品且通过资格审查、符合性审查的不同投标人参加同一合同项下投标的，按一家投标人计算，评审后得分最高的同品牌投标人获得中标人推荐资格；评审得分相同的，由评标委员会按照招标文件规定的方式确定一个投标人获得中标人推荐资格。招标文件未规定采取随机抽取方式确定的，其他同品牌投标人不作为中标候选人。</w:t>
      </w:r>
    </w:p>
    <w:p w14:paraId="1F008FB1">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非单一产品采购项目，多家投标人提供的核心产品品牌相同的，按前两款规定处理。</w:t>
      </w:r>
    </w:p>
    <w:p w14:paraId="1055342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（二十九）投标文件报价出现前后不一致的，按照下列规定修正：</w:t>
      </w:r>
    </w:p>
    <w:p w14:paraId="592EF804">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1.投标文件中开标一览表（报价表）内容与投标文件中相应内容不一致的，以开标一览表（报价表）为准；</w:t>
      </w:r>
    </w:p>
    <w:p w14:paraId="5AC4AF6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2.大写金额和小写金额不一致的，以大写金额为准；</w:t>
      </w:r>
    </w:p>
    <w:p w14:paraId="2E5B7C2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3.单价金额小数点或者百分比有明显错位的，以开标一览表的总价为准，并修改单价；</w:t>
      </w:r>
    </w:p>
    <w:p w14:paraId="3CE8820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4.总价金额与按单价合计金额不一致的，以单价金额计算结果为准。</w:t>
      </w:r>
    </w:p>
    <w:p w14:paraId="095F2123">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同时出现两种以上不一致的，按照前款规定的顺序修正。将修正后的报价，形成投标人的澄清、说明或补正材料，经投标人确认后产生约束力。投标人不确认的，其投标无效。</w:t>
      </w:r>
    </w:p>
    <w:p w14:paraId="79FFCBDA">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评标中需要投标人对投标文件澄清或者说明的，应当通过“苏采云”系统交换数据电文。在评标期间，请投标人保持在线。</w:t>
      </w:r>
    </w:p>
    <w:p w14:paraId="77701A8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评标委员会认为投标人的报价明显低于其他通过符合性审查投标人的报价，有可能影响产品质量或者不能诚信履约的，评标委员会通过“苏采云”系统要求投标人作出必要的说明，并规定回复时间。投标人说明应当采用通过“苏采云”系统（使用“CA数字证书”,加盖电子签章）形式。投标人不能证明其报价合理性的，评标委员会应当将其作为无效投标处理。</w:t>
      </w:r>
    </w:p>
    <w:p w14:paraId="6C316FBB">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（三十一）评标委员会成员对需要共同认定的事项存在争议的，应当按照少数服从多数的原则作出结论。持不同意见的评标委员会成员应当在评标报告上签署不同意见及理由，否则视为同意评标报告。</w:t>
      </w:r>
    </w:p>
    <w:p w14:paraId="2F0E8A12">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（三十二）废标条款：</w:t>
      </w:r>
    </w:p>
    <w:p w14:paraId="0F2B7FEE">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出现下列情形之一的，应予废标。</w:t>
      </w:r>
    </w:p>
    <w:p w14:paraId="44A306C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1.符合专业条件的供应商或者对招标文件作实质响应的供应商不足三家的；</w:t>
      </w:r>
    </w:p>
    <w:p w14:paraId="5A4AA748">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2.出现影响采购公正的违法、违规行为的；</w:t>
      </w:r>
    </w:p>
    <w:p w14:paraId="53B2450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3.投标人的报价均超过了采购预算，采购人不能支付的；</w:t>
      </w:r>
    </w:p>
    <w:p w14:paraId="0CCA0F2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4.因重大变故，采购任务取消的。</w:t>
      </w:r>
    </w:p>
    <w:p w14:paraId="7CE06208">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六、定标</w:t>
      </w:r>
    </w:p>
    <w:p w14:paraId="4C5E7385">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（三十三）采购代理机构应当在评标结束后2个工作日内将评标报告送采购人。</w:t>
      </w:r>
    </w:p>
    <w:p w14:paraId="58441F6D">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（三十四）采购人应当自收到评标报告之日起5个工作日内，在评标报告确定的中标候选人名单中按顺序确定中标人。</w:t>
      </w:r>
    </w:p>
    <w:p w14:paraId="02575034">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五）采购人有权对投标人投标文件的真实性进行核实，如果投标人不能在采购人规定的时间内向采购人提供有效的证明文件，将被采购人认定为具有《中华人民共和国政府采购法》第七十七条所规定的“提供虚假材料谋取中标、成交的”情形，并承担相应的法律责任。</w:t>
      </w:r>
    </w:p>
    <w:p w14:paraId="2BFD18FA">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七、政府采购合同</w:t>
      </w:r>
    </w:p>
    <w:p w14:paraId="60D5407E">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（三十六）签订政府采购合同（合同签订方式）：</w:t>
      </w:r>
    </w:p>
    <w:p w14:paraId="7B91321C">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1.采购人应当自中标通知书发出之日起30日内，按照招标文件和中标人投标文件的规定，与中标人签订书面合同。所签订的合同不得对招标文件确定的事项和中标人投标文件作实质性修改。</w:t>
      </w:r>
    </w:p>
    <w:p w14:paraId="1DB37021">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采购人不得向中标人提出任何不合理的要求作为签订合同的条件。</w:t>
      </w:r>
    </w:p>
    <w:p w14:paraId="73B40AA6">
      <w:pPr>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2.中标或者成交供应商拒绝与采购人签订合同的，采购人可以按照评审报告推荐的中标或者成交候选人名单排序，确定下一个候选人为中标或者成交供应商，也可以重新开展政府采购活动。</w:t>
      </w:r>
    </w:p>
    <w:p w14:paraId="25212077">
      <w:pPr>
        <w:keepNext w:val="0"/>
        <w:keepLines w:val="0"/>
        <w:pageBreakBefore w:val="0"/>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（三十七）采购人与中标人应当根据合同的约定依法履行合同义务。政府采购合同的履行、违约责任和解决争议的方法等，按《中华人民共和国民法典》相关条款执行。</w:t>
      </w:r>
    </w:p>
    <w:p w14:paraId="3B94877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（三十八）履约保证金：</w:t>
      </w:r>
    </w:p>
    <w:p w14:paraId="3A4B19E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1.中标人应在政府采购合同签订后，向采购人提交本文件第三章《投标资料表》中规定金额的履约保证金。</w:t>
      </w:r>
    </w:p>
    <w:p w14:paraId="357940B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2.如果中标人没有遵守本章（三十八）1 或本章（三十九） 的规定，采购代理机构有权取消该中标决定。在此情况下，采购人可以与排位在中标人之后第一位的中标候选人签订政府采购合同，以此类推。</w:t>
      </w:r>
    </w:p>
    <w:p w14:paraId="779ABE3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3.中标人凭采购人出具验收书的复印件及收款收据办理履约保证金退付手续。履约保证金在采购人处存放期间，不计利息。</w:t>
      </w:r>
    </w:p>
    <w:p w14:paraId="532C01A9">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（三十九）腐败和欺诈行为：</w:t>
      </w:r>
    </w:p>
    <w:p w14:paraId="45957143">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1.采购代理机构、采购人、投标人等参与招投标的各方，均应在招标、采购、合同执行等过程中保持廉洁和最高的道德水准。</w:t>
      </w:r>
    </w:p>
    <w:p w14:paraId="63C6EABA">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（1）腐败和欺诈行为的含义：</w:t>
      </w:r>
    </w:p>
    <w:p w14:paraId="549B5DB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①“腐败行为”系指在招标、采购和合同执行等过程中，为了谋求私利，影响相关人员提供、给予、接受或索取有价物品，并导致损害买方、卖方、采购代理机构和他人利益的行为。</w:t>
      </w:r>
    </w:p>
    <w:p w14:paraId="1D0D55FE">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②“欺诈行为”系指为了影响招标、采购和合同执行等过程，隐瞒事实真象，给买方、卖方、采购代理机构及他人造成损害的行为，其中包括投标人之间的串通行为。</w:t>
      </w:r>
    </w:p>
    <w:p w14:paraId="359C0915">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（2）如果被推荐的中标人有腐败和欺诈行为，将取消其中标资格。</w:t>
      </w:r>
    </w:p>
    <w:p w14:paraId="387C957B">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（3）如果投标人在任何时候，被法院及政府有关管理部门认定为有腐败和欺诈行为，采购代理机构有权拒绝其投标、取消其中标资格和撤消其已签署的合同。</w:t>
      </w:r>
    </w:p>
    <w:p w14:paraId="6D8E312F">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八、询问和质疑</w:t>
      </w:r>
    </w:p>
    <w:p w14:paraId="32AB2D71">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（四十）询问和质疑</w:t>
      </w:r>
    </w:p>
    <w:p w14:paraId="2D65CCE4">
      <w:pPr>
        <w:keepNext w:val="0"/>
        <w:keepLines w:val="0"/>
        <w:pageBreakBefore w:val="0"/>
        <w:widowControl/>
        <w:shd w:val="clear" w:color="auto" w:fill="FFFFFF"/>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57DC6E5F">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九、电子招标投标交易平台</w:t>
      </w:r>
    </w:p>
    <w:p w14:paraId="4742A911">
      <w:pPr>
        <w:pStyle w:val="227"/>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（四十一）电子招标投标交易平台（即“苏采云”系统，网址：</w:t>
      </w:r>
      <w:r>
        <w:rPr>
          <w:rFonts w:hint="eastAsia" w:ascii="宋体" w:hAnsi="宋体" w:eastAsia="宋体" w:cs="宋体"/>
          <w:color w:val="auto"/>
          <w:sz w:val="24"/>
          <w:szCs w:val="24"/>
          <w:highlight w:val="none"/>
        </w:rPr>
        <w:fldChar w:fldCharType="begin"/>
      </w:r>
      <w:r>
        <w:rPr>
          <w:rFonts w:hint="eastAsia" w:ascii="宋体" w:hAnsi="宋体" w:eastAsia="宋体" w:cs="宋体"/>
          <w:color w:val="auto"/>
          <w:sz w:val="24"/>
          <w:szCs w:val="24"/>
          <w:highlight w:val="none"/>
        </w:rPr>
        <w:instrText xml:space="preserve"> HYPERLINK "http://jszfcg.jsczt.cn/" \o "http://jszfcg.jsczt.cn/" </w:instrText>
      </w:r>
      <w:r>
        <w:rPr>
          <w:rFonts w:hint="eastAsia" w:ascii="宋体" w:hAnsi="宋体" w:eastAsia="宋体" w:cs="宋体"/>
          <w:color w:val="auto"/>
          <w:sz w:val="24"/>
          <w:szCs w:val="24"/>
          <w:highlight w:val="none"/>
        </w:rPr>
        <w:fldChar w:fldCharType="separate"/>
      </w:r>
      <w:r>
        <w:rPr>
          <w:rFonts w:hint="eastAsia" w:ascii="宋体" w:hAnsi="宋体" w:eastAsia="宋体" w:cs="宋体"/>
          <w:color w:val="auto"/>
          <w:sz w:val="24"/>
          <w:szCs w:val="24"/>
          <w:highlight w:val="none"/>
        </w:rPr>
        <w:t>http://jszfcg.jsczt.cn/</w:t>
      </w:r>
      <w:r>
        <w:rPr>
          <w:rFonts w:hint="eastAsia" w:ascii="宋体" w:hAnsi="宋体" w:eastAsia="宋体" w:cs="宋体"/>
          <w:color w:val="auto"/>
          <w:sz w:val="24"/>
          <w:szCs w:val="24"/>
          <w:highlight w:val="none"/>
        </w:rPr>
        <w:fldChar w:fldCharType="end"/>
      </w:r>
      <w:r>
        <w:rPr>
          <w:rFonts w:hint="eastAsia" w:ascii="宋体" w:hAnsi="宋体" w:eastAsia="宋体" w:cs="宋体"/>
          <w:color w:val="auto"/>
          <w:sz w:val="24"/>
          <w:szCs w:val="24"/>
          <w:highlight w:val="none"/>
        </w:rPr>
        <w:t>）相关要求是本招标文件的组成部分。</w:t>
      </w:r>
    </w:p>
    <w:p w14:paraId="0F286ED9">
      <w:pPr>
        <w:pStyle w:val="227"/>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特别说明：“苏采云”系统通过“江苏省政府采购一体化不见面开标大厅”提醒投标人。投标人自行查看，投标人因自身原因不及时查看导致没收到信息，“苏采云”系统不承担任何责任。</w:t>
      </w:r>
    </w:p>
    <w:p w14:paraId="5F7D10EF">
      <w:pPr>
        <w:pageBreakBefore w:val="0"/>
        <w:kinsoku/>
        <w:wordWrap/>
        <w:overflowPunct/>
        <w:topLinePunct w:val="0"/>
        <w:autoSpaceDE/>
        <w:autoSpaceDN/>
        <w:bidi w:val="0"/>
        <w:adjustRightInd/>
        <w:snapToGrid/>
        <w:spacing w:beforeAutospacing="0" w:afterAutospacing="0" w:line="440" w:lineRule="exact"/>
        <w:ind w:left="0" w:right="0" w:firstLine="602" w:firstLineChars="200"/>
        <w:jc w:val="center"/>
        <w:textAlignment w:val="auto"/>
        <w:rPr>
          <w:rFonts w:ascii="新宋体" w:hAnsi="新宋体" w:eastAsia="新宋体"/>
          <w:b/>
          <w:color w:val="auto"/>
          <w:sz w:val="30"/>
          <w:szCs w:val="30"/>
          <w:highlight w:val="none"/>
        </w:rPr>
      </w:pPr>
    </w:p>
    <w:p w14:paraId="2AF061F5">
      <w:pPr>
        <w:pageBreakBefore w:val="0"/>
        <w:kinsoku/>
        <w:wordWrap/>
        <w:overflowPunct/>
        <w:topLinePunct w:val="0"/>
        <w:autoSpaceDE/>
        <w:autoSpaceDN/>
        <w:bidi w:val="0"/>
        <w:adjustRightInd/>
        <w:snapToGrid/>
        <w:spacing w:beforeAutospacing="0" w:afterAutospacing="0" w:line="440" w:lineRule="exact"/>
        <w:ind w:left="0" w:right="0" w:firstLine="420" w:firstLineChars="200"/>
        <w:jc w:val="center"/>
        <w:textAlignment w:val="auto"/>
        <w:rPr>
          <w:rFonts w:hint="eastAsia"/>
          <w:color w:val="auto"/>
          <w:highlight w:val="none"/>
        </w:rPr>
      </w:pPr>
      <w:bookmarkStart w:id="3" w:name="_Toc522790132"/>
      <w:bookmarkEnd w:id="3"/>
      <w:r>
        <w:rPr>
          <w:rFonts w:hint="eastAsia"/>
          <w:color w:val="auto"/>
          <w:highlight w:val="none"/>
        </w:rPr>
        <w:br w:type="page" w:clear="all"/>
      </w:r>
      <w:bookmarkStart w:id="4" w:name="_Toc5667"/>
      <w:r>
        <w:rPr>
          <w:rStyle w:val="209"/>
          <w:rFonts w:hint="eastAsia"/>
          <w:color w:val="auto"/>
          <w:highlight w:val="none"/>
        </w:rPr>
        <w:t>第三章  投标资料表</w:t>
      </w:r>
      <w:bookmarkEnd w:id="4"/>
    </w:p>
    <w:p w14:paraId="5249D037">
      <w:pPr>
        <w:pageBreakBefore w:val="0"/>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ascii="宋体" w:hAnsi="宋体"/>
          <w:color w:val="auto"/>
          <w:sz w:val="30"/>
          <w:szCs w:val="30"/>
          <w:highlight w:val="none"/>
        </w:rPr>
      </w:pPr>
    </w:p>
    <w:p w14:paraId="52AB0DD5">
      <w:pPr>
        <w:pStyle w:val="221"/>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该资料表的条款项号是与《投标人须知》的条款项号相对应的，若有增加的条款，是对《投标人须知》的补充、修改和完善，如果因此而造成矛盾时，应以本资料表为准。</w:t>
      </w:r>
    </w:p>
    <w:tbl>
      <w:tblPr>
        <w:tblStyle w:val="37"/>
        <w:tblW w:w="8884" w:type="dxa"/>
        <w:tblInd w:w="-138" w:type="dxa"/>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Layout w:type="fixed"/>
        <w:tblCellMar>
          <w:top w:w="0" w:type="dxa"/>
          <w:left w:w="108" w:type="dxa"/>
          <w:bottom w:w="0" w:type="dxa"/>
          <w:right w:w="108" w:type="dxa"/>
        </w:tblCellMar>
      </w:tblPr>
      <w:tblGrid>
        <w:gridCol w:w="1629"/>
        <w:gridCol w:w="7255"/>
      </w:tblGrid>
      <w:tr w14:paraId="642D0A4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4965E940">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条款项号</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45FB3324">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2" w:firstLineChars="200"/>
              <w:jc w:val="center"/>
              <w:textAlignment w:val="auto"/>
              <w:rPr>
                <w:rFonts w:hint="eastAsia" w:ascii="仿宋" w:hAnsi="仿宋" w:eastAsia="仿宋" w:cs="仿宋"/>
                <w:b/>
                <w:color w:val="auto"/>
                <w:sz w:val="24"/>
                <w:szCs w:val="24"/>
                <w:highlight w:val="none"/>
              </w:rPr>
            </w:pPr>
            <w:r>
              <w:rPr>
                <w:rFonts w:hint="eastAsia" w:ascii="仿宋" w:hAnsi="仿宋" w:eastAsia="仿宋" w:cs="仿宋"/>
                <w:b/>
                <w:color w:val="auto"/>
                <w:sz w:val="24"/>
                <w:szCs w:val="24"/>
                <w:highlight w:val="none"/>
              </w:rPr>
              <w:t>内    容</w:t>
            </w:r>
          </w:p>
        </w:tc>
      </w:tr>
      <w:tr w14:paraId="57F78F4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36"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34DC7955">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01D50B82">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总则</w:t>
            </w:r>
          </w:p>
        </w:tc>
      </w:tr>
      <w:tr w14:paraId="2D9A6BF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78"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25DDD8A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6C911E56">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本项目采购人：</w:t>
            </w:r>
            <w:r>
              <w:rPr>
                <w:rFonts w:hint="eastAsia" w:ascii="仿宋" w:hAnsi="仿宋" w:eastAsia="仿宋" w:cs="仿宋"/>
                <w:color w:val="auto"/>
                <w:sz w:val="24"/>
                <w:szCs w:val="24"/>
                <w:highlight w:val="none"/>
                <w:lang w:eastAsia="zh-CN"/>
              </w:rPr>
              <w:t>徐州市自然资源和规划局</w:t>
            </w:r>
          </w:p>
        </w:tc>
      </w:tr>
      <w:tr w14:paraId="4F9E003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9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5ABA3607">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356B06A7">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本次采购采用的政府采购方式：</w:t>
            </w:r>
            <w:r>
              <w:rPr>
                <w:rFonts w:hint="eastAsia" w:ascii="仿宋" w:hAnsi="仿宋" w:eastAsia="仿宋" w:cs="仿宋"/>
                <w:color w:val="auto"/>
                <w:sz w:val="24"/>
                <w:szCs w:val="24"/>
                <w:highlight w:val="none"/>
              </w:rPr>
              <w:t>公开招标。</w:t>
            </w:r>
          </w:p>
        </w:tc>
      </w:tr>
      <w:tr w14:paraId="74E3AEA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0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78BCD6AB">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2385030B">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b/>
                <w:bCs/>
                <w:color w:val="auto"/>
                <w:sz w:val="24"/>
                <w:szCs w:val="24"/>
                <w:highlight w:val="none"/>
              </w:rPr>
              <w:t>采购人确定的采购项目属性</w:t>
            </w:r>
            <w:r>
              <w:rPr>
                <w:rFonts w:hint="eastAsia" w:ascii="仿宋" w:hAnsi="仿宋" w:eastAsia="仿宋" w:cs="仿宋"/>
                <w:color w:val="auto"/>
                <w:sz w:val="24"/>
                <w:szCs w:val="24"/>
                <w:highlight w:val="none"/>
              </w:rPr>
              <w:t>：服务</w:t>
            </w:r>
          </w:p>
        </w:tc>
      </w:tr>
      <w:tr w14:paraId="670345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11"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071E0340">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1B8D56EE">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lang w:eastAsia="zh-CN"/>
              </w:rPr>
            </w:pPr>
            <w:r>
              <w:rPr>
                <w:rFonts w:hint="eastAsia" w:ascii="仿宋" w:hAnsi="仿宋" w:eastAsia="仿宋" w:cs="仿宋"/>
                <w:b/>
                <w:bCs/>
                <w:color w:val="auto"/>
                <w:sz w:val="24"/>
                <w:szCs w:val="24"/>
                <w:highlight w:val="none"/>
              </w:rPr>
              <w:t>本项目采购代理机构：</w:t>
            </w:r>
            <w:r>
              <w:rPr>
                <w:rFonts w:hint="eastAsia" w:ascii="仿宋" w:hAnsi="仿宋" w:eastAsia="仿宋" w:cs="仿宋"/>
                <w:color w:val="auto"/>
                <w:sz w:val="24"/>
                <w:szCs w:val="24"/>
                <w:highlight w:val="none"/>
                <w:lang w:eastAsia="zh-CN"/>
              </w:rPr>
              <w:t>江苏华铭工程管理咨询有限公司</w:t>
            </w:r>
          </w:p>
        </w:tc>
      </w:tr>
      <w:tr w14:paraId="11E5324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5018F516">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(六)</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45F723D3">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投标人的资格条件：</w:t>
            </w:r>
          </w:p>
          <w:p w14:paraId="03922486">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1.符合《中华人民共和国政府采购法》第二十二条的规定；</w:t>
            </w:r>
          </w:p>
          <w:p w14:paraId="46932289">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2.</w:t>
            </w:r>
            <w:r>
              <w:rPr>
                <w:rFonts w:hint="eastAsia" w:ascii="仿宋" w:hAnsi="仿宋" w:eastAsia="仿宋" w:cs="仿宋"/>
                <w:b/>
                <w:bCs/>
                <w:color w:val="auto"/>
                <w:sz w:val="24"/>
                <w:szCs w:val="24"/>
                <w:highlight w:val="none"/>
                <w:lang w:val="en-US" w:eastAsia="zh-CN"/>
              </w:rPr>
              <w:t>落实政府采购政策需满足的资格要求：本项目不属于专门面向中小微企业采购的项目；</w:t>
            </w:r>
          </w:p>
          <w:p w14:paraId="011E587F">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lang w:val="en-US"/>
              </w:rPr>
            </w:pPr>
            <w:r>
              <w:rPr>
                <w:rFonts w:hint="eastAsia" w:ascii="仿宋" w:hAnsi="仿宋" w:eastAsia="仿宋" w:cs="仿宋"/>
                <w:b/>
                <w:bCs/>
                <w:color w:val="auto"/>
                <w:sz w:val="24"/>
                <w:szCs w:val="24"/>
                <w:highlight w:val="none"/>
                <w:lang w:val="en-US" w:eastAsia="zh-CN"/>
              </w:rPr>
              <w:t>3.本项目的特定资格要求：具备甲级测绘资质证书，专业类别包含界线与不动产测绘、地理信息系统工程、摄影测量与遥感；</w:t>
            </w:r>
          </w:p>
          <w:p w14:paraId="2A1ED438">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同时明确相关事项如下：</w:t>
            </w:r>
          </w:p>
          <w:p w14:paraId="4B72DEF7">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一、本项目接受联合体投标，联合体要求如下：</w:t>
            </w:r>
          </w:p>
          <w:p w14:paraId="2003560A">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（1）联合体成员数不得超过2家，各成员均应为中华人民共和国境内（不含港、澳、台）注册的具有独立法人资格且合法存续的企业法人；</w:t>
            </w:r>
          </w:p>
          <w:p w14:paraId="04C32894">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（2）由同一专业的单位组成的联合体参与采购活动时，按照资质等级较低的单位确定资质等级；</w:t>
            </w:r>
          </w:p>
          <w:p w14:paraId="790C7AD3">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（3）同一潜在社会资本不能同时参加两个及以上联合体，也不能既独立参与投标又组成联合体参与采购活动；</w:t>
            </w:r>
          </w:p>
          <w:p w14:paraId="48FB798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联合体各方应签订联合体协议，明确联合体各方拟承担的工作和责任，明确联合体牵头人和联合体其他成员的权利义务,联合体牵头人对联合体其他成员的工作成果负责，联合体各成员对政府采购合同规定的义务承担连带责任；</w:t>
            </w:r>
          </w:p>
          <w:p w14:paraId="5550CFEA">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（5）联合体组成后不得再发生变化；中标后，未经采购人书面同意，联合体的成员结构、相互关系等均不得变动</w:t>
            </w:r>
            <w:r>
              <w:rPr>
                <w:rFonts w:hint="eastAsia" w:ascii="仿宋" w:hAnsi="仿宋" w:eastAsia="仿宋" w:cs="仿宋"/>
                <w:color w:val="auto"/>
                <w:sz w:val="24"/>
                <w:szCs w:val="24"/>
                <w:highlight w:val="none"/>
                <w:lang w:val="en-US" w:eastAsia="zh-CN" w:bidi="ar-SA"/>
              </w:rPr>
              <w:t>。</w:t>
            </w:r>
          </w:p>
          <w:p w14:paraId="69D4FF89">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二、单位负责人为同一人或者存在直接控股、管理关系的不同供应商，不得参加同一合同项下的政府采购活动。</w:t>
            </w:r>
          </w:p>
          <w:p w14:paraId="6A015AC6">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jc w:val="left"/>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三、为本采购项目提供整体设计、规范编制或者项目管理、监理、检测等服务的供应商，不得再参加本采购项目的采购活动。</w:t>
            </w:r>
          </w:p>
          <w:p w14:paraId="10B01BB8">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四、查询及使用供应商信用记录：</w:t>
            </w:r>
          </w:p>
          <w:p w14:paraId="14638E62">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(一)由采购人查询信用信息。</w:t>
            </w:r>
          </w:p>
          <w:p w14:paraId="591C78AC">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(二)查询渠道包括：</w:t>
            </w:r>
          </w:p>
          <w:p w14:paraId="27D5A84E">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1.“信用中国”网（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"http://www.creditchina.gov.cn/"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www.creditchina.gov.cn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31677397">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2.中国政府采购网（</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"http://www.ccgp.gov.cn/"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www.ccgp.gov.cn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6243B03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3.“信用江苏”网（www.jscredit.gov.cn）；</w:t>
            </w:r>
          </w:p>
          <w:p w14:paraId="1C67F12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4.“信用中国（江苏徐州）”网</w:t>
            </w:r>
          </w:p>
          <w:p w14:paraId="32E853E6">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xml:space="preserve">（ </w:t>
            </w:r>
            <w:r>
              <w:rPr>
                <w:rFonts w:hint="eastAsia" w:ascii="仿宋" w:hAnsi="仿宋" w:eastAsia="仿宋" w:cs="仿宋"/>
                <w:color w:val="auto"/>
                <w:sz w:val="24"/>
                <w:szCs w:val="24"/>
                <w:highlight w:val="none"/>
              </w:rPr>
              <w:fldChar w:fldCharType="begin"/>
            </w:r>
            <w:r>
              <w:rPr>
                <w:rFonts w:hint="eastAsia" w:ascii="仿宋" w:hAnsi="仿宋" w:eastAsia="仿宋" w:cs="仿宋"/>
                <w:color w:val="auto"/>
                <w:sz w:val="24"/>
                <w:szCs w:val="24"/>
                <w:highlight w:val="none"/>
              </w:rPr>
              <w:instrText xml:space="preserve"> HYPERLINK "http://www.xuzhoucredit.gov.cn/" </w:instrText>
            </w:r>
            <w:r>
              <w:rPr>
                <w:rFonts w:hint="eastAsia" w:ascii="仿宋" w:hAnsi="仿宋" w:eastAsia="仿宋" w:cs="仿宋"/>
                <w:color w:val="auto"/>
                <w:sz w:val="24"/>
                <w:szCs w:val="24"/>
                <w:highlight w:val="none"/>
              </w:rPr>
              <w:fldChar w:fldCharType="separate"/>
            </w:r>
            <w:r>
              <w:rPr>
                <w:rFonts w:hint="eastAsia" w:ascii="仿宋" w:hAnsi="仿宋" w:eastAsia="仿宋" w:cs="仿宋"/>
                <w:color w:val="auto"/>
                <w:sz w:val="24"/>
                <w:szCs w:val="24"/>
                <w:highlight w:val="none"/>
              </w:rPr>
              <w:t>http://www.xuzhoucredit.gov.cn</w:t>
            </w:r>
            <w:r>
              <w:rPr>
                <w:rFonts w:hint="eastAsia" w:ascii="仿宋" w:hAnsi="仿宋" w:eastAsia="仿宋" w:cs="仿宋"/>
                <w:color w:val="auto"/>
                <w:sz w:val="24"/>
                <w:szCs w:val="24"/>
                <w:highlight w:val="none"/>
              </w:rPr>
              <w:fldChar w:fldCharType="end"/>
            </w:r>
            <w:r>
              <w:rPr>
                <w:rFonts w:hint="eastAsia" w:ascii="仿宋" w:hAnsi="仿宋" w:eastAsia="仿宋" w:cs="仿宋"/>
                <w:color w:val="auto"/>
                <w:sz w:val="24"/>
                <w:szCs w:val="24"/>
                <w:highlight w:val="none"/>
              </w:rPr>
              <w:t>）；</w:t>
            </w:r>
          </w:p>
          <w:p w14:paraId="7B2DAC8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(三)截止时点（查询环节）：资格性审查前。</w:t>
            </w:r>
          </w:p>
          <w:p w14:paraId="24A9A142">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(四)信用信息查询记录和证据留存的具体方式：网页截屏打印，与其他采购文件一并保存。</w:t>
            </w:r>
          </w:p>
          <w:p w14:paraId="540B593F">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(五)信用信息的使用规则：</w:t>
            </w:r>
          </w:p>
          <w:p w14:paraId="4EFFFE69">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对供应商信用记录进行甄别，对列入失信被执行人、重大税收违法案件当事人名单、政府采购严重违法失信行为记录名单及其他不符合《中华人民共和国政府采购法》第二十二条规定条件的供应商，拒绝其参与政府采购活动。</w:t>
            </w:r>
          </w:p>
        </w:tc>
      </w:tr>
      <w:tr w14:paraId="5A55861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41D8CB1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10E54C80">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招标代理服务费由中标人支付，标准见《招标代理服务收费标准》（见附件）。</w:t>
            </w:r>
          </w:p>
        </w:tc>
      </w:tr>
      <w:tr w14:paraId="6ECA701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61B7FABC">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5C3ECD2E">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招标</w:t>
            </w:r>
          </w:p>
        </w:tc>
      </w:tr>
      <w:tr w14:paraId="3799A705">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63BCE23B">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(九)1</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5AE62E73">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对招标文件进行澄清或者修改的，通过“苏采云”系统及徐州政府采购网公告澄清或者修改的内容。澄清或者修改的内容以所发布的本项目的“更正（澄清）公告”的形式通知所有获取招标文件的潜在投标人。发布本项目的“更正（澄清）公告”后采购代理机构已尽通知义务。敬请各潜在投标人关注本项目的“更正（澄清）公告”，并通过“苏采云”系统重新下载更正（澄清）后的采购文件（后缀名为“.kedt”），离线编制投标文件，否则，将自行承担相应的风险。</w:t>
            </w:r>
          </w:p>
        </w:tc>
      </w:tr>
      <w:tr w14:paraId="64142FC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5A42DE3E">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(九)2</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7B72F500">
            <w:pPr>
              <w:keepNext w:val="0"/>
              <w:keepLines w:val="0"/>
              <w:pageBreakBefore w:val="0"/>
              <w:tabs>
                <w:tab w:val="left" w:pos="5760"/>
              </w:tabs>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不安排现场考察。</w:t>
            </w:r>
          </w:p>
        </w:tc>
      </w:tr>
      <w:tr w14:paraId="39EB0E61">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6E0311F0">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(九)3</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7522679F">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不安排开标前答疑会。</w:t>
            </w:r>
          </w:p>
        </w:tc>
      </w:tr>
      <w:tr w14:paraId="56CBEE2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0633FBC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19407DF6">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w:t>
            </w:r>
          </w:p>
        </w:tc>
      </w:tr>
      <w:tr w14:paraId="5B1C414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10" w:hRule="atLeast"/>
        </w:trPr>
        <w:tc>
          <w:tcPr>
            <w:tcW w:w="1629" w:type="dxa"/>
            <w:tcBorders>
              <w:top w:val="single" w:color="000000" w:sz="4" w:space="0"/>
              <w:left w:val="single" w:color="000000" w:sz="4" w:space="0"/>
              <w:right w:val="single" w:color="000000" w:sz="4" w:space="0"/>
            </w:tcBorders>
            <w:noWrap w:val="0"/>
            <w:vAlign w:val="center"/>
          </w:tcPr>
          <w:p w14:paraId="3BE1AFB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(十一)</w:t>
            </w:r>
          </w:p>
        </w:tc>
        <w:tc>
          <w:tcPr>
            <w:tcW w:w="7255" w:type="dxa"/>
            <w:tcBorders>
              <w:top w:val="single" w:color="000000" w:sz="4" w:space="0"/>
              <w:left w:val="single" w:color="000000" w:sz="4" w:space="0"/>
              <w:right w:val="single" w:color="000000" w:sz="4" w:space="0"/>
            </w:tcBorders>
            <w:noWrap w:val="0"/>
            <w:vAlign w:val="top"/>
          </w:tcPr>
          <w:p w14:paraId="72C258AE">
            <w:pPr>
              <w:keepNext w:val="0"/>
              <w:keepLines w:val="0"/>
              <w:pageBreakBefore w:val="0"/>
              <w:tabs>
                <w:tab w:val="left" w:pos="5760"/>
              </w:tabs>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投标文件的语言为中文</w:t>
            </w:r>
          </w:p>
        </w:tc>
      </w:tr>
      <w:tr w14:paraId="55395C6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2CCD8F27">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(十二)1</w:t>
            </w:r>
          </w:p>
          <w:p w14:paraId="7308DBD3">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(十二)2</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32337EB1">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线上投标文件编制要求：</w:t>
            </w:r>
          </w:p>
          <w:p w14:paraId="793C7130">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请按照以下要求（包括但不限于以下要求）制作：</w:t>
            </w:r>
          </w:p>
          <w:p w14:paraId="746AB150">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一、基本目录</w:t>
            </w:r>
          </w:p>
          <w:p w14:paraId="62B2226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b w:val="0"/>
                <w:bCs w:val="0"/>
                <w:color w:val="auto"/>
                <w:sz w:val="24"/>
                <w:szCs w:val="24"/>
                <w:highlight w:val="none"/>
              </w:rPr>
            </w:pPr>
            <w:r>
              <w:rPr>
                <w:rFonts w:hint="eastAsia" w:ascii="仿宋" w:hAnsi="仿宋" w:eastAsia="仿宋" w:cs="仿宋"/>
                <w:b w:val="0"/>
                <w:bCs w:val="0"/>
                <w:color w:val="auto"/>
                <w:sz w:val="24"/>
                <w:szCs w:val="24"/>
                <w:highlight w:val="none"/>
              </w:rPr>
              <w:t>1、《开标一览表》（加盖电子签章，政府采购客户端工具输入报价自动生成）。</w:t>
            </w:r>
          </w:p>
          <w:p w14:paraId="5BA4A725">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b w:val="0"/>
                <w:bCs w:val="0"/>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2、投标人认为制作投标文件需要提供的其他材料(如有）</w:t>
            </w:r>
          </w:p>
          <w:p w14:paraId="5CCA8D08">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二、资格条件（1-</w:t>
            </w:r>
            <w:r>
              <w:rPr>
                <w:rFonts w:hint="eastAsia" w:ascii="仿宋" w:hAnsi="仿宋" w:eastAsia="仿宋" w:cs="仿宋"/>
                <w:b/>
                <w:bCs/>
                <w:color w:val="auto"/>
                <w:sz w:val="24"/>
                <w:szCs w:val="24"/>
                <w:highlight w:val="none"/>
                <w:lang w:val="en-US" w:eastAsia="zh-CN"/>
              </w:rPr>
              <w:t>6</w:t>
            </w:r>
            <w:r>
              <w:rPr>
                <w:rFonts w:hint="eastAsia" w:ascii="仿宋" w:hAnsi="仿宋" w:eastAsia="仿宋" w:cs="仿宋"/>
                <w:b/>
                <w:bCs/>
                <w:color w:val="auto"/>
                <w:sz w:val="24"/>
                <w:szCs w:val="24"/>
                <w:highlight w:val="none"/>
              </w:rPr>
              <w:t>必须提供，否则投标无效）</w:t>
            </w:r>
          </w:p>
          <w:p w14:paraId="00DA707E">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w:t>
            </w:r>
            <w:r>
              <w:rPr>
                <w:rFonts w:hint="eastAsia" w:ascii="仿宋" w:hAnsi="仿宋" w:eastAsia="仿宋" w:cs="仿宋"/>
                <w:color w:val="auto"/>
                <w:sz w:val="24"/>
                <w:szCs w:val="24"/>
                <w:highlight w:val="none"/>
                <w:lang w:val="en-US" w:eastAsia="zh-CN"/>
              </w:rPr>
              <w:t>投标人合法有效的法人或者其他组织的营业执照等证明文件，自然人的身份证明，以上证明文件提供原件的扫描件</w:t>
            </w:r>
            <w:r>
              <w:rPr>
                <w:rFonts w:hint="eastAsia" w:ascii="仿宋" w:hAnsi="仿宋" w:eastAsia="仿宋" w:cs="仿宋"/>
                <w:b/>
                <w:color w:val="auto"/>
                <w:sz w:val="24"/>
                <w:szCs w:val="24"/>
                <w:highlight w:val="none"/>
              </w:rPr>
              <w:t>（如投标人是联合体，则为各方）</w:t>
            </w:r>
            <w:r>
              <w:rPr>
                <w:rFonts w:hint="eastAsia" w:ascii="仿宋" w:hAnsi="仿宋" w:eastAsia="仿宋" w:cs="仿宋"/>
                <w:bCs/>
                <w:color w:val="auto"/>
                <w:sz w:val="24"/>
                <w:szCs w:val="24"/>
                <w:highlight w:val="none"/>
              </w:rPr>
              <w:t>。</w:t>
            </w:r>
            <w:r>
              <w:rPr>
                <w:rFonts w:hint="eastAsia" w:ascii="仿宋" w:hAnsi="仿宋" w:eastAsia="仿宋" w:cs="仿宋"/>
                <w:color w:val="auto"/>
                <w:sz w:val="24"/>
                <w:szCs w:val="24"/>
                <w:highlight w:val="none"/>
              </w:rPr>
              <w:t>投标人为联合体的，每个联合体投标人最多由2家单位组成，各成员均应为中华人民共和国境内（不含港、澳、台）注册的具有独立法人资格的企业。</w:t>
            </w:r>
          </w:p>
          <w:p w14:paraId="1627672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2.财务状况报告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lang w:val="en-US" w:eastAsia="zh-CN" w:bidi="ar-SA"/>
              </w:rPr>
              <w:t>至少提供</w:t>
            </w:r>
            <w:r>
              <w:rPr>
                <w:rFonts w:hint="eastAsia" w:ascii="仿宋" w:hAnsi="仿宋" w:eastAsia="仿宋" w:cs="仿宋"/>
                <w:b/>
                <w:color w:val="auto"/>
                <w:sz w:val="24"/>
                <w:szCs w:val="24"/>
                <w:highlight w:val="none"/>
              </w:rPr>
              <w:t>（如投标人是联合体，则为各方</w:t>
            </w:r>
            <w:r>
              <w:rPr>
                <w:rFonts w:hint="eastAsia" w:ascii="仿宋" w:hAnsi="仿宋" w:eastAsia="仿宋" w:cs="仿宋"/>
                <w:bCs/>
                <w:color w:val="auto"/>
                <w:sz w:val="24"/>
                <w:szCs w:val="24"/>
                <w:highlight w:val="none"/>
              </w:rPr>
              <w:t>）</w:t>
            </w:r>
            <w:r>
              <w:rPr>
                <w:rFonts w:hint="eastAsia" w:ascii="仿宋" w:hAnsi="仿宋" w:eastAsia="仿宋" w:cs="仿宋"/>
                <w:bCs/>
                <w:color w:val="auto"/>
                <w:sz w:val="24"/>
                <w:szCs w:val="24"/>
                <w:highlight w:val="none"/>
                <w:lang w:eastAsia="zh-CN"/>
              </w:rPr>
              <w:t>：</w:t>
            </w:r>
            <w:r>
              <w:rPr>
                <w:rFonts w:hint="eastAsia" w:ascii="仿宋" w:hAnsi="仿宋" w:eastAsia="仿宋" w:cs="仿宋"/>
                <w:color w:val="auto"/>
                <w:sz w:val="24"/>
                <w:szCs w:val="24"/>
                <w:highlight w:val="none"/>
              </w:rPr>
              <w:t>（即提供投标人的本项目开标时间前6个月内任何时间（不含开标当月）的资产负债表、利润表各一份</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或提供投标人</w:t>
            </w:r>
            <w:r>
              <w:rPr>
                <w:rFonts w:hint="eastAsia" w:ascii="仿宋" w:hAnsi="仿宋" w:eastAsia="仿宋" w:cs="仿宋"/>
                <w:bCs/>
                <w:color w:val="000000" w:themeColor="text1"/>
                <w:sz w:val="24"/>
                <w:szCs w:val="24"/>
                <w:highlight w:val="none"/>
                <w:lang w:val="en-US" w:eastAsia="zh-CN"/>
                <w14:textFill>
                  <w14:solidFill>
                    <w14:schemeClr w14:val="tx1"/>
                  </w14:solidFill>
                </w14:textFill>
              </w:rPr>
              <w:t>2023年度或2024年度</w:t>
            </w:r>
            <w:r>
              <w:rPr>
                <w:rFonts w:hint="eastAsia" w:ascii="仿宋" w:hAnsi="仿宋" w:eastAsia="仿宋" w:cs="仿宋"/>
                <w:color w:val="auto"/>
                <w:sz w:val="24"/>
                <w:szCs w:val="24"/>
                <w:highlight w:val="none"/>
              </w:rPr>
              <w:t>财务报告</w:t>
            </w:r>
            <w:r>
              <w:rPr>
                <w:rFonts w:hint="eastAsia" w:ascii="仿宋" w:hAnsi="仿宋" w:eastAsia="仿宋" w:cs="仿宋"/>
                <w:color w:val="auto"/>
                <w:sz w:val="24"/>
                <w:szCs w:val="24"/>
                <w:highlight w:val="none"/>
                <w:lang w:eastAsia="zh-CN"/>
              </w:rPr>
              <w:t>；</w:t>
            </w:r>
            <w:r>
              <w:rPr>
                <w:rFonts w:hint="eastAsia" w:ascii="仿宋" w:hAnsi="仿宋" w:eastAsia="仿宋" w:cs="仿宋"/>
                <w:color w:val="auto"/>
                <w:sz w:val="24"/>
                <w:szCs w:val="24"/>
                <w:highlight w:val="none"/>
              </w:rPr>
              <w:t>或投标人的本项目开标时间前6个月内银行出具的资信证明扫描件）</w:t>
            </w:r>
            <w:r>
              <w:rPr>
                <w:rFonts w:hint="eastAsia" w:ascii="仿宋" w:hAnsi="仿宋" w:eastAsia="仿宋" w:cs="仿宋"/>
                <w:color w:val="auto"/>
                <w:sz w:val="24"/>
                <w:szCs w:val="24"/>
                <w:highlight w:val="none"/>
                <w:lang w:eastAsia="zh-CN"/>
              </w:rPr>
              <w:t>。</w:t>
            </w:r>
          </w:p>
          <w:p w14:paraId="589B52B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w:t>
            </w:r>
            <w:r>
              <w:rPr>
                <w:rFonts w:hint="eastAsia" w:ascii="仿宋" w:hAnsi="仿宋" w:eastAsia="仿宋" w:cs="仿宋"/>
                <w:b/>
                <w:color w:val="auto"/>
                <w:sz w:val="24"/>
                <w:szCs w:val="24"/>
                <w:highlight w:val="none"/>
              </w:rPr>
              <w:t>（如投标人是联合体，则为各方）</w:t>
            </w:r>
            <w:r>
              <w:rPr>
                <w:rFonts w:hint="eastAsia" w:ascii="仿宋" w:hAnsi="仿宋" w:eastAsia="仿宋" w:cs="仿宋"/>
                <w:color w:val="auto"/>
                <w:sz w:val="24"/>
                <w:szCs w:val="24"/>
                <w:highlight w:val="none"/>
              </w:rPr>
              <w:t>的本项目开标时间前6个月内任何1个月的依法</w:t>
            </w:r>
            <w:r>
              <w:rPr>
                <w:rFonts w:hint="eastAsia" w:ascii="仿宋" w:hAnsi="仿宋" w:eastAsia="仿宋" w:cs="仿宋"/>
                <w:b/>
                <w:bCs/>
                <w:color w:val="auto"/>
                <w:sz w:val="24"/>
                <w:szCs w:val="24"/>
                <w:highlight w:val="none"/>
              </w:rPr>
              <w:t>缴纳税收</w:t>
            </w:r>
            <w:r>
              <w:rPr>
                <w:rFonts w:hint="eastAsia" w:ascii="仿宋" w:hAnsi="仿宋" w:eastAsia="仿宋" w:cs="仿宋"/>
                <w:color w:val="auto"/>
                <w:sz w:val="24"/>
                <w:szCs w:val="24"/>
                <w:highlight w:val="none"/>
              </w:rPr>
              <w:t>和</w:t>
            </w:r>
            <w:r>
              <w:rPr>
                <w:rFonts w:hint="eastAsia" w:ascii="仿宋" w:hAnsi="仿宋" w:eastAsia="仿宋" w:cs="仿宋"/>
                <w:b/>
                <w:bCs/>
                <w:color w:val="auto"/>
                <w:sz w:val="24"/>
                <w:szCs w:val="24"/>
                <w:highlight w:val="none"/>
              </w:rPr>
              <w:t>社会保障资金</w:t>
            </w:r>
            <w:r>
              <w:rPr>
                <w:rFonts w:hint="eastAsia" w:ascii="仿宋" w:hAnsi="仿宋" w:eastAsia="仿宋" w:cs="仿宋"/>
                <w:color w:val="auto"/>
                <w:sz w:val="24"/>
                <w:szCs w:val="24"/>
                <w:highlight w:val="none"/>
              </w:rPr>
              <w:t>的相关材料扫描件（依法免税或不需要缴纳社会保障资金的供应商,提供相应文件证明其依法免税或不需要缴纳社会保障资金)；</w:t>
            </w:r>
          </w:p>
          <w:p w14:paraId="451ED761">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4.具备履行合同所必需的设备和专业技术能力的证明材料</w:t>
            </w:r>
            <w:r>
              <w:rPr>
                <w:rFonts w:hint="eastAsia" w:ascii="仿宋" w:hAnsi="仿宋" w:eastAsia="仿宋" w:cs="仿宋"/>
                <w:b/>
                <w:color w:val="auto"/>
                <w:sz w:val="24"/>
                <w:szCs w:val="24"/>
                <w:highlight w:val="none"/>
              </w:rPr>
              <w:t>（即提供投标人（如投标人是联合体，则为各方）</w:t>
            </w:r>
            <w:r>
              <w:rPr>
                <w:rFonts w:hint="eastAsia" w:ascii="仿宋" w:hAnsi="仿宋" w:eastAsia="仿宋" w:cs="仿宋"/>
                <w:b/>
                <w:color w:val="auto"/>
                <w:sz w:val="24"/>
                <w:szCs w:val="24"/>
                <w:highlight w:val="none"/>
                <w:lang w:val="en-US" w:eastAsia="zh-CN"/>
              </w:rPr>
              <w:t>具备履行合同所必需的设备和专业技术能力的书面声明,</w:t>
            </w:r>
            <w:r>
              <w:rPr>
                <w:rFonts w:hint="eastAsia" w:ascii="仿宋" w:hAnsi="仿宋" w:eastAsia="仿宋" w:cs="仿宋"/>
                <w:color w:val="000000"/>
                <w:sz w:val="24"/>
                <w:szCs w:val="24"/>
                <w:highlight w:val="none"/>
              </w:rPr>
              <w:t>加盖电子签章，格式见招标文件第七章《投标文件相关格式》</w:t>
            </w:r>
            <w:r>
              <w:rPr>
                <w:rFonts w:hint="eastAsia" w:ascii="仿宋" w:hAnsi="仿宋" w:eastAsia="仿宋" w:cs="仿宋"/>
                <w:b/>
                <w:color w:val="auto"/>
                <w:sz w:val="24"/>
                <w:szCs w:val="24"/>
                <w:highlight w:val="none"/>
              </w:rPr>
              <w:t>）</w:t>
            </w:r>
            <w:r>
              <w:rPr>
                <w:rFonts w:hint="eastAsia" w:ascii="仿宋" w:hAnsi="仿宋" w:eastAsia="仿宋" w:cs="仿宋"/>
                <w:color w:val="000000"/>
                <w:sz w:val="24"/>
                <w:szCs w:val="24"/>
                <w:highlight w:val="none"/>
                <w:lang w:eastAsia="zh-CN"/>
              </w:rPr>
              <w:t>，所附证明材料原件的</w:t>
            </w:r>
            <w:r>
              <w:rPr>
                <w:rFonts w:hint="eastAsia" w:ascii="仿宋" w:hAnsi="仿宋" w:eastAsia="仿宋" w:cs="仿宋"/>
                <w:color w:val="000000"/>
                <w:sz w:val="24"/>
                <w:szCs w:val="24"/>
                <w:highlight w:val="none"/>
                <w:lang w:val="en-US" w:eastAsia="zh-CN"/>
              </w:rPr>
              <w:t>扫描件</w:t>
            </w:r>
            <w:r>
              <w:rPr>
                <w:rFonts w:hint="eastAsia" w:ascii="仿宋" w:hAnsi="仿宋" w:eastAsia="仿宋" w:cs="仿宋"/>
                <w:color w:val="000000"/>
                <w:sz w:val="24"/>
                <w:szCs w:val="24"/>
                <w:highlight w:val="none"/>
                <w:lang w:eastAsia="zh-CN"/>
              </w:rPr>
              <w:t>必须包含</w:t>
            </w:r>
            <w:r>
              <w:rPr>
                <w:rFonts w:hint="eastAsia" w:ascii="仿宋" w:hAnsi="仿宋" w:eastAsia="仿宋" w:cs="仿宋"/>
                <w:color w:val="000000"/>
                <w:sz w:val="24"/>
                <w:szCs w:val="24"/>
                <w:highlight w:val="none"/>
                <w:lang w:val="en-US" w:eastAsia="zh-CN"/>
              </w:rPr>
              <w:t>：</w:t>
            </w:r>
            <w:r>
              <w:rPr>
                <w:rFonts w:hint="eastAsia" w:ascii="仿宋" w:hAnsi="仿宋" w:eastAsia="仿宋" w:cs="仿宋"/>
                <w:b/>
                <w:bCs/>
                <w:color w:val="000000"/>
                <w:sz w:val="24"/>
                <w:szCs w:val="24"/>
                <w:highlight w:val="none"/>
                <w:lang w:val="en-US" w:eastAsia="zh-CN"/>
              </w:rPr>
              <w:t>具备甲级测绘资质证书，专业类别包含界线与不动产测绘、地理信息系统工程、摄影测量与遥感。</w:t>
            </w:r>
          </w:p>
          <w:p w14:paraId="302F7957">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5.投标人</w:t>
            </w:r>
            <w:r>
              <w:rPr>
                <w:rFonts w:hint="eastAsia" w:ascii="仿宋" w:hAnsi="仿宋" w:eastAsia="仿宋" w:cs="仿宋"/>
                <w:b/>
                <w:color w:val="auto"/>
                <w:sz w:val="24"/>
                <w:szCs w:val="24"/>
                <w:highlight w:val="none"/>
              </w:rPr>
              <w:t>（如投标人是联合体，则为各方）</w:t>
            </w:r>
            <w:r>
              <w:rPr>
                <w:rFonts w:hint="eastAsia" w:ascii="仿宋" w:hAnsi="仿宋" w:eastAsia="仿宋" w:cs="仿宋"/>
                <w:color w:val="auto"/>
                <w:sz w:val="24"/>
                <w:szCs w:val="24"/>
                <w:highlight w:val="none"/>
              </w:rPr>
              <w:t>参加政府采购活动前3年内在经营活动中没有重大违法记录的书面声明（加盖电子签章，格式见招标文件第七章《投标文件相关格式》）。</w:t>
            </w:r>
          </w:p>
          <w:p w14:paraId="0E575E83">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6.如投标人为联合体的，则须提供联合</w:t>
            </w:r>
            <w:r>
              <w:rPr>
                <w:rFonts w:hint="eastAsia" w:ascii="仿宋" w:hAnsi="仿宋" w:eastAsia="仿宋" w:cs="仿宋"/>
                <w:color w:val="auto"/>
                <w:sz w:val="24"/>
                <w:szCs w:val="24"/>
                <w:highlight w:val="none"/>
                <w:lang w:val="en-US" w:eastAsia="zh-CN"/>
              </w:rPr>
              <w:t>体</w:t>
            </w:r>
            <w:r>
              <w:rPr>
                <w:rFonts w:hint="eastAsia" w:ascii="仿宋" w:hAnsi="仿宋" w:eastAsia="仿宋" w:cs="仿宋"/>
                <w:color w:val="auto"/>
                <w:sz w:val="24"/>
                <w:szCs w:val="24"/>
                <w:highlight w:val="none"/>
              </w:rPr>
              <w:t>协议（格式见第七章《投标文件相关格式》））。</w:t>
            </w:r>
          </w:p>
          <w:p w14:paraId="48087843">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三、符合条件（必须提供，否则投标无效）</w:t>
            </w:r>
          </w:p>
          <w:p w14:paraId="5549B87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(一)报价</w:t>
            </w:r>
          </w:p>
          <w:p w14:paraId="21BD0748">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1.《开标一览表》（加盖电子签章，格式见招标文件第七章《投标文件相关格式》。）</w:t>
            </w:r>
          </w:p>
          <w:p w14:paraId="45497A2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2.《分项价格表》（加盖电子签章，格式见招标文件第七章《投标文件相关格式》。）</w:t>
            </w:r>
          </w:p>
          <w:p w14:paraId="0AD3A9E6">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（二）商务资信</w:t>
            </w:r>
          </w:p>
          <w:p w14:paraId="4FDDDED1">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1.《投标函》（加盖电子签章，格式见招标文件第七章《投标文件相关格式》。）</w:t>
            </w:r>
          </w:p>
          <w:p w14:paraId="7F02C53A">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2.《法定代表人授权书》（提供原件的扫描件，格式见招标文件第七章《投标文件相关格式》。）</w:t>
            </w:r>
          </w:p>
          <w:p w14:paraId="11CC17D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（三）技术响应</w:t>
            </w:r>
          </w:p>
          <w:p w14:paraId="0E485D9D">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b/>
                <w:bCs/>
                <w:color w:val="auto"/>
                <w:sz w:val="24"/>
                <w:szCs w:val="24"/>
                <w:highlight w:val="none"/>
              </w:rPr>
            </w:pPr>
            <w:r>
              <w:rPr>
                <w:rFonts w:hint="eastAsia" w:ascii="仿宋" w:hAnsi="仿宋" w:eastAsia="仿宋" w:cs="仿宋"/>
                <w:color w:val="auto"/>
                <w:sz w:val="24"/>
                <w:szCs w:val="24"/>
                <w:highlight w:val="none"/>
              </w:rPr>
              <w:t>1.《偏离表》（加盖电子签章，格式见招标文件第七章《投标文件相关格式》）。</w:t>
            </w:r>
          </w:p>
          <w:p w14:paraId="0EC6A14C">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四、综合评审评分项</w:t>
            </w:r>
          </w:p>
          <w:p w14:paraId="7088E3A5">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（一）技术部分</w:t>
            </w:r>
          </w:p>
          <w:p w14:paraId="219BB363">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要求见招标文件第四章《评标标准》、第六章《采购需求》。</w:t>
            </w:r>
          </w:p>
          <w:p w14:paraId="1C22F186">
            <w:pPr>
              <w:pStyle w:val="227"/>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（二）商务部分</w:t>
            </w:r>
          </w:p>
          <w:p w14:paraId="72199855">
            <w:pPr>
              <w:pStyle w:val="227"/>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lang w:val="en-US" w:eastAsia="zh-CN"/>
              </w:rPr>
              <w:t>要求见招标文件第四章《评标标准》。</w:t>
            </w:r>
          </w:p>
          <w:p w14:paraId="3A4CC182">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lang w:val="en-US" w:eastAsia="zh-CN"/>
              </w:rPr>
              <w:t>五、</w:t>
            </w:r>
            <w:r>
              <w:rPr>
                <w:rFonts w:hint="eastAsia" w:ascii="仿宋" w:hAnsi="仿宋" w:eastAsia="仿宋" w:cs="仿宋"/>
                <w:b/>
                <w:bCs/>
                <w:color w:val="auto"/>
                <w:sz w:val="24"/>
                <w:szCs w:val="24"/>
                <w:highlight w:val="none"/>
              </w:rPr>
              <w:t>价格折扣文件格式</w:t>
            </w:r>
          </w:p>
          <w:p w14:paraId="04B9777A">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b w:val="0"/>
                <w:bCs w:val="0"/>
                <w:color w:val="auto"/>
                <w:sz w:val="24"/>
                <w:szCs w:val="24"/>
                <w:highlight w:val="none"/>
                <w:lang w:val="en-US" w:eastAsia="zh-CN"/>
              </w:rPr>
              <w:t>提供的服务全部由符合政策要求的中小企业承接</w:t>
            </w:r>
            <w:r>
              <w:rPr>
                <w:rFonts w:hint="eastAsia" w:ascii="仿宋" w:hAnsi="仿宋" w:eastAsia="仿宋" w:cs="仿宋"/>
                <w:b/>
                <w:bCs/>
                <w:color w:val="auto"/>
                <w:sz w:val="24"/>
                <w:szCs w:val="24"/>
                <w:highlight w:val="none"/>
                <w:lang w:val="en-US" w:eastAsia="zh-CN"/>
              </w:rPr>
              <w:t>（如投标人是联合体，则为各方）</w:t>
            </w:r>
            <w:r>
              <w:rPr>
                <w:rFonts w:hint="eastAsia" w:ascii="仿宋" w:hAnsi="仿宋" w:eastAsia="仿宋" w:cs="仿宋"/>
                <w:color w:val="auto"/>
                <w:sz w:val="24"/>
                <w:szCs w:val="24"/>
                <w:highlight w:val="none"/>
                <w:lang w:val="en-US" w:eastAsia="zh-CN"/>
              </w:rPr>
              <w:t>《中小企业声明函》（请填写完整，加盖电子签章，格式见招标文件第七章《投标文件相关格式》）。查询渠道用微信搜索“中小企业规模类型自测小程序。</w:t>
            </w:r>
          </w:p>
          <w:p w14:paraId="2F858FE4">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注：具体以《政府采购促进中小企业发展管理办法》（财库[2020]46号）和《关于印发中小企业划型标准规定的通知》（工信部联企业[2011]300号）的规定为准。</w:t>
            </w:r>
          </w:p>
          <w:p w14:paraId="5F509FEF">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注：监狱企业和残疾人福利性单位等同于小微企业。</w:t>
            </w:r>
          </w:p>
          <w:p w14:paraId="552F1657">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投标人为监狱企业的，提供省级以上监狱管理局、戒毒管理局（含新疆生产建设兵团）出具的属于监狱企业的证明文件原件的扫描件。</w:t>
            </w:r>
          </w:p>
          <w:p w14:paraId="50A5C36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具体以《财政部 司法部关于政府采购支持监狱企业发展有关问题的通知》（财库〔2014〕68号）的规定为准。</w:t>
            </w:r>
          </w:p>
          <w:p w14:paraId="5AF93D2F">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投标人为享受政府采购支持政策的残疾人福利性单位的，提供《残疾人福利性单位声明函》（加盖电子签章，格式见招标文件第七章《投标文件相关格式》）。</w:t>
            </w:r>
          </w:p>
          <w:p w14:paraId="157EE79E">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享受政府采购支持政策的残疾人福利性单位应当同时满足以下条件：</w:t>
            </w:r>
          </w:p>
          <w:p w14:paraId="492A89D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①安置的残疾人占本单位在职职工人数的比例不低于25%（含25%），并且安置的残疾人人数不少于10人（含10人）；</w:t>
            </w:r>
          </w:p>
          <w:p w14:paraId="2AC4F674">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②依法与安置的每位残疾人签订了一年以上（含一年）的劳动合同或服务协议；</w:t>
            </w:r>
          </w:p>
          <w:p w14:paraId="40BC4CB8">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③为安置的每位残疾人按月足额缴纳了基本养老保险、基本医疗保险、失业保险、工伤保险和生育保险等社会保险费；</w:t>
            </w:r>
          </w:p>
          <w:p w14:paraId="0ECE4567">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④通过银行等金融机构向安置的每位残疾人，按月支付了不低于单位所在区县适用的经省级人民政府批准的月最低工资标准的工资；</w:t>
            </w:r>
          </w:p>
          <w:p w14:paraId="56C0ED1A">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⑤提供本单位制造的货物、承担的工程或者服务（以下简称产品），或者提供其他残疾人福利性单位制造的货物（不包括使用非残疾人福利性单位注册商标的货物）。</w:t>
            </w:r>
          </w:p>
          <w:p w14:paraId="00A24017">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前款所称残疾人是指法定劳动年龄内，持有《中华人民共和国残疾人证》或者《中华人民共和国残疾军人证（1至8级）》的自然人，包括具有劳动条件和劳动意愿的精神残疾人。在职职工人数是指与残疾人福利性单位建立劳动关系并依法签订劳动合同或者服务协议的雇员人数。</w:t>
            </w:r>
          </w:p>
          <w:p w14:paraId="6D603139">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val="en-US" w:eastAsia="zh-CN"/>
              </w:rPr>
            </w:pPr>
            <w:r>
              <w:rPr>
                <w:rFonts w:hint="eastAsia" w:ascii="仿宋" w:hAnsi="仿宋" w:eastAsia="仿宋" w:cs="仿宋"/>
                <w:color w:val="auto"/>
                <w:sz w:val="24"/>
                <w:szCs w:val="24"/>
                <w:highlight w:val="none"/>
                <w:lang w:val="en-US" w:eastAsia="zh-CN"/>
              </w:rPr>
              <w:t>  具体以《三部门联合发布关于促进残疾人就业政府采购政策的通知》（财库〔2017〕141号）规定为准。</w:t>
            </w:r>
          </w:p>
          <w:p w14:paraId="02408B5D">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p>
          <w:p w14:paraId="2C1A0BC8">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b/>
                <w:bCs/>
                <w:color w:val="auto"/>
                <w:sz w:val="24"/>
                <w:szCs w:val="24"/>
                <w:highlight w:val="none"/>
              </w:rPr>
            </w:pPr>
            <w:r>
              <w:rPr>
                <w:rFonts w:hint="eastAsia" w:ascii="仿宋" w:hAnsi="仿宋" w:eastAsia="仿宋" w:cs="仿宋"/>
                <w:b/>
                <w:bCs/>
                <w:color w:val="auto"/>
                <w:sz w:val="24"/>
                <w:szCs w:val="24"/>
                <w:highlight w:val="none"/>
              </w:rPr>
              <w:t>注</w:t>
            </w:r>
            <w:r>
              <w:rPr>
                <w:rFonts w:hint="eastAsia" w:ascii="仿宋" w:hAnsi="仿宋" w:eastAsia="仿宋" w:cs="仿宋"/>
                <w:bCs/>
                <w:color w:val="auto"/>
                <w:sz w:val="24"/>
                <w:szCs w:val="24"/>
                <w:highlight w:val="none"/>
              </w:rPr>
              <w:t>：</w:t>
            </w:r>
          </w:p>
          <w:p w14:paraId="48258999">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1.投标人应对以上文件的合法性、真实性负责。</w:t>
            </w:r>
          </w:p>
          <w:p w14:paraId="7AFAF973">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2.签订合同前，中标人必须向采购人提交其投标文件中所有扫描件的原件，采购人核查无误后，签订合同。如中标人不能在采购人规定的时间内向采购人提供原件，将被采购人视为放弃中标资格。特别要求的除外。</w:t>
            </w:r>
          </w:p>
        </w:tc>
      </w:tr>
      <w:tr w14:paraId="19211D0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5A3EDE4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(十三)2</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64E122E5">
            <w:pPr>
              <w:keepNext w:val="0"/>
              <w:keepLines w:val="0"/>
              <w:pageBreakBefore w:val="0"/>
              <w:widowControl/>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商务条件见：</w:t>
            </w:r>
          </w:p>
          <w:p w14:paraId="72221514">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一、本文件第四章《评标标准》中《评分细则》。</w:t>
            </w:r>
          </w:p>
          <w:p w14:paraId="7564267F">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二、本文件第三章《投标资料表》中(十二)1和(十二)2。</w:t>
            </w:r>
          </w:p>
        </w:tc>
      </w:tr>
      <w:tr w14:paraId="328D221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32FA71B9">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(十三)3</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6D7401FC">
            <w:pPr>
              <w:keepNext w:val="0"/>
              <w:keepLines w:val="0"/>
              <w:pageBreakBefore w:val="0"/>
              <w:widowControl/>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交货和提供服务的时间：见本文件第五章 《拟签订的合同文本》及或本文件第六章《采购需求》。</w:t>
            </w:r>
          </w:p>
        </w:tc>
      </w:tr>
      <w:tr w14:paraId="207EFEC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107ED847">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(十四)3</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26437AF7">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2" w:firstLineChars="200"/>
              <w:textAlignment w:val="auto"/>
              <w:rPr>
                <w:rFonts w:hint="eastAsia" w:ascii="仿宋" w:hAnsi="仿宋" w:eastAsia="仿宋" w:cs="仿宋"/>
                <w:color w:val="auto"/>
                <w:sz w:val="24"/>
                <w:szCs w:val="24"/>
                <w:highlight w:val="none"/>
              </w:rPr>
            </w:pPr>
            <w:r>
              <w:rPr>
                <w:rFonts w:hint="eastAsia" w:ascii="仿宋" w:hAnsi="仿宋" w:eastAsia="仿宋" w:cs="仿宋"/>
                <w:b/>
                <w:bCs/>
                <w:sz w:val="24"/>
                <w:szCs w:val="24"/>
                <w:highlight w:val="none"/>
              </w:rPr>
              <w:t>本项目不接受超过</w:t>
            </w:r>
            <w:r>
              <w:rPr>
                <w:rFonts w:hint="eastAsia" w:ascii="仿宋" w:hAnsi="仿宋" w:eastAsia="仿宋" w:cs="仿宋"/>
                <w:b/>
                <w:bCs/>
                <w:sz w:val="24"/>
                <w:szCs w:val="24"/>
                <w:highlight w:val="none"/>
                <w:lang w:val="en-US" w:eastAsia="zh-CN"/>
              </w:rPr>
              <w:t>105</w:t>
            </w:r>
            <w:r>
              <w:rPr>
                <w:rFonts w:hint="eastAsia" w:ascii="仿宋" w:hAnsi="仿宋" w:eastAsia="仿宋" w:cs="仿宋"/>
                <w:b/>
                <w:bCs/>
                <w:sz w:val="24"/>
                <w:szCs w:val="24"/>
                <w:highlight w:val="none"/>
              </w:rPr>
              <w:t>万元人民币（采购项目预算金额）的投标报价。采购人不再支付报价以外的任何费用。</w:t>
            </w:r>
          </w:p>
        </w:tc>
      </w:tr>
      <w:tr w14:paraId="56DE5ED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43E4BD47">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(十六)</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72FAC487">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以人民币报价。</w:t>
            </w:r>
          </w:p>
        </w:tc>
      </w:tr>
      <w:tr w14:paraId="48250E18">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2796D0E5">
            <w:pPr>
              <w:keepNext w:val="0"/>
              <w:keepLines w:val="0"/>
              <w:pageBreakBefore w:val="0"/>
              <w:kinsoku/>
              <w:wordWrap/>
              <w:overflowPunct/>
              <w:topLinePunct w:val="0"/>
              <w:autoSpaceDE/>
              <w:autoSpaceDN/>
              <w:bidi w:val="0"/>
              <w:adjustRightInd/>
              <w:snapToGrid/>
              <w:spacing w:beforeAutospacing="0" w:afterAutospacing="0" w:line="360" w:lineRule="exact"/>
              <w:ind w:right="0" w:firstLine="240" w:firstLineChars="100"/>
              <w:jc w:val="both"/>
              <w:textAlignment w:val="auto"/>
              <w:rPr>
                <w:rFonts w:hint="eastAsia" w:ascii="仿宋" w:hAnsi="仿宋" w:eastAsia="仿宋" w:cs="仿宋"/>
                <w:bCs/>
                <w:color w:val="auto"/>
                <w:sz w:val="24"/>
                <w:szCs w:val="24"/>
                <w:highlight w:val="none"/>
              </w:rPr>
            </w:pPr>
            <w:r>
              <w:rPr>
                <w:rFonts w:hint="eastAsia" w:ascii="仿宋" w:hAnsi="仿宋" w:eastAsia="仿宋" w:cs="仿宋"/>
                <w:bCs/>
                <w:color w:val="auto"/>
                <w:sz w:val="24"/>
                <w:szCs w:val="24"/>
                <w:highlight w:val="none"/>
              </w:rPr>
              <w:t>（十七）</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77703F1B">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线上要求：</w:t>
            </w:r>
          </w:p>
          <w:p w14:paraId="5BBCA20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投标人应当通过“苏采云”系统提交数据电文形式的投标文件（即电子投标）。投标人如为联合体，扫描联合体盖章的投标文件，由联合体主体负责上传电子投标文件。</w:t>
            </w:r>
          </w:p>
          <w:p w14:paraId="53181B19">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特别说明：通过“苏采云”系统提交政府采购客户端工具导出加密的投标文件（后缀名为zip）。投标文件不得超过150M！</w:t>
            </w:r>
          </w:p>
          <w:p w14:paraId="75FFFE88">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 说明：本项目采用线上投标，即供应商投标文件从政府采购客户端工具制作通过“苏采云”系统提交，未提供线上投标文件的，投标无效。</w:t>
            </w:r>
          </w:p>
        </w:tc>
      </w:tr>
      <w:tr w14:paraId="18132B4B">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7BE3C246">
            <w:pPr>
              <w:keepNext w:val="0"/>
              <w:keepLines w:val="0"/>
              <w:pageBreakBefore w:val="0"/>
              <w:kinsoku/>
              <w:wordWrap/>
              <w:overflowPunct/>
              <w:topLinePunct w:val="0"/>
              <w:autoSpaceDE/>
              <w:autoSpaceDN/>
              <w:bidi w:val="0"/>
              <w:adjustRightInd/>
              <w:snapToGrid/>
              <w:spacing w:beforeAutospacing="0" w:afterAutospacing="0" w:line="360" w:lineRule="exact"/>
              <w:ind w:right="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(十八)</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6E4E3198">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线上投标文件的密封、签署、盖章要求：</w:t>
            </w:r>
          </w:p>
          <w:p w14:paraId="2741DF0B">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一、投标文件的密封（加密）要求：</w:t>
            </w:r>
          </w:p>
          <w:p w14:paraId="09E5FE4B">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投标人应当按照招标文件和“苏采云”系统的要求编制并加密投标文件。本项目投标人须通过“苏采云”系统提供的政府采购客户端工具（使用“CA数字证书”）对其数据电文形式的投标文件加密。</w:t>
            </w:r>
          </w:p>
          <w:p w14:paraId="615C35EC">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二、投标文件的签署要求：见招标文件第七章《投标文件相关格式》。</w:t>
            </w:r>
          </w:p>
          <w:p w14:paraId="60B682A4">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三、投标文件的盖章要求：见招标文件第三章《投标资料表》和招标文件第七章《投标文件相关格式》。投标人须通过“苏采云”系统提供的政府采购客户端工具（使用“CA数字证书”）加盖电子签章。</w:t>
            </w:r>
          </w:p>
          <w:p w14:paraId="5ADA4E6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说明：投标人应在用CA数字证书以及自备的能够登录“苏采云”系统的笔记本电脑，在达到开标时间后，使用CA数字证书解密各自投标文件。</w:t>
            </w:r>
          </w:p>
          <w:p w14:paraId="6D98A65A">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投标人未按规定加密的投标文件，“苏采云”系统应当拒收并提示。</w:t>
            </w:r>
          </w:p>
        </w:tc>
      </w:tr>
      <w:tr w14:paraId="37F91564">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357912CE">
            <w:pPr>
              <w:keepNext w:val="0"/>
              <w:keepLines w:val="0"/>
              <w:pageBreakBefore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(十九)</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0FB9CC65">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投标文投标文件的提交： </w:t>
            </w:r>
          </w:p>
          <w:p w14:paraId="387D0E7B">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1.投标文件提交时间：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eastAsia="zh-CN"/>
              </w:rPr>
              <w:t>9：30</w:t>
            </w:r>
            <w:r>
              <w:rPr>
                <w:rFonts w:hint="eastAsia" w:ascii="仿宋" w:hAnsi="仿宋" w:eastAsia="仿宋" w:cs="仿宋"/>
                <w:color w:val="auto"/>
                <w:sz w:val="24"/>
                <w:szCs w:val="24"/>
                <w:highlight w:val="none"/>
              </w:rPr>
              <w:t>前。</w:t>
            </w:r>
          </w:p>
          <w:p w14:paraId="69FD6654">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2.投标截止时间：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仿宋" w:hAnsi="仿宋" w:eastAsia="仿宋" w:cs="仿宋"/>
                <w:color w:val="auto"/>
                <w:sz w:val="24"/>
                <w:szCs w:val="24"/>
                <w:highlight w:val="none"/>
              </w:rPr>
              <w:t>北京时间</w:t>
            </w:r>
            <w:r>
              <w:rPr>
                <w:rFonts w:hint="eastAsia" w:ascii="仿宋" w:hAnsi="仿宋" w:eastAsia="仿宋" w:cs="仿宋"/>
                <w:color w:val="auto"/>
                <w:sz w:val="24"/>
                <w:szCs w:val="24"/>
                <w:highlight w:val="none"/>
                <w:lang w:eastAsia="zh-CN"/>
              </w:rPr>
              <w:t>9：30</w:t>
            </w:r>
            <w:r>
              <w:rPr>
                <w:rFonts w:hint="eastAsia" w:ascii="仿宋" w:hAnsi="仿宋" w:eastAsia="仿宋" w:cs="仿宋"/>
                <w:color w:val="auto"/>
                <w:sz w:val="24"/>
                <w:szCs w:val="24"/>
                <w:highlight w:val="none"/>
              </w:rPr>
              <w:t>。</w:t>
            </w:r>
          </w:p>
          <w:p w14:paraId="5077A66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3.投标文件提交地点：投标人应当通过“苏采云”系统提交数据电文形式的投标文件（即电子投标），“苏采云”系统自动接收。</w:t>
            </w:r>
          </w:p>
        </w:tc>
      </w:tr>
      <w:tr w14:paraId="596111F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481F57DA">
            <w:pPr>
              <w:keepNext w:val="0"/>
              <w:keepLines w:val="0"/>
              <w:pageBreakBefore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（二十）</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0331FFB7">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电子投标文件应由其法定代表人或法定代表人授权代表在规定的网上投标时间内，凭 CA 证书登陆“苏采云”系统在线编制投标文件（电子数据），并在投标截止时间之前上传投标文件。</w:t>
            </w:r>
          </w:p>
          <w:p w14:paraId="24AFD3BA">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投标人应在达到开标时间后，使用CA数字证书解密各自投标文件。</w:t>
            </w:r>
          </w:p>
        </w:tc>
      </w:tr>
      <w:tr w14:paraId="2690DBDE">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1F53D19C">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77B0639F">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w:t>
            </w:r>
          </w:p>
        </w:tc>
      </w:tr>
      <w:tr w14:paraId="2776A39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2236"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5DD40B3A">
            <w:pPr>
              <w:keepNext w:val="0"/>
              <w:keepLines w:val="0"/>
              <w:pageBreakBefore w:val="0"/>
              <w:kinsoku/>
              <w:wordWrap/>
              <w:overflowPunct/>
              <w:topLinePunct w:val="0"/>
              <w:autoSpaceDE/>
              <w:autoSpaceDN/>
              <w:bidi w:val="0"/>
              <w:adjustRightInd/>
              <w:snapToGrid/>
              <w:spacing w:beforeAutospacing="0" w:afterAutospacing="0" w:line="360" w:lineRule="exact"/>
              <w:ind w:right="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(二十五)1</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495A22D2">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开标时间及地点：</w:t>
            </w:r>
          </w:p>
          <w:p w14:paraId="63231C3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1.开标时间：</w:t>
            </w:r>
            <w:r>
              <w:rPr>
                <w:rFonts w:hint="eastAsia" w:ascii="宋体" w:hAnsi="宋体" w:eastAsia="宋体" w:cs="宋体"/>
                <w:color w:val="auto"/>
                <w:sz w:val="24"/>
                <w:szCs w:val="24"/>
                <w:highlight w:val="none"/>
                <w:lang w:eastAsia="zh-CN"/>
              </w:rPr>
              <w:t>2025年</w:t>
            </w:r>
            <w:r>
              <w:rPr>
                <w:rFonts w:hint="eastAsia" w:ascii="宋体" w:hAnsi="宋体" w:cs="宋体"/>
                <w:color w:val="auto"/>
                <w:sz w:val="24"/>
                <w:szCs w:val="24"/>
                <w:highlight w:val="none"/>
                <w:lang w:val="en-US" w:eastAsia="zh-CN"/>
              </w:rPr>
              <w:t>5</w:t>
            </w:r>
            <w:r>
              <w:rPr>
                <w:rFonts w:hint="eastAsia" w:ascii="宋体" w:hAnsi="宋体" w:cs="宋体"/>
                <w:color w:val="auto"/>
                <w:sz w:val="24"/>
                <w:szCs w:val="24"/>
                <w:highlight w:val="none"/>
                <w:lang w:eastAsia="zh-CN"/>
              </w:rPr>
              <w:t>月</w:t>
            </w:r>
            <w:r>
              <w:rPr>
                <w:rFonts w:hint="eastAsia" w:ascii="宋体" w:hAnsi="宋体" w:cs="宋体"/>
                <w:color w:val="auto"/>
                <w:sz w:val="24"/>
                <w:szCs w:val="24"/>
                <w:highlight w:val="none"/>
                <w:lang w:val="en-US" w:eastAsia="zh-CN"/>
              </w:rPr>
              <w:t>7</w:t>
            </w:r>
            <w:r>
              <w:rPr>
                <w:rFonts w:hint="eastAsia" w:ascii="宋体" w:hAnsi="宋体" w:cs="宋体"/>
                <w:color w:val="auto"/>
                <w:sz w:val="24"/>
                <w:szCs w:val="24"/>
                <w:highlight w:val="none"/>
                <w:lang w:eastAsia="zh-CN"/>
              </w:rPr>
              <w:t>日</w:t>
            </w:r>
            <w:r>
              <w:rPr>
                <w:rFonts w:hint="eastAsia" w:ascii="仿宋" w:hAnsi="仿宋" w:eastAsia="仿宋" w:cs="仿宋"/>
                <w:color w:val="auto"/>
                <w:sz w:val="24"/>
                <w:szCs w:val="24"/>
                <w:highlight w:val="none"/>
                <w:lang w:eastAsia="zh-CN"/>
              </w:rPr>
              <w:t>9：30</w:t>
            </w:r>
            <w:r>
              <w:rPr>
                <w:rFonts w:hint="eastAsia" w:ascii="仿宋" w:hAnsi="仿宋" w:eastAsia="仿宋" w:cs="仿宋"/>
                <w:color w:val="auto"/>
                <w:sz w:val="24"/>
                <w:szCs w:val="24"/>
                <w:highlight w:val="none"/>
              </w:rPr>
              <w:t>（标准时间）</w:t>
            </w:r>
          </w:p>
          <w:p w14:paraId="438EB34F">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2.开标地点：“苏采云”系统（网址： http://jszfcg.jsczt.cn/）“开标大厅”或进入徐州政府采购网（网址：http://czj.xz.gov.cn/Home/HomeIndex）--业务工作--用户登录，点击“苏采云”进入系统“开标大厅”。</w:t>
            </w:r>
          </w:p>
        </w:tc>
      </w:tr>
      <w:tr w14:paraId="7F925D0C">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2268"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01BEAD21">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(二十五)3</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1A13475F">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线上开标时，“苏采云”系统自动提取所有投标文件，投标人按招标文件规定方式按时在线解密。本项目招标文件规定的投标人按时在线解密方式：开标时间后30分钟内，通过“苏采云”系统（使用“CA数字证书”）解密。</w:t>
            </w:r>
          </w:p>
          <w:p w14:paraId="2B38368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所有投标人解密（或解密时间）结束后，“苏采云”系统生成开标记录并向社会公众公布，但依法应当保密的除外。</w:t>
            </w:r>
          </w:p>
        </w:tc>
      </w:tr>
      <w:tr w14:paraId="78CD1CE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479"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093FE793">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五</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6D18D5E4">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评标</w:t>
            </w:r>
          </w:p>
        </w:tc>
      </w:tr>
      <w:tr w14:paraId="7A0ADF1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522"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38ECE6B7">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(二十七)</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2C83FADD">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采用综合评分法。</w:t>
            </w:r>
          </w:p>
        </w:tc>
      </w:tr>
      <w:tr w14:paraId="2888937A">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1844"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29BF5C4E">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0"/>
                <w:szCs w:val="20"/>
                <w:highlight w:val="none"/>
              </w:rPr>
            </w:pPr>
            <w:r>
              <w:rPr>
                <w:rFonts w:hint="eastAsia" w:ascii="仿宋" w:hAnsi="仿宋" w:eastAsia="仿宋" w:cs="仿宋"/>
                <w:color w:val="auto"/>
                <w:sz w:val="20"/>
                <w:szCs w:val="20"/>
                <w:highlight w:val="none"/>
              </w:rPr>
              <w:t>(二十八)1</w:t>
            </w:r>
          </w:p>
          <w:p w14:paraId="31846DCA">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0"/>
                <w:szCs w:val="20"/>
                <w:highlight w:val="none"/>
              </w:rPr>
              <w:t>(二十八)1（4）</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12BBC5E2">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一、推荐中标候选供应商名单。中标候选供应商数量应当根据采购需要确定，但必须按顺序排列中标候选供应商。</w:t>
            </w:r>
          </w:p>
          <w:p w14:paraId="6769858A">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二、采用综合评分法的，按评审后得分由高到低顺序排列。得分相同的，按投标报价由低到高顺序排列。得分且投标报价相同的，按</w:t>
            </w:r>
            <w:r>
              <w:rPr>
                <w:rFonts w:hint="eastAsia" w:ascii="仿宋" w:hAnsi="仿宋" w:eastAsia="仿宋" w:cs="仿宋"/>
                <w:b/>
                <w:bCs/>
                <w:color w:val="auto"/>
                <w:sz w:val="24"/>
                <w:szCs w:val="24"/>
                <w:highlight w:val="none"/>
                <w:lang w:val="en-US" w:eastAsia="zh-CN"/>
              </w:rPr>
              <w:t>技术部分</w:t>
            </w:r>
            <w:r>
              <w:rPr>
                <w:rFonts w:hint="eastAsia" w:ascii="仿宋" w:hAnsi="仿宋" w:eastAsia="仿宋" w:cs="仿宋"/>
                <w:color w:val="auto"/>
                <w:sz w:val="24"/>
                <w:szCs w:val="24"/>
                <w:highlight w:val="none"/>
              </w:rPr>
              <w:t>得分顺序排列。</w:t>
            </w:r>
          </w:p>
        </w:tc>
      </w:tr>
      <w:tr w14:paraId="44F587C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68D642DB">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（二十九）</w:t>
            </w:r>
          </w:p>
          <w:p w14:paraId="62A93C10">
            <w:pPr>
              <w:keepNext w:val="0"/>
              <w:keepLines w:val="0"/>
              <w:pageBreakBefore w:val="0"/>
              <w:kinsoku/>
              <w:wordWrap/>
              <w:overflowPunct/>
              <w:topLinePunct w:val="0"/>
              <w:autoSpaceDE/>
              <w:autoSpaceDN/>
              <w:bidi w:val="0"/>
              <w:adjustRightInd/>
              <w:snapToGrid/>
              <w:spacing w:beforeAutospacing="0" w:afterAutospacing="0" w:line="360" w:lineRule="exact"/>
              <w:ind w:right="0" w:firstLine="240" w:firstLineChars="10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（4）</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5F5DF0F6">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1.评标中需要投标人对投标文件澄清或者说明的，应当通过“苏采云”系统交换数据电文。在评标期间，请投标人保持在线。</w:t>
            </w:r>
          </w:p>
          <w:p w14:paraId="7184FFD9">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2.对于投标文件中含义不明确、同类问题表述不一致或者有明显文字和计算错误的内容，评标委员会通过“苏采云”系统要求投标人作出必要的澄清、说明或者补正，并规定回复时间。</w:t>
            </w:r>
          </w:p>
          <w:p w14:paraId="19E83C7D">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3.投标人的澄清、说明或者补正应当采用通过“苏采云”系统（使用“CA数字证书”,加盖电子签章）形式。投标人没有在规定的回复时间内作出必要的澄清、说明或者补正，评标委员会将认为投标人拒绝作出必要的澄清、说明或者补正，并承担相应的后果和法律责任。</w:t>
            </w:r>
          </w:p>
          <w:p w14:paraId="6638C6BB">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特别说明：“苏采云”系统通过“江苏省政府采购一体化不见面开标大厅”提醒投标人。投标人自行查看，投标人因自身原因不及时查看导致没收到信息，“苏采云”系统不承担任何责任。</w:t>
            </w:r>
          </w:p>
        </w:tc>
      </w:tr>
      <w:tr w14:paraId="35EF0EB0">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57F4DE5B">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jc w:val="center"/>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七</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13A77FF1">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政府采购合同</w:t>
            </w:r>
          </w:p>
        </w:tc>
      </w:tr>
      <w:tr w14:paraId="14499099">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789"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67086E4D">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(三十七)1</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6B5FFA4A">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采购人与中标、成交供应商应当在中标、成交通知书发出之日起30日内，按照采购文件确定的事项签订政府采购合同。</w:t>
            </w:r>
          </w:p>
        </w:tc>
      </w:tr>
      <w:tr w14:paraId="74C7E9A6">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c>
          <w:tcPr>
            <w:tcW w:w="1629" w:type="dxa"/>
            <w:tcBorders>
              <w:top w:val="single" w:color="000000" w:sz="4" w:space="0"/>
              <w:left w:val="single" w:color="000000" w:sz="4" w:space="0"/>
              <w:bottom w:val="single" w:color="000000" w:sz="4" w:space="0"/>
              <w:right w:val="single" w:color="000000" w:sz="4" w:space="0"/>
            </w:tcBorders>
            <w:noWrap w:val="0"/>
            <w:vAlign w:val="center"/>
          </w:tcPr>
          <w:p w14:paraId="2BB7BF8A">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（三十八）</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79DF6E89">
            <w:pPr>
              <w:keepNext w:val="0"/>
              <w:keepLines w:val="0"/>
              <w:pageBreakBefore w:val="0"/>
              <w:kinsoku/>
              <w:wordWrap/>
              <w:overflowPunct/>
              <w:topLinePunct w:val="0"/>
              <w:autoSpaceDE/>
              <w:autoSpaceDN/>
              <w:bidi w:val="0"/>
              <w:adjustRightInd/>
              <w:snapToGrid/>
              <w:spacing w:beforeAutospacing="0" w:afterAutospacing="0" w:line="360" w:lineRule="exact"/>
              <w:ind w:right="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履约保证金：无。</w:t>
            </w:r>
          </w:p>
        </w:tc>
      </w:tr>
      <w:tr w14:paraId="000376C2">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2750F82D">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(四十一)</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1F506F85">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一、供应商对政府采购活动事项有疑问的，向采购代理机构提出询问；供应商认为采购文件、采购过程和中标、成交结果使自己的权益受到损害的，可以在知道或者应知其权益受到损害之日起七个工作日内，以书面形式向采购代理机构提出质疑。询问和质疑由采购代理机构依法处理。</w:t>
            </w:r>
          </w:p>
          <w:p w14:paraId="51FAC2D1">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二、供应商在法定质疑期内一次性提出针对同一采购程序环节的质疑。</w:t>
            </w:r>
          </w:p>
          <w:p w14:paraId="5B28238E">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color w:val="auto"/>
                <w:sz w:val="24"/>
                <w:szCs w:val="24"/>
                <w:highlight w:val="none"/>
              </w:rPr>
              <w:t>质疑接收人：</w:t>
            </w:r>
            <w:r>
              <w:rPr>
                <w:rFonts w:hint="eastAsia" w:ascii="仿宋" w:hAnsi="仿宋" w:eastAsia="仿宋" w:cs="仿宋"/>
                <w:color w:val="auto"/>
                <w:sz w:val="24"/>
                <w:szCs w:val="24"/>
                <w:highlight w:val="none"/>
                <w:lang w:eastAsia="zh-CN"/>
              </w:rPr>
              <w:t>魏雪梅</w:t>
            </w:r>
            <w:r>
              <w:rPr>
                <w:rFonts w:hint="eastAsia" w:ascii="仿宋" w:hAnsi="仿宋" w:eastAsia="仿宋" w:cs="仿宋"/>
                <w:color w:val="auto"/>
                <w:sz w:val="24"/>
                <w:szCs w:val="24"/>
                <w:highlight w:val="none"/>
              </w:rPr>
              <w:t>;联系电话：</w:t>
            </w:r>
            <w:r>
              <w:rPr>
                <w:rFonts w:hint="eastAsia" w:ascii="仿宋" w:hAnsi="仿宋" w:eastAsia="仿宋" w:cs="仿宋"/>
                <w:color w:val="auto"/>
                <w:sz w:val="24"/>
                <w:szCs w:val="24"/>
                <w:highlight w:val="none"/>
                <w:lang w:eastAsia="zh-CN"/>
              </w:rPr>
              <w:t>19285150710</w:t>
            </w:r>
            <w:r>
              <w:rPr>
                <w:rFonts w:hint="eastAsia" w:ascii="仿宋" w:hAnsi="仿宋" w:eastAsia="仿宋" w:cs="仿宋"/>
                <w:color w:val="auto"/>
                <w:sz w:val="24"/>
                <w:szCs w:val="24"/>
                <w:highlight w:val="none"/>
              </w:rPr>
              <w:t>;</w:t>
            </w:r>
          </w:p>
          <w:p w14:paraId="7BCFE554">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lang w:eastAsia="zh-CN"/>
              </w:rPr>
            </w:pPr>
            <w:r>
              <w:rPr>
                <w:rFonts w:hint="eastAsia" w:ascii="仿宋" w:hAnsi="仿宋" w:eastAsia="仿宋" w:cs="仿宋"/>
                <w:color w:val="auto"/>
                <w:sz w:val="24"/>
                <w:szCs w:val="24"/>
                <w:highlight w:val="none"/>
              </w:rPr>
              <w:t>办公地址：</w:t>
            </w:r>
            <w:r>
              <w:rPr>
                <w:rFonts w:hint="eastAsia" w:ascii="仿宋" w:hAnsi="仿宋" w:eastAsia="仿宋" w:cs="仿宋"/>
                <w:color w:val="auto"/>
                <w:sz w:val="24"/>
                <w:szCs w:val="24"/>
                <w:highlight w:val="none"/>
                <w:lang w:eastAsia="zh-CN"/>
              </w:rPr>
              <w:t>徐州市云龙区绿地商务城商务办公楼B号楼1-1607</w:t>
            </w:r>
          </w:p>
        </w:tc>
      </w:tr>
      <w:tr w14:paraId="52F61217">
        <w:tblPrEx>
          <w:tblBorders>
            <w:top w:val="single" w:color="000000" w:sz="4" w:space="0"/>
            <w:left w:val="single" w:color="000000" w:sz="4" w:space="0"/>
            <w:bottom w:val="single" w:color="000000" w:sz="4" w:space="0"/>
            <w:right w:val="single" w:color="000000" w:sz="4" w:space="0"/>
            <w:insideH w:val="none" w:color="000000" w:sz="0" w:space="0"/>
            <w:insideV w:val="none" w:color="000000" w:sz="0" w:space="0"/>
          </w:tblBorders>
          <w:tblCellMar>
            <w:top w:w="0" w:type="dxa"/>
            <w:left w:w="108" w:type="dxa"/>
            <w:bottom w:w="0" w:type="dxa"/>
            <w:right w:w="108" w:type="dxa"/>
          </w:tblCellMar>
        </w:tblPrEx>
        <w:trPr>
          <w:trHeight w:val="90" w:hRule="atLeast"/>
        </w:trPr>
        <w:tc>
          <w:tcPr>
            <w:tcW w:w="1629" w:type="dxa"/>
            <w:tcBorders>
              <w:top w:val="single" w:color="000000" w:sz="4" w:space="0"/>
              <w:left w:val="single" w:color="000000" w:sz="4" w:space="0"/>
              <w:bottom w:val="single" w:color="000000" w:sz="4" w:space="0"/>
              <w:right w:val="single" w:color="000000" w:sz="4" w:space="0"/>
            </w:tcBorders>
            <w:noWrap w:val="0"/>
            <w:vAlign w:val="center"/>
          </w:tcPr>
          <w:p w14:paraId="64886598">
            <w:pPr>
              <w:keepNext w:val="0"/>
              <w:keepLines w:val="0"/>
              <w:pageBreakBefore w:val="0"/>
              <w:kinsoku/>
              <w:wordWrap/>
              <w:overflowPunct/>
              <w:topLinePunct w:val="0"/>
              <w:autoSpaceDE/>
              <w:autoSpaceDN/>
              <w:bidi w:val="0"/>
              <w:adjustRightInd/>
              <w:snapToGrid/>
              <w:spacing w:beforeAutospacing="0" w:afterAutospacing="0" w:line="360" w:lineRule="exact"/>
              <w:ind w:right="0"/>
              <w:jc w:val="both"/>
              <w:textAlignment w:val="auto"/>
              <w:rPr>
                <w:rFonts w:hint="eastAsia" w:ascii="仿宋" w:hAnsi="仿宋" w:eastAsia="仿宋" w:cs="仿宋"/>
                <w:color w:val="auto"/>
                <w:sz w:val="24"/>
                <w:szCs w:val="24"/>
                <w:highlight w:val="none"/>
              </w:rPr>
            </w:pPr>
            <w:bookmarkStart w:id="5" w:name="_Toc522790133"/>
            <w:r>
              <w:rPr>
                <w:rFonts w:hint="eastAsia" w:ascii="仿宋" w:hAnsi="仿宋" w:eastAsia="仿宋" w:cs="仿宋"/>
                <w:bCs/>
                <w:sz w:val="24"/>
                <w:szCs w:val="24"/>
                <w:highlight w:val="none"/>
              </w:rPr>
              <w:t>附加说明</w:t>
            </w:r>
          </w:p>
        </w:tc>
        <w:tc>
          <w:tcPr>
            <w:tcW w:w="7255" w:type="dxa"/>
            <w:tcBorders>
              <w:top w:val="single" w:color="000000" w:sz="4" w:space="0"/>
              <w:left w:val="single" w:color="000000" w:sz="4" w:space="0"/>
              <w:bottom w:val="single" w:color="000000" w:sz="4" w:space="0"/>
              <w:right w:val="single" w:color="000000" w:sz="4" w:space="0"/>
            </w:tcBorders>
            <w:noWrap w:val="0"/>
            <w:vAlign w:val="top"/>
          </w:tcPr>
          <w:p w14:paraId="0251670F">
            <w:pPr>
              <w:keepNext w:val="0"/>
              <w:keepLines w:val="0"/>
              <w:pageBreakBefore w:val="0"/>
              <w:kinsoku/>
              <w:wordWrap/>
              <w:overflowPunct/>
              <w:topLinePunct w:val="0"/>
              <w:autoSpaceDE/>
              <w:autoSpaceDN/>
              <w:bidi w:val="0"/>
              <w:adjustRightInd/>
              <w:snapToGrid/>
              <w:spacing w:beforeAutospacing="0" w:afterAutospacing="0" w:line="360" w:lineRule="exact"/>
              <w:ind w:left="0" w:right="0" w:firstLine="480" w:firstLineChars="200"/>
              <w:textAlignment w:val="auto"/>
              <w:rPr>
                <w:rFonts w:hint="eastAsia" w:ascii="仿宋" w:hAnsi="仿宋" w:eastAsia="仿宋" w:cs="仿宋"/>
                <w:color w:val="auto"/>
                <w:sz w:val="24"/>
                <w:szCs w:val="24"/>
                <w:highlight w:val="none"/>
              </w:rPr>
            </w:pPr>
            <w:r>
              <w:rPr>
                <w:rFonts w:hint="eastAsia" w:ascii="仿宋" w:hAnsi="仿宋" w:eastAsia="仿宋" w:cs="仿宋"/>
                <w:sz w:val="24"/>
                <w:szCs w:val="24"/>
                <w:highlight w:val="none"/>
                <w:lang w:val="en-US" w:eastAsia="zh-CN"/>
              </w:rPr>
              <w:t>中标供应商须在领取中标通知书之前</w:t>
            </w:r>
            <w:r>
              <w:rPr>
                <w:rFonts w:hint="eastAsia" w:ascii="仿宋" w:hAnsi="仿宋" w:eastAsia="仿宋" w:cs="仿宋"/>
                <w:sz w:val="24"/>
                <w:szCs w:val="24"/>
                <w:highlight w:val="none"/>
              </w:rPr>
              <w:t>，须向采购代理机构提交《开标一览表》和《分项价格表》的数据文件（WORD格式）及</w:t>
            </w:r>
            <w:r>
              <w:rPr>
                <w:rFonts w:hint="eastAsia" w:ascii="仿宋" w:hAnsi="仿宋" w:eastAsia="仿宋" w:cs="仿宋"/>
                <w:sz w:val="24"/>
                <w:szCs w:val="24"/>
                <w:highlight w:val="none"/>
                <w:lang w:val="en-US" w:eastAsia="zh-CN"/>
              </w:rPr>
              <w:t>纸质标书文件一式两份，正本一份，副本一份</w:t>
            </w:r>
            <w:r>
              <w:rPr>
                <w:rFonts w:hint="eastAsia" w:ascii="仿宋" w:hAnsi="仿宋" w:eastAsia="仿宋" w:cs="仿宋"/>
                <w:sz w:val="24"/>
                <w:szCs w:val="24"/>
                <w:highlight w:val="none"/>
              </w:rPr>
              <w:t>。</w:t>
            </w:r>
          </w:p>
        </w:tc>
      </w:tr>
    </w:tbl>
    <w:p w14:paraId="054415B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600"/>
        <w:jc w:val="center"/>
        <w:textAlignment w:val="auto"/>
        <w:rPr>
          <w:rFonts w:hint="eastAsia" w:ascii="仿宋" w:hAnsi="仿宋" w:eastAsia="仿宋" w:cs="仿宋"/>
          <w:b/>
          <w:sz w:val="24"/>
          <w:szCs w:val="24"/>
        </w:rPr>
      </w:pPr>
      <w:r>
        <w:rPr>
          <w:rFonts w:ascii="黑体" w:hAnsi="黑体" w:eastAsia="黑体"/>
          <w:color w:val="auto"/>
          <w:sz w:val="30"/>
          <w:szCs w:val="30"/>
          <w:highlight w:val="none"/>
        </w:rPr>
        <w:br w:type="page" w:clear="all"/>
      </w:r>
      <w:bookmarkEnd w:id="5"/>
      <w:r>
        <w:rPr>
          <w:rFonts w:hint="eastAsia" w:ascii="仿宋" w:hAnsi="仿宋" w:eastAsia="仿宋" w:cs="仿宋"/>
          <w:sz w:val="24"/>
          <w:szCs w:val="24"/>
        </w:rPr>
        <w:t>本章附件：</w:t>
      </w:r>
      <w:r>
        <w:rPr>
          <w:rFonts w:hint="eastAsia" w:ascii="仿宋" w:hAnsi="仿宋" w:eastAsia="仿宋" w:cs="仿宋"/>
          <w:b/>
          <w:sz w:val="24"/>
          <w:szCs w:val="24"/>
        </w:rPr>
        <w:t>招标代理服务收费标准</w:t>
      </w:r>
    </w:p>
    <w:tbl>
      <w:tblPr>
        <w:tblStyle w:val="37"/>
        <w:tblW w:w="7039" w:type="dxa"/>
        <w:jc w:val="center"/>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792"/>
        <w:gridCol w:w="3247"/>
      </w:tblGrid>
      <w:tr w14:paraId="0D2D0E9B">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3792" w:type="dxa"/>
            <w:tcBorders>
              <w:top w:val="single" w:color="auto" w:sz="4" w:space="0"/>
            </w:tcBorders>
            <w:noWrap w:val="0"/>
            <w:vAlign w:val="center"/>
          </w:tcPr>
          <w:p w14:paraId="29696DD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中标或者成交金额</w:t>
            </w:r>
          </w:p>
        </w:tc>
        <w:tc>
          <w:tcPr>
            <w:tcW w:w="3247" w:type="dxa"/>
            <w:tcBorders>
              <w:top w:val="single" w:color="auto" w:sz="4" w:space="0"/>
            </w:tcBorders>
            <w:noWrap w:val="0"/>
            <w:vAlign w:val="center"/>
          </w:tcPr>
          <w:p w14:paraId="3F58888C">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lang w:val="en-US" w:eastAsia="zh-CN"/>
              </w:rPr>
              <w:t>费率</w:t>
            </w:r>
          </w:p>
        </w:tc>
      </w:tr>
      <w:tr w14:paraId="12C1B9C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0" w:hRule="atLeast"/>
          <w:jc w:val="center"/>
        </w:trPr>
        <w:tc>
          <w:tcPr>
            <w:tcW w:w="3792" w:type="dxa"/>
            <w:tcBorders>
              <w:top w:val="single" w:color="auto" w:sz="4" w:space="0"/>
            </w:tcBorders>
            <w:noWrap w:val="0"/>
            <w:vAlign w:val="center"/>
          </w:tcPr>
          <w:p w14:paraId="6A92F4D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最低收费金额(每个委托项目)</w:t>
            </w:r>
          </w:p>
        </w:tc>
        <w:tc>
          <w:tcPr>
            <w:tcW w:w="3247" w:type="dxa"/>
            <w:tcBorders>
              <w:top w:val="single" w:color="auto" w:sz="4" w:space="0"/>
            </w:tcBorders>
            <w:noWrap w:val="0"/>
            <w:vAlign w:val="center"/>
          </w:tcPr>
          <w:p w14:paraId="04ADA5BA">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5000元</w:t>
            </w:r>
          </w:p>
        </w:tc>
      </w:tr>
      <w:tr w14:paraId="711FD84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792" w:type="dxa"/>
            <w:noWrap w:val="0"/>
            <w:vAlign w:val="center"/>
          </w:tcPr>
          <w:p w14:paraId="2E6980E0">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0万以下</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含50万元）</w:t>
            </w:r>
          </w:p>
        </w:tc>
        <w:tc>
          <w:tcPr>
            <w:tcW w:w="3247" w:type="dxa"/>
            <w:noWrap w:val="0"/>
            <w:vAlign w:val="center"/>
          </w:tcPr>
          <w:p w14:paraId="7EAA5056">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6</w:t>
            </w:r>
            <w:r>
              <w:rPr>
                <w:rFonts w:hint="eastAsia" w:ascii="宋体" w:hAnsi="宋体" w:eastAsia="宋体" w:cs="宋体"/>
                <w:color w:val="000000"/>
                <w:sz w:val="24"/>
                <w:szCs w:val="24"/>
                <w:highlight w:val="none"/>
              </w:rPr>
              <w:t>%</w:t>
            </w:r>
          </w:p>
        </w:tc>
      </w:tr>
      <w:tr w14:paraId="07FB5C28">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792" w:type="dxa"/>
            <w:noWrap w:val="0"/>
            <w:vAlign w:val="center"/>
          </w:tcPr>
          <w:p w14:paraId="2474AA8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50-4</w:t>
            </w:r>
            <w:r>
              <w:rPr>
                <w:rFonts w:hint="eastAsia" w:ascii="宋体" w:hAnsi="宋体" w:eastAsia="宋体" w:cs="宋体"/>
                <w:color w:val="000000"/>
                <w:sz w:val="24"/>
                <w:szCs w:val="24"/>
                <w:highlight w:val="none"/>
              </w:rPr>
              <w:t>00万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含400万元）</w:t>
            </w:r>
          </w:p>
        </w:tc>
        <w:tc>
          <w:tcPr>
            <w:tcW w:w="3247" w:type="dxa"/>
            <w:noWrap w:val="0"/>
            <w:vAlign w:val="center"/>
          </w:tcPr>
          <w:p w14:paraId="45FC23A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p>
        </w:tc>
      </w:tr>
      <w:tr w14:paraId="5EFAB659">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0" w:hRule="atLeast"/>
          <w:jc w:val="center"/>
        </w:trPr>
        <w:tc>
          <w:tcPr>
            <w:tcW w:w="3792" w:type="dxa"/>
            <w:noWrap w:val="0"/>
            <w:vAlign w:val="center"/>
          </w:tcPr>
          <w:p w14:paraId="435720D3">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4</w:t>
            </w:r>
            <w:r>
              <w:rPr>
                <w:rFonts w:hint="eastAsia" w:ascii="宋体" w:hAnsi="宋体" w:eastAsia="宋体" w:cs="宋体"/>
                <w:color w:val="000000"/>
                <w:sz w:val="24"/>
                <w:szCs w:val="24"/>
                <w:highlight w:val="none"/>
              </w:rPr>
              <w:t>00</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1000万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含1000万元）</w:t>
            </w:r>
          </w:p>
        </w:tc>
        <w:tc>
          <w:tcPr>
            <w:tcW w:w="3247" w:type="dxa"/>
            <w:noWrap w:val="0"/>
            <w:vAlign w:val="center"/>
          </w:tcPr>
          <w:p w14:paraId="5F42A23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lang w:val="en-US" w:eastAsia="zh-CN"/>
              </w:rPr>
              <w:t>1.1</w:t>
            </w:r>
            <w:r>
              <w:rPr>
                <w:rFonts w:hint="eastAsia" w:ascii="宋体" w:hAnsi="宋体" w:eastAsia="宋体" w:cs="宋体"/>
                <w:color w:val="000000"/>
                <w:sz w:val="24"/>
                <w:szCs w:val="24"/>
                <w:highlight w:val="none"/>
              </w:rPr>
              <w:t>%</w:t>
            </w:r>
          </w:p>
        </w:tc>
      </w:tr>
      <w:tr w14:paraId="25306AA1">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92" w:type="dxa"/>
            <w:noWrap w:val="0"/>
            <w:vAlign w:val="center"/>
          </w:tcPr>
          <w:p w14:paraId="304F672B">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lang w:eastAsia="zh-CN"/>
              </w:rPr>
            </w:pPr>
            <w:r>
              <w:rPr>
                <w:rFonts w:hint="eastAsia" w:ascii="宋体" w:hAnsi="宋体" w:eastAsia="宋体" w:cs="宋体"/>
                <w:color w:val="000000"/>
                <w:sz w:val="24"/>
                <w:szCs w:val="24"/>
                <w:highlight w:val="none"/>
              </w:rPr>
              <w:t>l000</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5000万</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含5000万元）</w:t>
            </w:r>
          </w:p>
        </w:tc>
        <w:tc>
          <w:tcPr>
            <w:tcW w:w="3247" w:type="dxa"/>
            <w:noWrap w:val="0"/>
            <w:vAlign w:val="center"/>
          </w:tcPr>
          <w:p w14:paraId="3F90052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w:t>
            </w:r>
            <w:r>
              <w:rPr>
                <w:rFonts w:hint="eastAsia" w:ascii="宋体" w:hAnsi="宋体" w:eastAsia="宋体" w:cs="宋体"/>
                <w:color w:val="000000"/>
                <w:sz w:val="24"/>
                <w:szCs w:val="24"/>
                <w:highlight w:val="none"/>
                <w:lang w:val="en-US" w:eastAsia="zh-CN"/>
              </w:rPr>
              <w:t>8</w:t>
            </w:r>
            <w:r>
              <w:rPr>
                <w:rFonts w:hint="eastAsia" w:ascii="宋体" w:hAnsi="宋体" w:eastAsia="宋体" w:cs="宋体"/>
                <w:color w:val="000000"/>
                <w:sz w:val="24"/>
                <w:szCs w:val="24"/>
                <w:highlight w:val="none"/>
              </w:rPr>
              <w:t>%</w:t>
            </w:r>
          </w:p>
        </w:tc>
      </w:tr>
      <w:tr w14:paraId="09856FBD">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92" w:type="dxa"/>
            <w:noWrap w:val="0"/>
            <w:vAlign w:val="center"/>
          </w:tcPr>
          <w:p w14:paraId="742A369E">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5000</w:t>
            </w:r>
            <w:r>
              <w:rPr>
                <w:rFonts w:hint="eastAsia" w:ascii="宋体" w:hAnsi="宋体" w:eastAsia="宋体" w:cs="宋体"/>
                <w:color w:val="000000"/>
                <w:sz w:val="24"/>
                <w:szCs w:val="24"/>
                <w:highlight w:val="none"/>
                <w:lang w:val="en-US" w:eastAsia="zh-CN"/>
              </w:rPr>
              <w:t>-</w:t>
            </w:r>
            <w:r>
              <w:rPr>
                <w:rFonts w:hint="eastAsia" w:ascii="宋体" w:hAnsi="宋体" w:eastAsia="宋体" w:cs="宋体"/>
                <w:color w:val="000000"/>
                <w:sz w:val="24"/>
                <w:szCs w:val="24"/>
                <w:highlight w:val="none"/>
              </w:rPr>
              <w:t>l亿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含1亿元）</w:t>
            </w:r>
          </w:p>
        </w:tc>
        <w:tc>
          <w:tcPr>
            <w:tcW w:w="3247" w:type="dxa"/>
            <w:noWrap w:val="0"/>
            <w:vAlign w:val="center"/>
          </w:tcPr>
          <w:p w14:paraId="322AC947">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0.25%</w:t>
            </w:r>
          </w:p>
        </w:tc>
      </w:tr>
      <w:tr w14:paraId="3DD0FD7E">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92" w:type="dxa"/>
            <w:noWrap w:val="0"/>
            <w:vAlign w:val="center"/>
          </w:tcPr>
          <w:p w14:paraId="1DB51F2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rPr>
              <w:t>1</w:t>
            </w:r>
            <w:r>
              <w:rPr>
                <w:rFonts w:hint="eastAsia" w:ascii="宋体" w:hAnsi="宋体" w:eastAsia="宋体" w:cs="宋体"/>
                <w:color w:val="000000"/>
                <w:sz w:val="24"/>
                <w:szCs w:val="24"/>
                <w:highlight w:val="none"/>
                <w:lang w:val="en-US" w:eastAsia="zh-CN"/>
              </w:rPr>
              <w:t>-10</w:t>
            </w:r>
            <w:r>
              <w:rPr>
                <w:rFonts w:hint="eastAsia" w:ascii="宋体" w:hAnsi="宋体" w:eastAsia="宋体" w:cs="宋体"/>
                <w:color w:val="000000"/>
                <w:sz w:val="24"/>
                <w:szCs w:val="24"/>
                <w:highlight w:val="none"/>
              </w:rPr>
              <w:t>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含10亿元）</w:t>
            </w:r>
          </w:p>
        </w:tc>
        <w:tc>
          <w:tcPr>
            <w:tcW w:w="3247" w:type="dxa"/>
            <w:noWrap w:val="0"/>
            <w:vAlign w:val="center"/>
          </w:tcPr>
          <w:p w14:paraId="10D26432">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0.05%</w:t>
            </w:r>
          </w:p>
        </w:tc>
      </w:tr>
      <w:tr w14:paraId="32E4EC70">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92" w:type="dxa"/>
            <w:noWrap w:val="0"/>
            <w:vAlign w:val="center"/>
          </w:tcPr>
          <w:p w14:paraId="5412BBD1">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lang w:val="en-US" w:eastAsia="zh-CN"/>
              </w:rPr>
            </w:pPr>
            <w:r>
              <w:rPr>
                <w:rFonts w:hint="eastAsia" w:ascii="宋体" w:hAnsi="宋体" w:eastAsia="宋体" w:cs="宋体"/>
                <w:color w:val="000000"/>
                <w:sz w:val="24"/>
                <w:szCs w:val="24"/>
                <w:highlight w:val="none"/>
                <w:lang w:val="en-US" w:eastAsia="zh-CN"/>
              </w:rPr>
              <w:t>10-5</w:t>
            </w:r>
            <w:r>
              <w:rPr>
                <w:rFonts w:hint="eastAsia" w:ascii="宋体" w:hAnsi="宋体" w:eastAsia="宋体" w:cs="宋体"/>
                <w:color w:val="000000"/>
                <w:sz w:val="24"/>
                <w:szCs w:val="24"/>
                <w:highlight w:val="none"/>
              </w:rPr>
              <w:t>0亿</w:t>
            </w:r>
            <w:r>
              <w:rPr>
                <w:rFonts w:hint="eastAsia" w:ascii="宋体" w:hAnsi="宋体" w:eastAsia="宋体" w:cs="宋体"/>
                <w:color w:val="000000"/>
                <w:sz w:val="24"/>
                <w:szCs w:val="24"/>
                <w:highlight w:val="none"/>
                <w:lang w:eastAsia="zh-CN"/>
              </w:rPr>
              <w:t>（</w:t>
            </w:r>
            <w:r>
              <w:rPr>
                <w:rFonts w:hint="eastAsia" w:ascii="宋体" w:hAnsi="宋体" w:eastAsia="宋体" w:cs="宋体"/>
                <w:color w:val="000000"/>
                <w:sz w:val="24"/>
                <w:szCs w:val="24"/>
                <w:highlight w:val="none"/>
                <w:lang w:val="en-US" w:eastAsia="zh-CN"/>
              </w:rPr>
              <w:t>含50亿元）</w:t>
            </w:r>
          </w:p>
        </w:tc>
        <w:tc>
          <w:tcPr>
            <w:tcW w:w="3247" w:type="dxa"/>
            <w:noWrap w:val="0"/>
            <w:vAlign w:val="center"/>
          </w:tcPr>
          <w:p w14:paraId="50EE0278">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w:t>
            </w:r>
            <w:r>
              <w:rPr>
                <w:rFonts w:hint="eastAsia" w:ascii="宋体" w:hAnsi="宋体" w:eastAsia="宋体" w:cs="宋体"/>
                <w:color w:val="000000"/>
                <w:sz w:val="24"/>
                <w:szCs w:val="24"/>
                <w:highlight w:val="none"/>
                <w:lang w:val="en-US" w:eastAsia="zh-CN"/>
              </w:rPr>
              <w:t>1</w:t>
            </w:r>
            <w:r>
              <w:rPr>
                <w:rFonts w:hint="eastAsia" w:ascii="宋体" w:hAnsi="宋体" w:eastAsia="宋体" w:cs="宋体"/>
                <w:color w:val="000000"/>
                <w:sz w:val="24"/>
                <w:szCs w:val="24"/>
                <w:highlight w:val="none"/>
              </w:rPr>
              <w:t>%</w:t>
            </w:r>
          </w:p>
        </w:tc>
      </w:tr>
      <w:tr w14:paraId="2BC5C2D7">
        <w:tblPrEx>
          <w:tblBorders>
            <w:top w:val="none" w:color="auto" w:sz="0"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0" w:hRule="atLeast"/>
          <w:jc w:val="center"/>
        </w:trPr>
        <w:tc>
          <w:tcPr>
            <w:tcW w:w="3792" w:type="dxa"/>
            <w:noWrap w:val="0"/>
            <w:vAlign w:val="center"/>
          </w:tcPr>
          <w:p w14:paraId="4FFC764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right="0"/>
              <w:jc w:val="both"/>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50亿以上</w:t>
            </w:r>
          </w:p>
        </w:tc>
        <w:tc>
          <w:tcPr>
            <w:tcW w:w="3247" w:type="dxa"/>
            <w:noWrap w:val="0"/>
            <w:vAlign w:val="center"/>
          </w:tcPr>
          <w:p w14:paraId="55B0C02F">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olor w:val="000000"/>
                <w:sz w:val="24"/>
                <w:szCs w:val="24"/>
                <w:highlight w:val="none"/>
              </w:rPr>
            </w:pPr>
            <w:r>
              <w:rPr>
                <w:rFonts w:hint="eastAsia" w:ascii="宋体" w:hAnsi="宋体" w:eastAsia="宋体" w:cs="宋体"/>
                <w:color w:val="000000"/>
                <w:sz w:val="24"/>
                <w:szCs w:val="24"/>
                <w:highlight w:val="none"/>
              </w:rPr>
              <w:t>0.00</w:t>
            </w:r>
            <w:r>
              <w:rPr>
                <w:rFonts w:hint="eastAsia" w:ascii="宋体" w:hAnsi="宋体" w:eastAsia="宋体" w:cs="宋体"/>
                <w:color w:val="000000"/>
                <w:sz w:val="24"/>
                <w:szCs w:val="24"/>
                <w:highlight w:val="none"/>
                <w:lang w:val="en-US" w:eastAsia="zh-CN"/>
              </w:rPr>
              <w:t>5</w:t>
            </w:r>
            <w:r>
              <w:rPr>
                <w:rFonts w:hint="eastAsia" w:ascii="宋体" w:hAnsi="宋体" w:eastAsia="宋体" w:cs="宋体"/>
                <w:color w:val="000000"/>
                <w:sz w:val="24"/>
                <w:szCs w:val="24"/>
                <w:highlight w:val="none"/>
              </w:rPr>
              <w:t>%</w:t>
            </w:r>
          </w:p>
        </w:tc>
      </w:tr>
    </w:tbl>
    <w:p w14:paraId="5A602C24">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p>
    <w:p w14:paraId="6EE01464">
      <w:pPr>
        <w:pageBreakBefore w:val="0"/>
        <w:kinsoku/>
        <w:wordWrap/>
        <w:overflowPunct/>
        <w:topLinePunct w:val="0"/>
        <w:autoSpaceDE/>
        <w:autoSpaceDN/>
        <w:bidi w:val="0"/>
        <w:adjustRightInd/>
        <w:snapToGrid/>
        <w:spacing w:line="440" w:lineRule="exact"/>
        <w:textAlignment w:val="auto"/>
        <w:rPr>
          <w:rFonts w:hint="eastAsia" w:ascii="仿宋" w:hAnsi="仿宋" w:eastAsia="仿宋" w:cs="仿宋"/>
          <w:sz w:val="24"/>
          <w:szCs w:val="24"/>
        </w:rPr>
      </w:pPr>
      <w:r>
        <w:rPr>
          <w:rFonts w:hint="eastAsia" w:ascii="仿宋" w:hAnsi="仿宋" w:eastAsia="仿宋" w:cs="仿宋"/>
          <w:sz w:val="24"/>
          <w:szCs w:val="24"/>
        </w:rPr>
        <w:t>说明：</w:t>
      </w:r>
    </w:p>
    <w:p w14:paraId="6B879DCB">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1.按上表计算的收费为代理服务全过程的收费金额。</w:t>
      </w:r>
      <w:r>
        <w:rPr>
          <w:rFonts w:hint="eastAsia" w:ascii="仿宋" w:hAnsi="仿宋" w:eastAsia="仿宋" w:cs="仿宋"/>
          <w:sz w:val="24"/>
          <w:szCs w:val="24"/>
          <w:lang w:val="en-US" w:eastAsia="zh-CN"/>
        </w:rPr>
        <w:t>各社会代理机构</w:t>
      </w:r>
      <w:r>
        <w:rPr>
          <w:rFonts w:hint="eastAsia" w:ascii="仿宋" w:hAnsi="仿宋" w:eastAsia="仿宋" w:cs="仿宋"/>
          <w:sz w:val="24"/>
          <w:szCs w:val="24"/>
        </w:rPr>
        <w:t>不</w:t>
      </w:r>
      <w:r>
        <w:rPr>
          <w:rFonts w:hint="eastAsia" w:ascii="仿宋" w:hAnsi="仿宋" w:eastAsia="仿宋" w:cs="仿宋"/>
          <w:sz w:val="24"/>
          <w:szCs w:val="24"/>
          <w:lang w:val="en-US" w:eastAsia="zh-CN"/>
        </w:rPr>
        <w:t>再</w:t>
      </w:r>
      <w:r>
        <w:rPr>
          <w:rFonts w:hint="eastAsia" w:ascii="仿宋" w:hAnsi="仿宋" w:eastAsia="仿宋" w:cs="仿宋"/>
          <w:sz w:val="24"/>
          <w:szCs w:val="24"/>
        </w:rPr>
        <w:t>收取采购文件制作售卖费用。</w:t>
      </w:r>
    </w:p>
    <w:p w14:paraId="2B871CA6">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2.代理服务费按差额定率累进法计算。</w:t>
      </w:r>
    </w:p>
    <w:p w14:paraId="76788492">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lang w:val="en-US" w:eastAsia="zh-CN"/>
        </w:rPr>
      </w:pPr>
      <w:r>
        <w:rPr>
          <w:rFonts w:hint="eastAsia" w:ascii="仿宋" w:hAnsi="仿宋" w:eastAsia="仿宋" w:cs="仿宋"/>
          <w:sz w:val="24"/>
          <w:szCs w:val="24"/>
        </w:rPr>
        <w:t>3.代理服务费基准金额（按差额定率累进法计算的）=中标金额（按差额定率累进法计算的） * 费率（%）</w:t>
      </w:r>
      <w:r>
        <w:rPr>
          <w:rFonts w:hint="eastAsia" w:ascii="仿宋" w:hAnsi="仿宋" w:eastAsia="仿宋" w:cs="仿宋"/>
          <w:sz w:val="24"/>
          <w:szCs w:val="24"/>
          <w:lang w:eastAsia="zh-CN"/>
        </w:rPr>
        <w:t>。</w:t>
      </w:r>
    </w:p>
    <w:p w14:paraId="605D0F64">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rPr>
        <w:t>4.代理服务费应收取金额=代理服务费基准金额（按差额定率累进法计算的）的合计数。</w:t>
      </w:r>
    </w:p>
    <w:p w14:paraId="27EB54E0">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5</w:t>
      </w:r>
      <w:r>
        <w:rPr>
          <w:rFonts w:hint="eastAsia" w:ascii="仿宋" w:hAnsi="仿宋" w:eastAsia="仿宋" w:cs="仿宋"/>
          <w:sz w:val="24"/>
          <w:szCs w:val="24"/>
        </w:rPr>
        <w:t>.</w:t>
      </w:r>
      <w:r>
        <w:rPr>
          <w:rFonts w:hint="eastAsia" w:ascii="仿宋" w:hAnsi="仿宋" w:eastAsia="仿宋" w:cs="仿宋"/>
          <w:sz w:val="24"/>
          <w:szCs w:val="24"/>
          <w:lang w:val="en-US" w:eastAsia="zh-CN"/>
        </w:rPr>
        <w:t>定点类等无金额或事先不能计算出价格总额的项目，按</w:t>
      </w:r>
      <w:r>
        <w:rPr>
          <w:rFonts w:hint="eastAsia" w:ascii="仿宋" w:hAnsi="仿宋" w:eastAsia="仿宋" w:cs="仿宋"/>
          <w:sz w:val="24"/>
          <w:szCs w:val="24"/>
        </w:rPr>
        <w:t>中标（成交）金额</w:t>
      </w:r>
      <w:r>
        <w:rPr>
          <w:rFonts w:hint="eastAsia" w:ascii="仿宋" w:hAnsi="仿宋" w:eastAsia="仿宋" w:cs="仿宋"/>
          <w:sz w:val="24"/>
          <w:szCs w:val="24"/>
          <w:lang w:val="en-US" w:eastAsia="zh-CN"/>
        </w:rPr>
        <w:t>100</w:t>
      </w:r>
      <w:r>
        <w:rPr>
          <w:rFonts w:hint="eastAsia" w:ascii="仿宋" w:hAnsi="仿宋" w:eastAsia="仿宋" w:cs="仿宋"/>
          <w:sz w:val="24"/>
          <w:szCs w:val="24"/>
        </w:rPr>
        <w:t>万元计算。</w:t>
      </w:r>
    </w:p>
    <w:p w14:paraId="3A09612B">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6.有分包（分标段）的按一个项目计算。</w:t>
      </w:r>
    </w:p>
    <w:p w14:paraId="1F42A7E4">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7</w:t>
      </w:r>
      <w:r>
        <w:rPr>
          <w:rFonts w:hint="eastAsia" w:ascii="仿宋" w:hAnsi="仿宋" w:eastAsia="仿宋" w:cs="仿宋"/>
          <w:sz w:val="24"/>
          <w:szCs w:val="24"/>
        </w:rPr>
        <w:t>.以上价格为协会指导价，双方可根据项目难易程度和优质优价原则协商确定。</w:t>
      </w:r>
    </w:p>
    <w:p w14:paraId="70E6B133">
      <w:pPr>
        <w:pageBreakBefore w:val="0"/>
        <w:kinsoku/>
        <w:wordWrap/>
        <w:overflowPunct/>
        <w:topLinePunct w:val="0"/>
        <w:autoSpaceDE/>
        <w:autoSpaceDN/>
        <w:bidi w:val="0"/>
        <w:adjustRightInd/>
        <w:snapToGrid/>
        <w:spacing w:line="440" w:lineRule="exact"/>
        <w:ind w:firstLine="560"/>
        <w:textAlignment w:val="auto"/>
        <w:rPr>
          <w:rFonts w:hint="eastAsia" w:ascii="仿宋" w:hAnsi="仿宋" w:eastAsia="仿宋" w:cs="仿宋"/>
          <w:sz w:val="24"/>
          <w:szCs w:val="24"/>
        </w:rPr>
      </w:pPr>
      <w:r>
        <w:rPr>
          <w:rFonts w:hint="eastAsia" w:ascii="仿宋" w:hAnsi="仿宋" w:eastAsia="仿宋" w:cs="仿宋"/>
          <w:sz w:val="24"/>
          <w:szCs w:val="24"/>
          <w:lang w:val="en-US" w:eastAsia="zh-CN"/>
        </w:rPr>
        <w:t>8</w:t>
      </w:r>
      <w:r>
        <w:rPr>
          <w:rFonts w:hint="eastAsia" w:ascii="仿宋" w:hAnsi="仿宋" w:eastAsia="仿宋" w:cs="仿宋"/>
          <w:sz w:val="24"/>
          <w:szCs w:val="24"/>
        </w:rPr>
        <w:t>.账户信息：</w:t>
      </w:r>
    </w:p>
    <w:p w14:paraId="641E2349">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723" w:firstLineChars="300"/>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账户名称：江苏华铭工程管理咨询有限公司</w:t>
      </w:r>
    </w:p>
    <w:p w14:paraId="788A00AD">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723" w:firstLineChars="300"/>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开户银行：江苏长江商业银行股份有限公司宿迁分行</w:t>
      </w:r>
      <w:r>
        <w:rPr>
          <w:rFonts w:hint="eastAsia" w:ascii="仿宋" w:hAnsi="仿宋" w:eastAsia="仿宋" w:cs="仿宋"/>
          <w:b/>
          <w:sz w:val="24"/>
          <w:szCs w:val="24"/>
          <w:lang w:val="en-US" w:eastAsia="zh-CN"/>
        </w:rPr>
        <w:t xml:space="preserve"> </w:t>
      </w:r>
    </w:p>
    <w:p w14:paraId="451CFDB5">
      <w:pPr>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line="440" w:lineRule="exact"/>
        <w:ind w:firstLine="723" w:firstLineChars="300"/>
        <w:jc w:val="left"/>
        <w:textAlignment w:val="auto"/>
        <w:rPr>
          <w:rFonts w:hint="eastAsia" w:ascii="仿宋" w:hAnsi="仿宋" w:eastAsia="仿宋" w:cs="仿宋"/>
          <w:b/>
          <w:sz w:val="24"/>
          <w:szCs w:val="24"/>
          <w:lang w:eastAsia="zh-CN"/>
        </w:rPr>
      </w:pPr>
      <w:r>
        <w:rPr>
          <w:rFonts w:hint="eastAsia" w:ascii="仿宋" w:hAnsi="仿宋" w:eastAsia="仿宋" w:cs="仿宋"/>
          <w:b/>
          <w:sz w:val="24"/>
          <w:szCs w:val="24"/>
          <w:lang w:eastAsia="zh-CN"/>
        </w:rPr>
        <w:t>银行账号 ：80800240000100548140</w:t>
      </w:r>
    </w:p>
    <w:p w14:paraId="142EE181">
      <w:pPr>
        <w:pStyle w:val="48"/>
        <w:pageBreakBefore w:val="0"/>
        <w:pBdr>
          <w:top w:val="none" w:color="000000" w:sz="0" w:space="0"/>
          <w:left w:val="none" w:color="000000" w:sz="0" w:space="0"/>
          <w:bottom w:val="none" w:color="000000" w:sz="0" w:space="0"/>
          <w:right w:val="none" w:color="000000" w:sz="0" w:space="0"/>
        </w:pBdr>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ascii="宋体" w:hAnsi="宋体" w:eastAsia="宋体"/>
          <w:color w:val="auto"/>
          <w:sz w:val="24"/>
          <w:szCs w:val="24"/>
          <w:highlight w:val="none"/>
        </w:rPr>
      </w:pPr>
    </w:p>
    <w:p w14:paraId="6323F131">
      <w:pPr>
        <w:pageBreakBefore w:val="0"/>
        <w:widowControl/>
        <w:numPr>
          <w:ilvl w:val="0"/>
          <w:numId w:val="0"/>
        </w:numPr>
        <w:kinsoku/>
        <w:wordWrap/>
        <w:overflowPunct/>
        <w:topLinePunct w:val="0"/>
        <w:autoSpaceDE/>
        <w:autoSpaceDN/>
        <w:bidi w:val="0"/>
        <w:adjustRightInd/>
        <w:snapToGrid/>
        <w:spacing w:beforeAutospacing="0" w:afterAutospacing="0" w:line="440" w:lineRule="exact"/>
        <w:ind w:left="0" w:right="0" w:firstLine="420" w:firstLineChars="200"/>
        <w:jc w:val="center"/>
        <w:textAlignment w:val="auto"/>
        <w:rPr>
          <w:rStyle w:val="209"/>
          <w:rFonts w:hint="eastAsia"/>
          <w:color w:val="auto"/>
          <w:highlight w:val="none"/>
        </w:rPr>
      </w:pPr>
      <w:r>
        <w:rPr>
          <w:color w:val="auto"/>
          <w:highlight w:val="none"/>
        </w:rPr>
        <w:br w:type="page" w:clear="all"/>
      </w:r>
      <w:bookmarkStart w:id="6" w:name="_Toc20896"/>
      <w:r>
        <w:rPr>
          <w:rStyle w:val="209"/>
          <w:rFonts w:hint="eastAsia"/>
          <w:color w:val="auto"/>
          <w:highlight w:val="none"/>
          <w:lang w:eastAsia="zh-CN"/>
        </w:rPr>
        <w:t>第四章</w:t>
      </w:r>
      <w:r>
        <w:rPr>
          <w:rStyle w:val="209"/>
          <w:rFonts w:hint="eastAsia"/>
          <w:color w:val="auto"/>
          <w:highlight w:val="none"/>
          <w:lang w:val="en-US" w:eastAsia="zh-CN"/>
        </w:rPr>
        <w:t xml:space="preserve"> </w:t>
      </w:r>
      <w:r>
        <w:rPr>
          <w:rStyle w:val="209"/>
          <w:rFonts w:hint="eastAsia"/>
          <w:color w:val="auto"/>
          <w:highlight w:val="none"/>
        </w:rPr>
        <w:t>评标标准</w:t>
      </w:r>
      <w:bookmarkEnd w:id="6"/>
    </w:p>
    <w:tbl>
      <w:tblPr>
        <w:tblStyle w:val="37"/>
        <w:tblW w:w="5179" w:type="pct"/>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54"/>
        <w:gridCol w:w="1276"/>
        <w:gridCol w:w="6397"/>
      </w:tblGrid>
      <w:tr w14:paraId="2F5C45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0" w:hRule="atLeast"/>
          <w:jc w:val="center"/>
        </w:trPr>
        <w:tc>
          <w:tcPr>
            <w:tcW w:w="653" w:type="pct"/>
            <w:noWrap w:val="0"/>
            <w:vAlign w:val="center"/>
          </w:tcPr>
          <w:p w14:paraId="069D879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评审项</w:t>
            </w:r>
          </w:p>
        </w:tc>
        <w:tc>
          <w:tcPr>
            <w:tcW w:w="722" w:type="pct"/>
            <w:noWrap w:val="0"/>
            <w:vAlign w:val="center"/>
          </w:tcPr>
          <w:p w14:paraId="119771F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bCs/>
                <w:sz w:val="22"/>
                <w:szCs w:val="22"/>
                <w:highlight w:val="white"/>
              </w:rPr>
            </w:pPr>
            <w:r>
              <w:rPr>
                <w:rFonts w:hint="eastAsia" w:ascii="仿宋" w:hAnsi="仿宋" w:eastAsia="仿宋" w:cs="仿宋"/>
                <w:bCs/>
                <w:sz w:val="22"/>
                <w:szCs w:val="22"/>
                <w:highlight w:val="white"/>
              </w:rPr>
              <w:t>分项</w:t>
            </w:r>
          </w:p>
        </w:tc>
        <w:tc>
          <w:tcPr>
            <w:tcW w:w="3623" w:type="pct"/>
            <w:noWrap w:val="0"/>
            <w:vAlign w:val="center"/>
          </w:tcPr>
          <w:p w14:paraId="4FF2D8A4">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评分标准</w:t>
            </w:r>
          </w:p>
        </w:tc>
      </w:tr>
      <w:tr w14:paraId="4052F2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99" w:hRule="atLeast"/>
          <w:jc w:val="center"/>
        </w:trPr>
        <w:tc>
          <w:tcPr>
            <w:tcW w:w="653" w:type="pct"/>
            <w:noWrap w:val="0"/>
            <w:vAlign w:val="center"/>
          </w:tcPr>
          <w:p w14:paraId="14A072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价格</w:t>
            </w:r>
          </w:p>
          <w:p w14:paraId="61FAFFFA">
            <w:pPr>
              <w:keepNext w:val="0"/>
              <w:keepLines w:val="0"/>
              <w:pageBreakBefore w:val="0"/>
              <w:widowControl w:val="0"/>
              <w:kinsoku/>
              <w:wordWrap/>
              <w:overflowPunct/>
              <w:topLinePunct w:val="0"/>
              <w:autoSpaceDE/>
              <w:autoSpaceDN/>
              <w:bidi w:val="0"/>
              <w:adjustRightInd/>
              <w:snapToGrid/>
              <w:spacing w:line="360" w:lineRule="exact"/>
              <w:jc w:val="both"/>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（10分）</w:t>
            </w:r>
          </w:p>
        </w:tc>
        <w:tc>
          <w:tcPr>
            <w:tcW w:w="722" w:type="pct"/>
            <w:noWrap w:val="0"/>
            <w:vAlign w:val="center"/>
          </w:tcPr>
          <w:p w14:paraId="3CCCD489">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highlight w:val="white"/>
                <w:lang w:bidi="ar"/>
              </w:rPr>
              <w:t>价格分</w:t>
            </w:r>
          </w:p>
          <w:p w14:paraId="30D5CF1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（10分）</w:t>
            </w:r>
          </w:p>
        </w:tc>
        <w:tc>
          <w:tcPr>
            <w:tcW w:w="3623" w:type="pct"/>
            <w:noWrap w:val="0"/>
            <w:vAlign w:val="center"/>
          </w:tcPr>
          <w:p w14:paraId="25D28E79">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采用低价优先法计算，即满足招标文件要求且投标人评审价格最低的投标报价为评标基准价，其价格得分为满分；</w:t>
            </w:r>
          </w:p>
          <w:p w14:paraId="29C9C4D5">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各投标人价格得分=评标基准价（投标人的最低评审价格）÷各投标人评审价格×10。</w:t>
            </w:r>
          </w:p>
          <w:p w14:paraId="73A6A0FB">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sz w:val="22"/>
                <w:szCs w:val="22"/>
                <w:highlight w:val="white"/>
              </w:rPr>
            </w:pPr>
            <w:r>
              <w:rPr>
                <w:rFonts w:hint="eastAsia" w:ascii="仿宋" w:hAnsi="仿宋" w:eastAsia="仿宋" w:cs="仿宋"/>
                <w:b/>
                <w:bCs/>
                <w:sz w:val="22"/>
                <w:szCs w:val="22"/>
                <w:highlight w:val="white"/>
              </w:rPr>
              <w:t>注：全部由符合政策要求的小微企业、监狱企业、享受政府采购支持政策的残疾人福利性单位承接的（以投标人提供的《中小企业声明函》、监狱企业证明文件和《残疾人福利性单位声明函》等相关材料为准），给予10%的价格扣除，用扣除后的价格参加评审。该投标人的评审价格=《开标一览表》中的“总价”*（100%-10%）</w:t>
            </w:r>
          </w:p>
        </w:tc>
      </w:tr>
      <w:tr w14:paraId="473EE00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24" w:hRule="atLeast"/>
          <w:jc w:val="center"/>
        </w:trPr>
        <w:tc>
          <w:tcPr>
            <w:tcW w:w="653" w:type="pct"/>
            <w:vMerge w:val="restart"/>
            <w:noWrap w:val="0"/>
            <w:vAlign w:val="center"/>
          </w:tcPr>
          <w:p w14:paraId="39715E0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highlight w:val="white"/>
              </w:rPr>
            </w:pPr>
            <w:bookmarkStart w:id="7" w:name="OLE_LINK10" w:colFirst="1" w:colLast="65"/>
            <w:bookmarkStart w:id="8" w:name="_Hlk191997134"/>
            <w:bookmarkStart w:id="9" w:name="OLE_LINK9" w:colFirst="1" w:colLast="65"/>
            <w:r>
              <w:rPr>
                <w:rFonts w:hint="eastAsia" w:ascii="仿宋" w:hAnsi="仿宋" w:eastAsia="仿宋" w:cs="仿宋"/>
                <w:sz w:val="22"/>
                <w:szCs w:val="22"/>
                <w:highlight w:val="white"/>
              </w:rPr>
              <w:t>商务部分（10分）</w:t>
            </w:r>
          </w:p>
        </w:tc>
        <w:tc>
          <w:tcPr>
            <w:tcW w:w="722" w:type="pct"/>
            <w:noWrap w:val="0"/>
            <w:vAlign w:val="center"/>
          </w:tcPr>
          <w:p w14:paraId="6415792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投标人</w:t>
            </w:r>
          </w:p>
          <w:p w14:paraId="375FB6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业绩</w:t>
            </w:r>
          </w:p>
          <w:p w14:paraId="199BD5C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（4分）</w:t>
            </w:r>
          </w:p>
        </w:tc>
        <w:tc>
          <w:tcPr>
            <w:tcW w:w="3623" w:type="pct"/>
            <w:noWrap w:val="0"/>
            <w:vAlign w:val="center"/>
          </w:tcPr>
          <w:p w14:paraId="1A02314C">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lang w:bidi="ar"/>
              </w:rPr>
              <w:t>投标文件中提供</w:t>
            </w:r>
            <w:r>
              <w:rPr>
                <w:rFonts w:hint="eastAsia" w:ascii="仿宋" w:hAnsi="仿宋" w:eastAsia="仿宋" w:cs="仿宋"/>
                <w:color w:val="000000"/>
                <w:sz w:val="22"/>
                <w:szCs w:val="22"/>
                <w:highlight w:val="white"/>
                <w:lang w:bidi="ar"/>
              </w:rPr>
              <w:t>投标人自</w:t>
            </w:r>
            <w:r>
              <w:rPr>
                <w:rFonts w:hint="eastAsia" w:ascii="仿宋" w:hAnsi="仿宋" w:eastAsia="仿宋" w:cs="仿宋"/>
                <w:b/>
                <w:bCs/>
                <w:color w:val="000000"/>
                <w:sz w:val="22"/>
                <w:szCs w:val="22"/>
                <w:highlight w:val="white"/>
                <w:lang w:bidi="ar"/>
              </w:rPr>
              <w:t>2022年1月1日</w:t>
            </w:r>
            <w:r>
              <w:rPr>
                <w:rFonts w:hint="eastAsia" w:ascii="仿宋" w:hAnsi="仿宋" w:eastAsia="仿宋" w:cs="仿宋"/>
                <w:color w:val="000000"/>
                <w:sz w:val="22"/>
                <w:szCs w:val="22"/>
                <w:highlight w:val="white"/>
                <w:lang w:bidi="ar"/>
              </w:rPr>
              <w:t>以来承担过</w:t>
            </w:r>
            <w:r>
              <w:rPr>
                <w:rFonts w:hint="eastAsia" w:ascii="仿宋" w:hAnsi="仿宋" w:eastAsia="仿宋" w:cs="仿宋"/>
                <w:color w:val="000000"/>
                <w:sz w:val="22"/>
                <w:szCs w:val="22"/>
                <w:lang w:bidi="ar"/>
              </w:rPr>
              <w:t>耕地保护专项规划相关</w:t>
            </w:r>
            <w:r>
              <w:rPr>
                <w:rFonts w:hint="eastAsia" w:ascii="仿宋" w:hAnsi="仿宋" w:eastAsia="仿宋" w:cs="仿宋"/>
                <w:color w:val="000000"/>
                <w:sz w:val="22"/>
                <w:szCs w:val="22"/>
                <w:highlight w:val="white"/>
                <w:lang w:bidi="ar"/>
              </w:rPr>
              <w:t>项目的，每有一个得2分，本项最高得4分。</w:t>
            </w:r>
          </w:p>
          <w:p w14:paraId="304C2A2A">
            <w:pPr>
              <w:pStyle w:val="261"/>
              <w:ind w:firstLine="0"/>
              <w:rPr>
                <w:rFonts w:hint="eastAsia" w:ascii="仿宋" w:hAnsi="仿宋" w:eastAsia="仿宋"/>
                <w:sz w:val="24"/>
              </w:rPr>
            </w:pPr>
            <w:r>
              <w:rPr>
                <w:rFonts w:hint="eastAsia" w:ascii="仿宋" w:hAnsi="仿宋" w:eastAsia="仿宋" w:cs="仿宋"/>
                <w:b/>
                <w:sz w:val="24"/>
                <w:lang w:val="en-US" w:eastAsia="zh-CN"/>
              </w:rPr>
              <w:t>注：</w:t>
            </w:r>
            <w:r>
              <w:rPr>
                <w:rFonts w:hint="eastAsia" w:ascii="仿宋" w:hAnsi="仿宋" w:eastAsia="仿宋" w:cs="仿宋"/>
                <w:b/>
                <w:sz w:val="24"/>
              </w:rPr>
              <w:t>如投标人为联合体，则以总数计算。</w:t>
            </w:r>
          </w:p>
          <w:p w14:paraId="7B5F9FF3">
            <w:pPr>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sz w:val="22"/>
                <w:szCs w:val="22"/>
                <w:highlight w:val="white"/>
              </w:rPr>
            </w:pPr>
            <w:r>
              <w:rPr>
                <w:rFonts w:hint="eastAsia" w:ascii="仿宋" w:hAnsi="仿宋" w:eastAsia="仿宋" w:cs="仿宋"/>
                <w:b/>
                <w:bCs/>
                <w:color w:val="000000"/>
                <w:sz w:val="22"/>
                <w:szCs w:val="22"/>
                <w:highlight w:val="white"/>
                <w:lang w:bidi="ar"/>
              </w:rPr>
              <w:t>投标文件中需提供合同原件扫描件加盖投标人公章方为有效。</w:t>
            </w:r>
          </w:p>
        </w:tc>
      </w:tr>
      <w:tr w14:paraId="7B4FA2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0" w:hRule="atLeast"/>
          <w:jc w:val="center"/>
        </w:trPr>
        <w:tc>
          <w:tcPr>
            <w:tcW w:w="653" w:type="pct"/>
            <w:vMerge w:val="continue"/>
            <w:noWrap w:val="0"/>
            <w:vAlign w:val="center"/>
          </w:tcPr>
          <w:p w14:paraId="7FAF936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rPr>
            </w:pPr>
          </w:p>
        </w:tc>
        <w:tc>
          <w:tcPr>
            <w:tcW w:w="722" w:type="pct"/>
            <w:noWrap w:val="0"/>
            <w:vAlign w:val="center"/>
          </w:tcPr>
          <w:p w14:paraId="67E634A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投标人</w:t>
            </w:r>
          </w:p>
          <w:p w14:paraId="376B33C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资信</w:t>
            </w:r>
          </w:p>
          <w:p w14:paraId="24F4C847">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（6分）</w:t>
            </w:r>
          </w:p>
        </w:tc>
        <w:tc>
          <w:tcPr>
            <w:tcW w:w="3623" w:type="pct"/>
            <w:noWrap w:val="0"/>
            <w:vAlign w:val="center"/>
          </w:tcPr>
          <w:p w14:paraId="79CD1FF2">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lang w:bidi="ar"/>
              </w:rPr>
              <w:t>1、投标文件中提供</w:t>
            </w:r>
            <w:r>
              <w:rPr>
                <w:rFonts w:hint="eastAsia" w:ascii="仿宋" w:hAnsi="仿宋" w:eastAsia="仿宋" w:cs="仿宋"/>
                <w:color w:val="000000"/>
                <w:sz w:val="22"/>
                <w:szCs w:val="22"/>
                <w:highlight w:val="white"/>
                <w:lang w:bidi="ar"/>
              </w:rPr>
              <w:t>投标人具有质量管理体系认证证书；测量管理体系认证证书；信息安全管理体系认证证书；信息技术服务管理体系认证证书的，每有1个得1分，最高得4分。</w:t>
            </w:r>
          </w:p>
          <w:p w14:paraId="6335AD12">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highlight w:val="white"/>
                <w:lang w:bidi="ar"/>
              </w:rPr>
              <w:t>2、</w:t>
            </w:r>
            <w:r>
              <w:rPr>
                <w:rFonts w:hint="eastAsia" w:ascii="仿宋" w:hAnsi="仿宋" w:eastAsia="仿宋" w:cs="仿宋"/>
                <w:color w:val="000000"/>
                <w:sz w:val="22"/>
                <w:szCs w:val="22"/>
                <w:lang w:bidi="ar"/>
              </w:rPr>
              <w:t>投标文件中提供</w:t>
            </w:r>
            <w:r>
              <w:rPr>
                <w:rFonts w:hint="eastAsia" w:ascii="仿宋" w:hAnsi="仿宋" w:eastAsia="仿宋" w:cs="仿宋"/>
                <w:color w:val="000000"/>
                <w:sz w:val="22"/>
                <w:szCs w:val="22"/>
                <w:highlight w:val="white"/>
                <w:lang w:bidi="ar"/>
              </w:rPr>
              <w:t>投标人具有土地规划甲级证书或城乡规划甲级资质证书的，得2分，本项最高得2分。</w:t>
            </w:r>
          </w:p>
          <w:p w14:paraId="13078804">
            <w:pPr>
              <w:pStyle w:val="261"/>
              <w:ind w:firstLine="0"/>
              <w:rPr>
                <w:rFonts w:hint="eastAsia" w:ascii="仿宋" w:hAnsi="仿宋" w:eastAsia="仿宋"/>
                <w:sz w:val="24"/>
              </w:rPr>
            </w:pPr>
            <w:r>
              <w:rPr>
                <w:rFonts w:hint="eastAsia" w:ascii="仿宋" w:hAnsi="仿宋" w:eastAsia="仿宋" w:cs="仿宋"/>
                <w:b/>
                <w:bCs/>
                <w:color w:val="000000"/>
                <w:sz w:val="22"/>
                <w:szCs w:val="22"/>
                <w:highlight w:val="white"/>
                <w:lang w:val="en-US" w:eastAsia="zh-CN" w:bidi="ar"/>
              </w:rPr>
              <w:t>注：</w:t>
            </w:r>
            <w:r>
              <w:rPr>
                <w:rFonts w:hint="eastAsia" w:ascii="仿宋" w:hAnsi="仿宋" w:eastAsia="仿宋" w:cs="仿宋"/>
                <w:b/>
                <w:sz w:val="24"/>
              </w:rPr>
              <w:t>如投标人为联合体，则以总数计算。</w:t>
            </w:r>
          </w:p>
          <w:p w14:paraId="4BA8E4F8">
            <w:pPr>
              <w:pStyle w:val="16"/>
              <w:keepNext w:val="0"/>
              <w:keepLines w:val="0"/>
              <w:pageBreakBefore w:val="0"/>
              <w:widowControl w:val="0"/>
              <w:kinsoku/>
              <w:wordWrap/>
              <w:overflowPunct/>
              <w:topLinePunct w:val="0"/>
              <w:autoSpaceDE/>
              <w:autoSpaceDN/>
              <w:bidi w:val="0"/>
              <w:adjustRightInd/>
              <w:snapToGrid/>
              <w:spacing w:after="0" w:line="360" w:lineRule="exact"/>
              <w:ind w:firstLine="221" w:firstLineChars="100"/>
              <w:textAlignment w:val="auto"/>
              <w:rPr>
                <w:rFonts w:hint="eastAsia" w:ascii="仿宋" w:hAnsi="仿宋" w:eastAsia="仿宋" w:cs="仿宋"/>
                <w:b/>
                <w:bCs/>
                <w:color w:val="000000"/>
                <w:sz w:val="22"/>
                <w:szCs w:val="22"/>
                <w:highlight w:val="white"/>
                <w:lang w:bidi="ar"/>
              </w:rPr>
            </w:pPr>
            <w:r>
              <w:rPr>
                <w:rFonts w:hint="eastAsia" w:ascii="仿宋" w:hAnsi="仿宋" w:eastAsia="仿宋" w:cs="仿宋"/>
                <w:b/>
                <w:bCs/>
                <w:color w:val="000000"/>
                <w:sz w:val="22"/>
                <w:szCs w:val="22"/>
                <w:highlight w:val="white"/>
                <w:lang w:val="en-US" w:eastAsia="zh-CN" w:bidi="ar"/>
              </w:rPr>
              <w:t>投标文件中需提供原件扫描件加盖投标人公章方为有效。管理体系认证证书需提供全国认证认可信息公共服务平台（</w:t>
            </w:r>
            <w:r>
              <w:rPr>
                <w:rFonts w:hint="eastAsia" w:ascii="仿宋" w:hAnsi="仿宋" w:eastAsia="仿宋" w:cs="仿宋"/>
                <w:b/>
                <w:bCs/>
                <w:color w:val="000000"/>
                <w:sz w:val="22"/>
                <w:szCs w:val="22"/>
                <w:highlight w:val="white"/>
                <w:lang w:val="en-US" w:eastAsia="zh-CN" w:bidi="ar"/>
              </w:rPr>
              <w:fldChar w:fldCharType="begin"/>
            </w:r>
            <w:r>
              <w:rPr>
                <w:rFonts w:hint="eastAsia" w:ascii="仿宋" w:hAnsi="仿宋" w:eastAsia="仿宋" w:cs="仿宋"/>
                <w:b/>
                <w:bCs/>
                <w:color w:val="000000"/>
                <w:sz w:val="22"/>
                <w:szCs w:val="22"/>
                <w:highlight w:val="white"/>
                <w:lang w:val="en-US" w:eastAsia="zh-CN" w:bidi="ar"/>
              </w:rPr>
              <w:instrText xml:space="preserve"> HYPERLINK "http://cx.cnca.cn/" </w:instrText>
            </w:r>
            <w:r>
              <w:rPr>
                <w:rFonts w:hint="eastAsia" w:ascii="仿宋" w:hAnsi="仿宋" w:eastAsia="仿宋" w:cs="仿宋"/>
                <w:b/>
                <w:bCs/>
                <w:color w:val="000000"/>
                <w:sz w:val="22"/>
                <w:szCs w:val="22"/>
                <w:highlight w:val="white"/>
                <w:lang w:val="en-US" w:eastAsia="zh-CN" w:bidi="ar"/>
              </w:rPr>
              <w:fldChar w:fldCharType="separate"/>
            </w:r>
            <w:r>
              <w:rPr>
                <w:rFonts w:hint="eastAsia" w:ascii="仿宋" w:hAnsi="仿宋" w:eastAsia="仿宋" w:cs="仿宋"/>
                <w:b/>
                <w:bCs/>
                <w:color w:val="000000"/>
                <w:sz w:val="22"/>
                <w:szCs w:val="22"/>
                <w:highlight w:val="white"/>
                <w:lang w:val="en-US" w:eastAsia="zh-CN" w:bidi="ar"/>
              </w:rPr>
              <w:t>http://cx.cnca.cn/</w:t>
            </w:r>
            <w:r>
              <w:rPr>
                <w:rFonts w:hint="eastAsia" w:ascii="仿宋" w:hAnsi="仿宋" w:eastAsia="仿宋" w:cs="仿宋"/>
                <w:b/>
                <w:bCs/>
                <w:color w:val="000000"/>
                <w:sz w:val="22"/>
                <w:szCs w:val="22"/>
                <w:highlight w:val="white"/>
                <w:lang w:val="en-US" w:eastAsia="zh-CN" w:bidi="ar"/>
              </w:rPr>
              <w:fldChar w:fldCharType="end"/>
            </w:r>
            <w:r>
              <w:rPr>
                <w:rFonts w:hint="eastAsia" w:ascii="仿宋" w:hAnsi="仿宋" w:eastAsia="仿宋" w:cs="仿宋"/>
                <w:b/>
                <w:bCs/>
                <w:color w:val="000000"/>
                <w:sz w:val="22"/>
                <w:szCs w:val="22"/>
                <w:highlight w:val="white"/>
                <w:lang w:val="en-US" w:eastAsia="zh-CN" w:bidi="ar"/>
              </w:rPr>
              <w:t>）查询截图。</w:t>
            </w:r>
          </w:p>
        </w:tc>
      </w:tr>
      <w:bookmarkEnd w:id="7"/>
      <w:bookmarkEnd w:id="8"/>
      <w:bookmarkEnd w:id="9"/>
      <w:tr w14:paraId="24FA645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80" w:hRule="atLeast"/>
          <w:jc w:val="center"/>
        </w:trPr>
        <w:tc>
          <w:tcPr>
            <w:tcW w:w="653" w:type="pct"/>
            <w:vMerge w:val="restart"/>
            <w:noWrap w:val="0"/>
            <w:vAlign w:val="center"/>
          </w:tcPr>
          <w:p w14:paraId="3DEB9568">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highlight w:val="white"/>
              </w:rPr>
            </w:pPr>
            <w:bookmarkStart w:id="10" w:name="OLE_LINK11" w:colFirst="1" w:colLast="65"/>
            <w:bookmarkStart w:id="11" w:name="_Hlk191997225"/>
            <w:r>
              <w:rPr>
                <w:rFonts w:hint="eastAsia" w:ascii="仿宋" w:hAnsi="仿宋" w:eastAsia="仿宋" w:cs="仿宋"/>
                <w:sz w:val="22"/>
                <w:szCs w:val="22"/>
                <w:highlight w:val="white"/>
              </w:rPr>
              <w:t>技术部分（80分）</w:t>
            </w:r>
          </w:p>
        </w:tc>
        <w:tc>
          <w:tcPr>
            <w:tcW w:w="722" w:type="pct"/>
            <w:noWrap w:val="0"/>
            <w:vAlign w:val="center"/>
          </w:tcPr>
          <w:p w14:paraId="623E082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highlight w:val="white"/>
                <w:lang w:bidi="ar"/>
              </w:rPr>
              <w:t>整体理解</w:t>
            </w:r>
          </w:p>
          <w:p w14:paraId="09A1AB4B">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（10分）</w:t>
            </w:r>
          </w:p>
        </w:tc>
        <w:tc>
          <w:tcPr>
            <w:tcW w:w="3623" w:type="pct"/>
            <w:noWrap w:val="0"/>
            <w:vAlign w:val="center"/>
          </w:tcPr>
          <w:p w14:paraId="2249481D">
            <w:pPr>
              <w:pStyle w:val="266"/>
              <w:keepNext w:val="0"/>
              <w:keepLines w:val="0"/>
              <w:pageBreakBefore w:val="0"/>
              <w:widowControl w:val="0"/>
              <w:kinsoku/>
              <w:wordWrap/>
              <w:overflowPunct/>
              <w:topLinePunct w:val="0"/>
              <w:autoSpaceDE/>
              <w:autoSpaceDN/>
              <w:bidi w:val="0"/>
              <w:adjustRightInd/>
              <w:snapToGrid/>
              <w:spacing w:line="360" w:lineRule="exact"/>
              <w:ind w:firstLine="221" w:firstLineChars="100"/>
              <w:textAlignment w:val="auto"/>
              <w:rPr>
                <w:rFonts w:hint="eastAsia" w:ascii="仿宋" w:hAnsi="仿宋" w:eastAsia="仿宋" w:cs="仿宋"/>
                <w:b/>
                <w:bCs/>
                <w:color w:val="000000"/>
                <w:sz w:val="22"/>
                <w:szCs w:val="22"/>
                <w:highlight w:val="white"/>
              </w:rPr>
            </w:pPr>
            <w:r>
              <w:rPr>
                <w:rFonts w:hint="eastAsia" w:ascii="仿宋" w:hAnsi="仿宋" w:eastAsia="仿宋" w:cs="仿宋"/>
                <w:b/>
                <w:bCs/>
                <w:sz w:val="22"/>
                <w:szCs w:val="22"/>
                <w:highlight w:val="white"/>
              </w:rPr>
              <w:t>根据自身经验对项目内容及要求的理解情况，对项目需求进行优化设计，方案完整、经济、安全、切实可行进行评价</w:t>
            </w:r>
            <w:r>
              <w:rPr>
                <w:rFonts w:hint="eastAsia" w:ascii="仿宋" w:hAnsi="仿宋" w:eastAsia="仿宋" w:cs="仿宋"/>
                <w:b/>
                <w:bCs/>
                <w:color w:val="000000"/>
                <w:sz w:val="22"/>
                <w:szCs w:val="22"/>
                <w:highlight w:val="white"/>
                <w:lang w:bidi="ar"/>
              </w:rPr>
              <w:t>。</w:t>
            </w:r>
          </w:p>
          <w:p w14:paraId="0FFDD012">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内容详细具体、科学合理、针对性强、内容完整、全面符合要求的得10分；</w:t>
            </w:r>
          </w:p>
          <w:p w14:paraId="3AABA518">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内容较为详细、科学合理、针对性较强、内容完整、全面符合要求的得7分；</w:t>
            </w:r>
          </w:p>
          <w:p w14:paraId="02F8F8FC">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内容基本完整、较为合理、有针对性、符合要求的得5分；</w:t>
            </w:r>
          </w:p>
          <w:p w14:paraId="666F5FE7">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内容一般、较为合理、有针对性、基本符合要求的得3分；</w:t>
            </w:r>
          </w:p>
          <w:p w14:paraId="2056EC2C">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内容较差、无针对性、不符合要求得2分；</w:t>
            </w:r>
          </w:p>
          <w:p w14:paraId="7E0D6984">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内容不详细、方案不合理、不符合实际需求的得1分；</w:t>
            </w:r>
          </w:p>
          <w:p w14:paraId="359A2AE0">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无具体内容的，得0分。</w:t>
            </w:r>
          </w:p>
        </w:tc>
      </w:tr>
      <w:tr w14:paraId="5B2C2FD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81" w:hRule="atLeast"/>
          <w:jc w:val="center"/>
        </w:trPr>
        <w:tc>
          <w:tcPr>
            <w:tcW w:w="653" w:type="pct"/>
            <w:vMerge w:val="continue"/>
            <w:noWrap w:val="0"/>
            <w:vAlign w:val="center"/>
          </w:tcPr>
          <w:p w14:paraId="23F2E66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rPr>
            </w:pPr>
          </w:p>
        </w:tc>
        <w:tc>
          <w:tcPr>
            <w:tcW w:w="722" w:type="pct"/>
            <w:noWrap w:val="0"/>
            <w:vAlign w:val="center"/>
          </w:tcPr>
          <w:p w14:paraId="2AF2EA9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highlight w:val="white"/>
                <w:lang w:bidi="ar"/>
              </w:rPr>
              <w:t>技术方案</w:t>
            </w:r>
          </w:p>
          <w:p w14:paraId="36323C76">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（24分）</w:t>
            </w:r>
          </w:p>
        </w:tc>
        <w:tc>
          <w:tcPr>
            <w:tcW w:w="3623" w:type="pct"/>
            <w:noWrap w:val="0"/>
            <w:vAlign w:val="center"/>
          </w:tcPr>
          <w:p w14:paraId="2FFAE785">
            <w:pPr>
              <w:pStyle w:val="266"/>
              <w:keepNext w:val="0"/>
              <w:keepLines w:val="0"/>
              <w:pageBreakBefore w:val="0"/>
              <w:widowControl w:val="0"/>
              <w:kinsoku/>
              <w:wordWrap/>
              <w:overflowPunct/>
              <w:topLinePunct w:val="0"/>
              <w:autoSpaceDE/>
              <w:autoSpaceDN/>
              <w:bidi w:val="0"/>
              <w:adjustRightInd/>
              <w:snapToGrid/>
              <w:spacing w:line="360" w:lineRule="exact"/>
              <w:ind w:firstLine="221" w:firstLineChars="100"/>
              <w:jc w:val="left"/>
              <w:textAlignment w:val="auto"/>
              <w:rPr>
                <w:rFonts w:hint="eastAsia" w:ascii="仿宋" w:hAnsi="仿宋" w:eastAsia="仿宋" w:cs="仿宋"/>
                <w:b/>
                <w:bCs/>
                <w:sz w:val="22"/>
                <w:szCs w:val="22"/>
                <w:highlight w:val="white"/>
              </w:rPr>
            </w:pPr>
            <w:r>
              <w:rPr>
                <w:rFonts w:hint="eastAsia" w:ascii="仿宋" w:hAnsi="仿宋" w:eastAsia="仿宋" w:cs="仿宋"/>
                <w:b/>
                <w:bCs/>
                <w:sz w:val="22"/>
                <w:szCs w:val="22"/>
                <w:highlight w:val="white"/>
              </w:rPr>
              <w:t>根据投标人提供的技术方案进行评价，需包括以下几个方面：①全面厘清耕地资源基础；②扎实摸排耕地恢复潜力；③综合确定主要规划目标；④合理优化耕地空间布局；⑤积极谋划重大工程项目；⑥明确规划时序安排。</w:t>
            </w:r>
          </w:p>
          <w:p w14:paraId="3FCA22A3">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每有一项内容进行了详细阐述且完全满足项目需求的，得4分；</w:t>
            </w:r>
          </w:p>
          <w:p w14:paraId="0C0E4827">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每有一项内容进行了详细阐述基本满足项目需求的，得3分；</w:t>
            </w:r>
          </w:p>
          <w:p w14:paraId="5773B3FA">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每有一项内容虽然进行了阐述但并未完全贴合项目需求理解情况，或理解的内容未包括细节或措施，得2分；</w:t>
            </w:r>
          </w:p>
          <w:p w14:paraId="76022B5A">
            <w:pPr>
              <w:pStyle w:val="266"/>
              <w:keepNext w:val="0"/>
              <w:keepLines w:val="0"/>
              <w:pageBreakBefore w:val="0"/>
              <w:widowControl w:val="0"/>
              <w:tabs>
                <w:tab w:val="left" w:pos="6100"/>
              </w:tabs>
              <w:kinsoku/>
              <w:wordWrap/>
              <w:overflowPunct/>
              <w:topLinePunct w:val="0"/>
              <w:autoSpaceDE/>
              <w:autoSpaceDN/>
              <w:bidi w:val="0"/>
              <w:adjustRightInd/>
              <w:snapToGrid/>
              <w:spacing w:line="360" w:lineRule="exact"/>
              <w:jc w:val="lef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每有一项内容未进行阐述或阐述内容无法满足项目需求，得</w:t>
            </w:r>
            <w:r>
              <w:rPr>
                <w:rFonts w:hint="eastAsia" w:ascii="仿宋" w:hAnsi="仿宋" w:eastAsia="仿宋" w:cs="仿宋"/>
                <w:sz w:val="22"/>
                <w:szCs w:val="22"/>
                <w:highlight w:val="white"/>
                <w:lang w:val="en-US" w:eastAsia="zh-CN"/>
              </w:rPr>
              <w:t>1</w:t>
            </w:r>
            <w:r>
              <w:rPr>
                <w:rFonts w:hint="eastAsia" w:ascii="仿宋" w:hAnsi="仿宋" w:eastAsia="仿宋" w:cs="仿宋"/>
                <w:sz w:val="22"/>
                <w:szCs w:val="22"/>
                <w:highlight w:val="white"/>
              </w:rPr>
              <w:t>分。</w:t>
            </w:r>
          </w:p>
          <w:p w14:paraId="2BD31E4F">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无具体内容的或未提供的得0分。</w:t>
            </w:r>
          </w:p>
          <w:p w14:paraId="6CBE79A0">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sz w:val="22"/>
                <w:szCs w:val="22"/>
                <w:highlight w:val="white"/>
              </w:rPr>
            </w:pPr>
            <w:r>
              <w:rPr>
                <w:rFonts w:hint="eastAsia" w:ascii="仿宋" w:hAnsi="仿宋" w:eastAsia="仿宋" w:cs="仿宋"/>
                <w:sz w:val="22"/>
                <w:szCs w:val="22"/>
                <w:highlight w:val="white"/>
              </w:rPr>
              <w:t>最高得24分，最低得0分。</w:t>
            </w:r>
          </w:p>
        </w:tc>
      </w:tr>
      <w:tr w14:paraId="1F7177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04" w:hRule="atLeast"/>
          <w:jc w:val="center"/>
        </w:trPr>
        <w:tc>
          <w:tcPr>
            <w:tcW w:w="653" w:type="pct"/>
            <w:vMerge w:val="continue"/>
            <w:noWrap w:val="0"/>
            <w:vAlign w:val="center"/>
          </w:tcPr>
          <w:p w14:paraId="3D35920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rPr>
            </w:pPr>
          </w:p>
        </w:tc>
        <w:tc>
          <w:tcPr>
            <w:tcW w:w="722" w:type="pct"/>
            <w:noWrap w:val="0"/>
            <w:vAlign w:val="center"/>
          </w:tcPr>
          <w:p w14:paraId="28E59087">
            <w:pPr>
              <w:pStyle w:val="26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项目实施方案</w:t>
            </w:r>
          </w:p>
          <w:p w14:paraId="47489704">
            <w:pPr>
              <w:pStyle w:val="26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（8分）</w:t>
            </w:r>
          </w:p>
        </w:tc>
        <w:tc>
          <w:tcPr>
            <w:tcW w:w="3623" w:type="pct"/>
            <w:noWrap w:val="0"/>
            <w:vAlign w:val="center"/>
          </w:tcPr>
          <w:p w14:paraId="5D18E842">
            <w:pPr>
              <w:pStyle w:val="266"/>
              <w:keepNext w:val="0"/>
              <w:keepLines w:val="0"/>
              <w:pageBreakBefore w:val="0"/>
              <w:widowControl w:val="0"/>
              <w:kinsoku/>
              <w:wordWrap/>
              <w:overflowPunct/>
              <w:topLinePunct w:val="0"/>
              <w:autoSpaceDE/>
              <w:autoSpaceDN/>
              <w:bidi w:val="0"/>
              <w:adjustRightInd/>
              <w:snapToGrid/>
              <w:spacing w:line="360" w:lineRule="exact"/>
              <w:ind w:firstLine="221" w:firstLineChars="100"/>
              <w:jc w:val="left"/>
              <w:textAlignment w:val="auto"/>
              <w:rPr>
                <w:rFonts w:hint="eastAsia" w:ascii="仿宋" w:hAnsi="仿宋" w:eastAsia="仿宋" w:cs="仿宋"/>
                <w:b/>
                <w:bCs/>
                <w:color w:val="000000"/>
                <w:sz w:val="22"/>
                <w:szCs w:val="22"/>
                <w:highlight w:val="white"/>
              </w:rPr>
            </w:pPr>
            <w:r>
              <w:rPr>
                <w:rFonts w:hint="eastAsia" w:ascii="仿宋" w:hAnsi="仿宋" w:eastAsia="仿宋" w:cs="仿宋"/>
                <w:b/>
                <w:bCs/>
                <w:color w:val="000000"/>
                <w:sz w:val="22"/>
                <w:szCs w:val="22"/>
                <w:highlight w:val="white"/>
                <w:lang w:bidi="ar"/>
              </w:rPr>
              <w:t>根据投标文件的相关内容对单位组织机构设置是否全备、各项制度是否健全、责任分工是否明确、对项目工期进度安排合理性、工序管理措施科学性等情况进行对比打分。</w:t>
            </w:r>
          </w:p>
          <w:p w14:paraId="1AA6CC78">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内容详细具体、科学合理、针对性强、内容完整、全面符合要求的得8分；</w:t>
            </w:r>
          </w:p>
          <w:p w14:paraId="0B2C40E8">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内容较为详细、科学合理、针对性较强、内容完整、全面符合要求的得6分；</w:t>
            </w:r>
          </w:p>
          <w:p w14:paraId="4E2A9629">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内容基本完整、较为合理、有针对性、符合要求的得4分；</w:t>
            </w:r>
          </w:p>
          <w:p w14:paraId="6F0C7BB0">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内容一般、较为合理、有针对性、基本符合要求的得3分；</w:t>
            </w:r>
          </w:p>
          <w:p w14:paraId="7BF37573">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内容较差、无针对性、不符合要求得2分；</w:t>
            </w:r>
          </w:p>
          <w:p w14:paraId="204CE8E3">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内容不详细、方案不合理、不符合实际需求的得1分；</w:t>
            </w:r>
          </w:p>
          <w:p w14:paraId="6CAAE7B4">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无具体内容的，得0分。</w:t>
            </w:r>
          </w:p>
        </w:tc>
      </w:tr>
      <w:tr w14:paraId="5AF00E2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85" w:hRule="atLeast"/>
          <w:jc w:val="center"/>
        </w:trPr>
        <w:tc>
          <w:tcPr>
            <w:tcW w:w="653" w:type="pct"/>
            <w:vMerge w:val="continue"/>
            <w:noWrap w:val="0"/>
            <w:vAlign w:val="center"/>
          </w:tcPr>
          <w:p w14:paraId="1E02368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rPr>
            </w:pPr>
          </w:p>
        </w:tc>
        <w:tc>
          <w:tcPr>
            <w:tcW w:w="722" w:type="pct"/>
            <w:noWrap w:val="0"/>
            <w:vAlign w:val="center"/>
          </w:tcPr>
          <w:p w14:paraId="1924B280">
            <w:pPr>
              <w:pStyle w:val="26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质量保密措施</w:t>
            </w:r>
          </w:p>
          <w:p w14:paraId="394F513A">
            <w:pPr>
              <w:pStyle w:val="266"/>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（6分）</w:t>
            </w:r>
          </w:p>
        </w:tc>
        <w:tc>
          <w:tcPr>
            <w:tcW w:w="3623" w:type="pct"/>
            <w:noWrap w:val="0"/>
            <w:vAlign w:val="center"/>
          </w:tcPr>
          <w:p w14:paraId="2409D4A1">
            <w:pPr>
              <w:pStyle w:val="266"/>
              <w:keepNext w:val="0"/>
              <w:keepLines w:val="0"/>
              <w:pageBreakBefore w:val="0"/>
              <w:widowControl w:val="0"/>
              <w:kinsoku/>
              <w:wordWrap/>
              <w:overflowPunct/>
              <w:topLinePunct w:val="0"/>
              <w:autoSpaceDE/>
              <w:autoSpaceDN/>
              <w:bidi w:val="0"/>
              <w:adjustRightInd/>
              <w:snapToGrid/>
              <w:spacing w:line="360" w:lineRule="exact"/>
              <w:ind w:firstLine="221" w:firstLineChars="100"/>
              <w:jc w:val="left"/>
              <w:textAlignment w:val="auto"/>
              <w:rPr>
                <w:rFonts w:hint="eastAsia" w:ascii="仿宋" w:hAnsi="仿宋" w:eastAsia="仿宋" w:cs="仿宋"/>
                <w:b/>
                <w:bCs/>
                <w:color w:val="000000"/>
                <w:sz w:val="22"/>
                <w:szCs w:val="22"/>
                <w:highlight w:val="white"/>
              </w:rPr>
            </w:pPr>
            <w:r>
              <w:rPr>
                <w:rFonts w:hint="eastAsia" w:ascii="仿宋" w:hAnsi="仿宋" w:eastAsia="仿宋" w:cs="仿宋"/>
                <w:b/>
                <w:bCs/>
                <w:color w:val="000000"/>
                <w:sz w:val="22"/>
                <w:szCs w:val="22"/>
                <w:highlight w:val="white"/>
                <w:lang w:bidi="ar"/>
              </w:rPr>
              <w:t>根据投标文件的质量管理组织机构是否健全、质量保证措施、安全生产责任制度，数据资料保密管理制度等内容进行打分。</w:t>
            </w:r>
          </w:p>
          <w:p w14:paraId="25245592">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内容详细具体、科学合理、针对性强、内容完整、全面符合要求的得6分；</w:t>
            </w:r>
          </w:p>
          <w:p w14:paraId="671E84CE">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内容较为详细、科学合理、针对性较强、内容完整、全面符合要求的得5分；</w:t>
            </w:r>
          </w:p>
          <w:p w14:paraId="079D2869">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内容基本完整、较为合理、有针对性、符合要求的得4分；</w:t>
            </w:r>
          </w:p>
          <w:p w14:paraId="14846B99">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内容一般、较为合理、有针对性、基本符合要求的得3分；</w:t>
            </w:r>
          </w:p>
          <w:p w14:paraId="7E44A25D">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内容较差、无针对性、不符合要求得2分；</w:t>
            </w:r>
          </w:p>
          <w:p w14:paraId="0D65162F">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内容不详细、方案不合理、不符合实际需求的得1分；</w:t>
            </w:r>
          </w:p>
          <w:p w14:paraId="1C1EEDDF">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无具体内容的，得0分。</w:t>
            </w:r>
          </w:p>
        </w:tc>
      </w:tr>
      <w:tr w14:paraId="21CC9B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3" w:type="pct"/>
            <w:vMerge w:val="continue"/>
            <w:noWrap w:val="0"/>
            <w:vAlign w:val="center"/>
          </w:tcPr>
          <w:p w14:paraId="24CA97DA">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rPr>
            </w:pPr>
          </w:p>
        </w:tc>
        <w:tc>
          <w:tcPr>
            <w:tcW w:w="722" w:type="pct"/>
            <w:noWrap w:val="0"/>
            <w:vAlign w:val="center"/>
          </w:tcPr>
          <w:p w14:paraId="2A41B6C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highlight w:val="white"/>
                <w:lang w:bidi="ar"/>
              </w:rPr>
              <w:t>售后服务</w:t>
            </w:r>
          </w:p>
          <w:p w14:paraId="420FE2DF">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（6分）</w:t>
            </w:r>
          </w:p>
        </w:tc>
        <w:tc>
          <w:tcPr>
            <w:tcW w:w="3623" w:type="pct"/>
            <w:noWrap w:val="0"/>
            <w:vAlign w:val="center"/>
          </w:tcPr>
          <w:p w14:paraId="31C2A7D0">
            <w:pPr>
              <w:pStyle w:val="266"/>
              <w:keepNext w:val="0"/>
              <w:keepLines w:val="0"/>
              <w:pageBreakBefore w:val="0"/>
              <w:widowControl w:val="0"/>
              <w:kinsoku/>
              <w:wordWrap/>
              <w:overflowPunct/>
              <w:topLinePunct w:val="0"/>
              <w:autoSpaceDE/>
              <w:autoSpaceDN/>
              <w:bidi w:val="0"/>
              <w:adjustRightInd/>
              <w:snapToGrid/>
              <w:spacing w:line="360" w:lineRule="exact"/>
              <w:ind w:firstLine="221" w:firstLineChars="100"/>
              <w:jc w:val="left"/>
              <w:textAlignment w:val="auto"/>
              <w:rPr>
                <w:rFonts w:hint="eastAsia" w:ascii="仿宋" w:hAnsi="仿宋" w:eastAsia="仿宋" w:cs="仿宋"/>
                <w:b/>
                <w:bCs/>
                <w:color w:val="000000"/>
                <w:sz w:val="22"/>
                <w:szCs w:val="22"/>
                <w:highlight w:val="white"/>
              </w:rPr>
            </w:pPr>
            <w:r>
              <w:rPr>
                <w:rFonts w:hint="eastAsia" w:ascii="仿宋" w:hAnsi="仿宋" w:eastAsia="仿宋" w:cs="仿宋"/>
                <w:b/>
                <w:bCs/>
                <w:color w:val="000000"/>
                <w:sz w:val="22"/>
                <w:szCs w:val="22"/>
                <w:highlight w:val="white"/>
                <w:lang w:bidi="ar"/>
              </w:rPr>
              <w:t>根据投标人针对本项目制定的售后服务团队的配备情况、售后服务响应时间、售后服务方案的可操作性等综合评分。</w:t>
            </w:r>
          </w:p>
          <w:p w14:paraId="09F964D3">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内容详细具体、科学合理、针对性强、内容完整、全面符合要求的得6分；</w:t>
            </w:r>
          </w:p>
          <w:p w14:paraId="77E332AF">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内容基本完整、较为合理、有针对性、符合要求的得4分；</w:t>
            </w:r>
          </w:p>
          <w:p w14:paraId="758C2100">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内容一般、较为合理、有针对性、基本符合要求的得3分；</w:t>
            </w:r>
          </w:p>
          <w:p w14:paraId="62F76C47">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内容较差、无针对性、不符合要求得2分；</w:t>
            </w:r>
          </w:p>
          <w:p w14:paraId="7A47529A">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内容不详细、方案不合理、不符合实际需求的得1分；</w:t>
            </w:r>
          </w:p>
          <w:p w14:paraId="60CA700B">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无具体内容的，得0分。</w:t>
            </w:r>
          </w:p>
        </w:tc>
      </w:tr>
      <w:tr w14:paraId="73715B0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2" w:hRule="atLeast"/>
          <w:jc w:val="center"/>
        </w:trPr>
        <w:tc>
          <w:tcPr>
            <w:tcW w:w="653" w:type="pct"/>
            <w:vMerge w:val="continue"/>
            <w:noWrap w:val="0"/>
            <w:vAlign w:val="center"/>
          </w:tcPr>
          <w:p w14:paraId="25434AD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rPr>
            </w:pPr>
          </w:p>
        </w:tc>
        <w:tc>
          <w:tcPr>
            <w:tcW w:w="722" w:type="pct"/>
            <w:noWrap w:val="0"/>
            <w:vAlign w:val="center"/>
          </w:tcPr>
          <w:p w14:paraId="7D75EEBE">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仪器设备情况</w:t>
            </w:r>
          </w:p>
          <w:p w14:paraId="0E8D96FC">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lang w:bidi="ar"/>
              </w:rPr>
            </w:pPr>
            <w:r>
              <w:rPr>
                <w:rFonts w:hint="eastAsia" w:ascii="仿宋" w:hAnsi="仿宋" w:eastAsia="仿宋" w:cs="仿宋"/>
                <w:color w:val="000000"/>
                <w:sz w:val="22"/>
                <w:szCs w:val="22"/>
                <w:highlight w:val="white"/>
                <w:lang w:bidi="ar"/>
              </w:rPr>
              <w:t>（6分）</w:t>
            </w:r>
          </w:p>
        </w:tc>
        <w:tc>
          <w:tcPr>
            <w:tcW w:w="3623" w:type="pct"/>
            <w:noWrap w:val="0"/>
            <w:vAlign w:val="center"/>
          </w:tcPr>
          <w:p w14:paraId="4F1177F0">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（1）投标人拟投入的全站仪5台及以上的得2分，其他不得分。</w:t>
            </w:r>
          </w:p>
          <w:p w14:paraId="413B0EBB">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（2）投标人拟投入的GNSS接收机5台及以上的得2分，其他不得分。</w:t>
            </w:r>
          </w:p>
          <w:p w14:paraId="508D9211">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（3）投标人拟投入的自有手持式激光测距仪5台及以上的得2分，其他不得分。</w:t>
            </w:r>
          </w:p>
          <w:p w14:paraId="0E2354A3">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b/>
                <w:bCs/>
                <w:color w:val="000000"/>
                <w:sz w:val="22"/>
                <w:szCs w:val="22"/>
                <w:highlight w:val="white"/>
                <w:lang w:val="en-US" w:eastAsia="zh-CN" w:bidi="ar"/>
              </w:rPr>
            </w:pPr>
            <w:r>
              <w:rPr>
                <w:rFonts w:hint="eastAsia" w:ascii="仿宋" w:hAnsi="仿宋" w:eastAsia="仿宋" w:cs="仿宋"/>
                <w:b/>
                <w:bCs/>
                <w:color w:val="000000"/>
                <w:sz w:val="22"/>
                <w:szCs w:val="22"/>
                <w:highlight w:val="white"/>
                <w:lang w:val="en-US" w:eastAsia="zh-CN" w:bidi="ar"/>
              </w:rPr>
              <w:t>注：</w:t>
            </w:r>
            <w:r>
              <w:rPr>
                <w:rFonts w:hint="eastAsia" w:ascii="仿宋" w:hAnsi="仿宋" w:eastAsia="仿宋" w:cs="仿宋"/>
                <w:b/>
                <w:bCs/>
                <w:sz w:val="24"/>
              </w:rPr>
              <w:t>如投标人为联合体，则以总数计算。</w:t>
            </w:r>
          </w:p>
          <w:p w14:paraId="38E0302D">
            <w:pPr>
              <w:pStyle w:val="266"/>
              <w:keepNext w:val="0"/>
              <w:keepLines w:val="0"/>
              <w:pageBreakBefore w:val="0"/>
              <w:widowControl w:val="0"/>
              <w:kinsoku/>
              <w:wordWrap/>
              <w:overflowPunct/>
              <w:topLinePunct w:val="0"/>
              <w:autoSpaceDE/>
              <w:autoSpaceDN/>
              <w:bidi w:val="0"/>
              <w:adjustRightInd/>
              <w:snapToGrid/>
              <w:spacing w:line="360" w:lineRule="exact"/>
              <w:jc w:val="left"/>
              <w:textAlignment w:val="auto"/>
              <w:rPr>
                <w:rFonts w:hint="eastAsia" w:ascii="仿宋" w:hAnsi="仿宋" w:eastAsia="仿宋" w:cs="仿宋"/>
                <w:color w:val="000000"/>
                <w:sz w:val="22"/>
                <w:szCs w:val="22"/>
                <w:highlight w:val="white"/>
                <w:lang w:bidi="ar"/>
              </w:rPr>
            </w:pPr>
            <w:r>
              <w:rPr>
                <w:rFonts w:hint="eastAsia" w:ascii="仿宋" w:hAnsi="仿宋" w:eastAsia="仿宋" w:cs="仿宋"/>
                <w:b/>
                <w:bCs/>
                <w:color w:val="000000"/>
                <w:sz w:val="22"/>
                <w:szCs w:val="22"/>
                <w:highlight w:val="white"/>
                <w:lang w:bidi="ar"/>
              </w:rPr>
              <w:t>投标文件中需提供计量检定机构出具的检定证书复印件加盖投标人签章方为有效。</w:t>
            </w:r>
          </w:p>
        </w:tc>
      </w:tr>
      <w:tr w14:paraId="1C304F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960" w:hRule="atLeast"/>
          <w:jc w:val="center"/>
        </w:trPr>
        <w:tc>
          <w:tcPr>
            <w:tcW w:w="653" w:type="pct"/>
            <w:vMerge w:val="continue"/>
            <w:noWrap w:val="0"/>
            <w:vAlign w:val="center"/>
          </w:tcPr>
          <w:p w14:paraId="20BEDC22">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sz w:val="22"/>
                <w:szCs w:val="22"/>
                <w:highlight w:val="white"/>
              </w:rPr>
            </w:pPr>
          </w:p>
        </w:tc>
        <w:tc>
          <w:tcPr>
            <w:tcW w:w="722" w:type="pct"/>
            <w:noWrap w:val="0"/>
            <w:vAlign w:val="center"/>
          </w:tcPr>
          <w:p w14:paraId="496A1E10">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拟投入</w:t>
            </w:r>
          </w:p>
          <w:p w14:paraId="626558E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人员</w:t>
            </w:r>
          </w:p>
          <w:p w14:paraId="29A153F5">
            <w:pPr>
              <w:keepNext w:val="0"/>
              <w:keepLines w:val="0"/>
              <w:pageBreakBefore w:val="0"/>
              <w:widowControl w:val="0"/>
              <w:kinsoku/>
              <w:wordWrap/>
              <w:overflowPunct/>
              <w:topLinePunct w:val="0"/>
              <w:autoSpaceDE/>
              <w:autoSpaceDN/>
              <w:bidi w:val="0"/>
              <w:adjustRightInd/>
              <w:snapToGrid/>
              <w:spacing w:line="360" w:lineRule="exact"/>
              <w:jc w:val="center"/>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lang w:bidi="ar"/>
              </w:rPr>
              <w:t>（20分）</w:t>
            </w:r>
          </w:p>
        </w:tc>
        <w:tc>
          <w:tcPr>
            <w:tcW w:w="3623" w:type="pct"/>
            <w:noWrap w:val="0"/>
            <w:vAlign w:val="center"/>
          </w:tcPr>
          <w:p w14:paraId="6AF463BF">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rPr>
            </w:pPr>
            <w:r>
              <w:rPr>
                <w:rFonts w:hint="eastAsia" w:ascii="仿宋" w:hAnsi="仿宋" w:eastAsia="仿宋" w:cs="仿宋"/>
                <w:color w:val="000000"/>
                <w:sz w:val="22"/>
                <w:szCs w:val="22"/>
                <w:highlight w:val="white"/>
              </w:rPr>
              <w:t>（1）项目负责人为土地或测绘类正高级工程师，</w:t>
            </w:r>
            <w:r>
              <w:rPr>
                <w:rFonts w:hint="eastAsia" w:ascii="仿宋" w:hAnsi="仿宋" w:eastAsia="仿宋" w:cs="仿宋"/>
                <w:color w:val="000000"/>
                <w:sz w:val="22"/>
                <w:szCs w:val="22"/>
              </w:rPr>
              <w:t>且同时具备注册测绘师资格证书，此项得4分，没有或不全不得分。</w:t>
            </w:r>
          </w:p>
          <w:p w14:paraId="4AB21743">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rPr>
              <w:t>（2）</w:t>
            </w:r>
            <w:r>
              <w:rPr>
                <w:rFonts w:hint="eastAsia" w:ascii="仿宋" w:hAnsi="仿宋" w:eastAsia="仿宋" w:cs="仿宋"/>
                <w:color w:val="000000"/>
                <w:sz w:val="22"/>
                <w:szCs w:val="22"/>
                <w:highlight w:val="white"/>
              </w:rPr>
              <w:t>技术负责人为土地或测绘类正高级工程师，</w:t>
            </w:r>
            <w:r>
              <w:rPr>
                <w:rFonts w:hint="eastAsia" w:ascii="仿宋" w:hAnsi="仿宋" w:eastAsia="仿宋" w:cs="仿宋"/>
                <w:color w:val="000000"/>
                <w:sz w:val="22"/>
                <w:szCs w:val="22"/>
              </w:rPr>
              <w:t>且同时具备注册测绘师资格证书，此项得4分，没有或不全不得分。</w:t>
            </w:r>
          </w:p>
          <w:p w14:paraId="645763AE">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rPr>
              <w:t>（3）质量负责人为土地或测绘类正高级工程师，且同时具备注册测绘师、高级信息系统项目管理师、测绘单位核心涉密人员保密培训证书</w:t>
            </w:r>
            <w:r>
              <w:rPr>
                <w:rFonts w:hint="eastAsia" w:ascii="仿宋" w:hAnsi="仿宋" w:eastAsia="仿宋" w:cs="仿宋"/>
                <w:color w:val="000000"/>
                <w:sz w:val="22"/>
                <w:szCs w:val="22"/>
              </w:rPr>
              <w:t>，此项得4分，没有或不全不得分。</w:t>
            </w:r>
          </w:p>
          <w:p w14:paraId="30630FD1">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rPr>
              <w:t>（4）</w:t>
            </w:r>
            <w:r>
              <w:rPr>
                <w:rFonts w:hint="eastAsia" w:ascii="仿宋" w:hAnsi="仿宋" w:eastAsia="仿宋" w:cs="仿宋"/>
                <w:color w:val="000000"/>
                <w:sz w:val="22"/>
                <w:szCs w:val="22"/>
              </w:rPr>
              <w:t>投标文件中提供项目其他人员：</w:t>
            </w:r>
          </w:p>
          <w:p w14:paraId="67A62E18">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rPr>
              <w:t>1）</w:t>
            </w:r>
            <w:r>
              <w:rPr>
                <w:rFonts w:hint="eastAsia" w:ascii="仿宋" w:hAnsi="仿宋" w:eastAsia="仿宋" w:cs="仿宋"/>
                <w:color w:val="000000"/>
                <w:sz w:val="22"/>
                <w:szCs w:val="22"/>
              </w:rPr>
              <w:t>具备</w:t>
            </w:r>
            <w:r>
              <w:rPr>
                <w:rFonts w:hint="eastAsia" w:ascii="仿宋" w:hAnsi="仿宋" w:eastAsia="仿宋" w:cs="仿宋"/>
                <w:color w:val="000000"/>
                <w:sz w:val="22"/>
                <w:szCs w:val="22"/>
                <w:highlight w:val="white"/>
              </w:rPr>
              <w:t>土地或测绘类</w:t>
            </w:r>
            <w:r>
              <w:rPr>
                <w:rFonts w:hint="eastAsia" w:ascii="仿宋" w:hAnsi="仿宋" w:eastAsia="仿宋" w:cs="仿宋"/>
                <w:color w:val="000000"/>
                <w:sz w:val="22"/>
                <w:szCs w:val="22"/>
              </w:rPr>
              <w:t>高级工程师资格人数达到5（含）人的，得4分，否则不得分</w:t>
            </w:r>
            <w:r>
              <w:rPr>
                <w:rFonts w:hint="eastAsia" w:ascii="仿宋" w:hAnsi="仿宋" w:eastAsia="仿宋" w:cs="仿宋"/>
                <w:color w:val="000000"/>
                <w:sz w:val="22"/>
                <w:szCs w:val="22"/>
                <w:highlight w:val="white"/>
              </w:rPr>
              <w:t>。</w:t>
            </w:r>
          </w:p>
          <w:p w14:paraId="47141D90">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color w:val="000000"/>
                <w:sz w:val="22"/>
                <w:szCs w:val="22"/>
                <w:highlight w:val="white"/>
              </w:rPr>
              <w:t>2）</w:t>
            </w:r>
            <w:r>
              <w:rPr>
                <w:rFonts w:hint="eastAsia" w:ascii="仿宋" w:hAnsi="仿宋" w:eastAsia="仿宋" w:cs="仿宋"/>
                <w:color w:val="000000"/>
                <w:sz w:val="22"/>
                <w:szCs w:val="22"/>
              </w:rPr>
              <w:t>具备注册测绘师资格人数达到5（含）人的，得4分，否则不得分；</w:t>
            </w:r>
          </w:p>
          <w:p w14:paraId="1DBEEF7C">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b/>
                <w:bCs/>
                <w:color w:val="000000"/>
                <w:sz w:val="22"/>
                <w:szCs w:val="22"/>
                <w:highlight w:val="white"/>
              </w:rPr>
            </w:pPr>
            <w:r>
              <w:rPr>
                <w:rFonts w:hint="eastAsia" w:ascii="仿宋" w:hAnsi="仿宋" w:eastAsia="仿宋" w:cs="仿宋"/>
                <w:b/>
                <w:bCs/>
                <w:color w:val="000000"/>
                <w:sz w:val="22"/>
                <w:szCs w:val="22"/>
                <w:highlight w:val="white"/>
              </w:rPr>
              <w:t>注：</w:t>
            </w:r>
            <w:r>
              <w:rPr>
                <w:rFonts w:hint="eastAsia" w:ascii="仿宋" w:hAnsi="仿宋" w:eastAsia="仿宋" w:cs="仿宋"/>
                <w:b/>
                <w:bCs/>
                <w:sz w:val="24"/>
              </w:rPr>
              <w:t>如投标人为联合体，则以总数计算。</w:t>
            </w:r>
          </w:p>
          <w:p w14:paraId="3E0996EF">
            <w:pPr>
              <w:pStyle w:val="266"/>
              <w:keepNext w:val="0"/>
              <w:keepLines w:val="0"/>
              <w:pageBreakBefore w:val="0"/>
              <w:widowControl w:val="0"/>
              <w:kinsoku/>
              <w:wordWrap/>
              <w:overflowPunct/>
              <w:topLinePunct w:val="0"/>
              <w:autoSpaceDE/>
              <w:autoSpaceDN/>
              <w:bidi w:val="0"/>
              <w:adjustRightInd/>
              <w:snapToGrid/>
              <w:spacing w:line="360" w:lineRule="exact"/>
              <w:textAlignment w:val="auto"/>
              <w:rPr>
                <w:rFonts w:hint="eastAsia" w:ascii="仿宋" w:hAnsi="仿宋" w:eastAsia="仿宋" w:cs="仿宋"/>
                <w:color w:val="000000"/>
                <w:sz w:val="22"/>
                <w:szCs w:val="22"/>
                <w:highlight w:val="white"/>
              </w:rPr>
            </w:pPr>
            <w:r>
              <w:rPr>
                <w:rFonts w:hint="eastAsia" w:ascii="仿宋" w:hAnsi="仿宋" w:eastAsia="仿宋" w:cs="仿宋"/>
                <w:b/>
                <w:bCs/>
                <w:color w:val="000000"/>
                <w:sz w:val="22"/>
                <w:szCs w:val="22"/>
                <w:highlight w:val="white"/>
              </w:rPr>
              <w:t>以上人员不重复计分，在投标文件中提供相关证书及为该员工缴纳的近6个月任意一月的社保证明或由上级主管单位开具的关于在编职工缴纳社会保险的证明复印件，不提供不得分。</w:t>
            </w:r>
          </w:p>
        </w:tc>
      </w:tr>
      <w:bookmarkEnd w:id="10"/>
      <w:bookmarkEnd w:id="11"/>
    </w:tbl>
    <w:p w14:paraId="10AA3EF7">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color w:val="auto"/>
          <w:highlight w:val="none"/>
        </w:rPr>
      </w:pPr>
    </w:p>
    <w:p w14:paraId="2667DE7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b/>
          <w:bCs/>
          <w:color w:val="auto"/>
          <w:sz w:val="24"/>
          <w:szCs w:val="24"/>
          <w:highlight w:val="none"/>
        </w:rPr>
      </w:pPr>
      <w:r>
        <w:rPr>
          <w:rFonts w:hint="eastAsia" w:ascii="宋体" w:hAnsi="宋体" w:eastAsia="宋体" w:cs="宋体"/>
          <w:color w:val="auto"/>
          <w:sz w:val="24"/>
          <w:szCs w:val="24"/>
          <w:highlight w:val="none"/>
        </w:rPr>
        <w:t>本章说明：</w:t>
      </w:r>
      <w:r>
        <w:rPr>
          <w:rFonts w:hint="eastAsia" w:ascii="宋体" w:hAnsi="宋体" w:eastAsia="宋体" w:cs="宋体"/>
          <w:b/>
          <w:bCs/>
          <w:color w:val="auto"/>
          <w:sz w:val="24"/>
          <w:szCs w:val="24"/>
          <w:highlight w:val="none"/>
        </w:rPr>
        <w:t>本项目采用综合评分法</w:t>
      </w:r>
      <w:r>
        <w:rPr>
          <w:rFonts w:hint="eastAsia" w:ascii="宋体" w:hAnsi="宋体" w:cs="宋体"/>
          <w:b/>
          <w:bCs/>
          <w:color w:val="auto"/>
          <w:sz w:val="24"/>
          <w:szCs w:val="24"/>
          <w:highlight w:val="none"/>
          <w:lang w:eastAsia="zh-CN"/>
        </w:rPr>
        <w:t>，</w:t>
      </w:r>
      <w:bookmarkStart w:id="44" w:name="_GoBack"/>
      <w:bookmarkEnd w:id="44"/>
      <w:r>
        <w:rPr>
          <w:rFonts w:hint="eastAsia" w:ascii="宋体" w:hAnsi="宋体" w:cs="宋体"/>
          <w:b/>
          <w:bCs/>
          <w:color w:val="auto"/>
          <w:sz w:val="24"/>
          <w:szCs w:val="24"/>
          <w:highlight w:val="none"/>
          <w:lang w:val="en-US" w:eastAsia="zh-CN"/>
        </w:rPr>
        <w:t>得分四舍五入保留俩位小数</w:t>
      </w:r>
      <w:r>
        <w:rPr>
          <w:rFonts w:hint="eastAsia" w:ascii="宋体" w:hAnsi="宋体" w:eastAsia="宋体" w:cs="宋体"/>
          <w:b/>
          <w:bCs/>
          <w:color w:val="auto"/>
          <w:sz w:val="24"/>
          <w:szCs w:val="24"/>
          <w:highlight w:val="none"/>
        </w:rPr>
        <w:t>。</w:t>
      </w:r>
    </w:p>
    <w:p w14:paraId="10A2FE18">
      <w:pPr>
        <w:pStyle w:val="202"/>
        <w:pageBreakBefore w:val="0"/>
        <w:numPr>
          <w:ilvl w:val="0"/>
          <w:numId w:val="1"/>
        </w:numPr>
        <w:kinsoku/>
        <w:wordWrap/>
        <w:overflowPunct/>
        <w:topLinePunct w:val="0"/>
        <w:autoSpaceDE/>
        <w:autoSpaceDN/>
        <w:bidi w:val="0"/>
        <w:adjustRightInd/>
        <w:snapToGrid/>
        <w:spacing w:beforeAutospacing="0" w:afterAutospacing="0" w:line="440" w:lineRule="exact"/>
        <w:ind w:left="0" w:right="0" w:firstLine="602" w:firstLineChars="200"/>
        <w:textAlignment w:val="auto"/>
        <w:rPr>
          <w:rFonts w:hint="eastAsia"/>
          <w:color w:val="auto"/>
          <w:highlight w:val="none"/>
        </w:rPr>
      </w:pPr>
      <w:bookmarkStart w:id="12" w:name="_Toc522790134"/>
      <w:bookmarkEnd w:id="12"/>
      <w:r>
        <w:rPr>
          <w:color w:val="auto"/>
          <w:highlight w:val="none"/>
        </w:rPr>
        <w:br w:type="page" w:clear="all"/>
      </w:r>
      <w:bookmarkStart w:id="13" w:name="_Toc15576"/>
      <w:r>
        <w:rPr>
          <w:rFonts w:hint="eastAsia"/>
          <w:color w:val="auto"/>
          <w:highlight w:val="none"/>
        </w:rPr>
        <w:t xml:space="preserve"> 拟签订的合同文本</w:t>
      </w:r>
      <w:bookmarkEnd w:id="13"/>
    </w:p>
    <w:p w14:paraId="61AE6421">
      <w:pPr>
        <w:pStyle w:val="202"/>
        <w:pageBreakBefore w:val="0"/>
        <w:numPr>
          <w:ilvl w:val="0"/>
          <w:numId w:val="0"/>
        </w:numPr>
        <w:kinsoku/>
        <w:wordWrap/>
        <w:overflowPunct/>
        <w:topLinePunct w:val="0"/>
        <w:autoSpaceDE/>
        <w:autoSpaceDN/>
        <w:bidi w:val="0"/>
        <w:adjustRightInd/>
        <w:snapToGrid/>
        <w:spacing w:beforeAutospacing="0" w:afterAutospacing="0" w:line="440" w:lineRule="exact"/>
        <w:ind w:right="0" w:rightChars="0"/>
        <w:jc w:val="both"/>
        <w:textAlignment w:val="auto"/>
        <w:rPr>
          <w:rFonts w:hint="eastAsia"/>
          <w:color w:val="auto"/>
          <w:highlight w:val="none"/>
        </w:rPr>
      </w:pPr>
    </w:p>
    <w:p w14:paraId="4217F3BA">
      <w:pPr>
        <w:pStyle w:val="215"/>
        <w:pageBreakBefore w:val="0"/>
        <w:kinsoku/>
        <w:wordWrap/>
        <w:overflowPunct/>
        <w:topLinePunct w:val="0"/>
        <w:autoSpaceDE/>
        <w:autoSpaceDN/>
        <w:bidi w:val="0"/>
        <w:adjustRightInd/>
        <w:snapToGrid/>
        <w:spacing w:beforeAutospacing="0" w:after="0" w:afterAutospacing="0" w:line="44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项目名称：</w:t>
      </w:r>
    </w:p>
    <w:p w14:paraId="18B96E0C">
      <w:pPr>
        <w:rPr>
          <w:rFonts w:hint="eastAsia"/>
          <w:sz w:val="22"/>
          <w:szCs w:val="28"/>
        </w:rPr>
      </w:pPr>
    </w:p>
    <w:p w14:paraId="665A9811">
      <w:pPr>
        <w:pStyle w:val="215"/>
        <w:pageBreakBefore w:val="0"/>
        <w:kinsoku/>
        <w:wordWrap/>
        <w:overflowPunct/>
        <w:topLinePunct w:val="0"/>
        <w:autoSpaceDE/>
        <w:autoSpaceDN/>
        <w:bidi w:val="0"/>
        <w:adjustRightInd/>
        <w:snapToGrid/>
        <w:spacing w:beforeAutospacing="0" w:after="0" w:afterAutospacing="0" w:line="44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项目编号：</w:t>
      </w:r>
    </w:p>
    <w:p w14:paraId="3A089DDC">
      <w:pPr>
        <w:bidi w:val="0"/>
        <w:jc w:val="center"/>
        <w:rPr>
          <w:rFonts w:hint="eastAsia"/>
          <w:sz w:val="44"/>
          <w:szCs w:val="44"/>
        </w:rPr>
      </w:pPr>
      <w:r>
        <w:rPr>
          <w:rFonts w:hint="eastAsia"/>
          <w:sz w:val="44"/>
          <w:szCs w:val="44"/>
        </w:rPr>
        <w:t>政</w:t>
      </w:r>
    </w:p>
    <w:p w14:paraId="18F82584">
      <w:pPr>
        <w:bidi w:val="0"/>
        <w:jc w:val="center"/>
        <w:rPr>
          <w:rFonts w:hint="eastAsia"/>
          <w:sz w:val="44"/>
          <w:szCs w:val="44"/>
        </w:rPr>
      </w:pPr>
    </w:p>
    <w:p w14:paraId="0545B2A0">
      <w:pPr>
        <w:bidi w:val="0"/>
        <w:jc w:val="center"/>
        <w:rPr>
          <w:rFonts w:hint="eastAsia"/>
          <w:sz w:val="44"/>
          <w:szCs w:val="44"/>
        </w:rPr>
      </w:pPr>
      <w:r>
        <w:rPr>
          <w:rFonts w:hint="eastAsia"/>
          <w:sz w:val="44"/>
          <w:szCs w:val="44"/>
        </w:rPr>
        <w:t>府</w:t>
      </w:r>
    </w:p>
    <w:p w14:paraId="687884BE">
      <w:pPr>
        <w:bidi w:val="0"/>
        <w:jc w:val="center"/>
        <w:rPr>
          <w:rFonts w:hint="eastAsia"/>
          <w:sz w:val="44"/>
          <w:szCs w:val="44"/>
        </w:rPr>
      </w:pPr>
    </w:p>
    <w:p w14:paraId="69E29B38">
      <w:pPr>
        <w:bidi w:val="0"/>
        <w:jc w:val="center"/>
        <w:rPr>
          <w:rFonts w:hint="eastAsia"/>
          <w:sz w:val="44"/>
          <w:szCs w:val="44"/>
        </w:rPr>
      </w:pPr>
      <w:r>
        <w:rPr>
          <w:rFonts w:hint="eastAsia"/>
          <w:sz w:val="44"/>
          <w:szCs w:val="44"/>
        </w:rPr>
        <w:t>采</w:t>
      </w:r>
    </w:p>
    <w:p w14:paraId="0D4993CE">
      <w:pPr>
        <w:bidi w:val="0"/>
        <w:jc w:val="center"/>
        <w:rPr>
          <w:rFonts w:hint="eastAsia"/>
          <w:sz w:val="44"/>
          <w:szCs w:val="44"/>
        </w:rPr>
      </w:pPr>
    </w:p>
    <w:p w14:paraId="143BAEC7">
      <w:pPr>
        <w:bidi w:val="0"/>
        <w:jc w:val="center"/>
        <w:rPr>
          <w:rFonts w:hint="eastAsia"/>
          <w:sz w:val="44"/>
          <w:szCs w:val="44"/>
        </w:rPr>
      </w:pPr>
      <w:r>
        <w:rPr>
          <w:rFonts w:hint="eastAsia"/>
          <w:sz w:val="44"/>
          <w:szCs w:val="44"/>
        </w:rPr>
        <w:t>购</w:t>
      </w:r>
    </w:p>
    <w:p w14:paraId="47964871">
      <w:pPr>
        <w:bidi w:val="0"/>
        <w:jc w:val="center"/>
        <w:rPr>
          <w:rFonts w:hint="eastAsia"/>
          <w:sz w:val="44"/>
          <w:szCs w:val="44"/>
        </w:rPr>
      </w:pPr>
    </w:p>
    <w:p w14:paraId="390CF178">
      <w:pPr>
        <w:bidi w:val="0"/>
        <w:jc w:val="center"/>
        <w:rPr>
          <w:rFonts w:hint="eastAsia"/>
          <w:sz w:val="44"/>
          <w:szCs w:val="44"/>
        </w:rPr>
      </w:pPr>
      <w:r>
        <w:rPr>
          <w:rFonts w:hint="eastAsia"/>
          <w:sz w:val="44"/>
          <w:szCs w:val="44"/>
        </w:rPr>
        <w:t>合</w:t>
      </w:r>
    </w:p>
    <w:p w14:paraId="18CF2B16">
      <w:pPr>
        <w:bidi w:val="0"/>
        <w:jc w:val="center"/>
        <w:rPr>
          <w:rFonts w:hint="eastAsia"/>
          <w:sz w:val="44"/>
          <w:szCs w:val="44"/>
        </w:rPr>
      </w:pPr>
    </w:p>
    <w:p w14:paraId="6856D196">
      <w:pPr>
        <w:bidi w:val="0"/>
        <w:jc w:val="center"/>
        <w:rPr>
          <w:rFonts w:hint="eastAsia"/>
          <w:sz w:val="44"/>
          <w:szCs w:val="44"/>
        </w:rPr>
      </w:pPr>
      <w:r>
        <w:rPr>
          <w:rFonts w:hint="eastAsia"/>
          <w:sz w:val="44"/>
          <w:szCs w:val="44"/>
        </w:rPr>
        <w:t>同</w:t>
      </w:r>
    </w:p>
    <w:p w14:paraId="5B9D3A6F">
      <w:pPr>
        <w:pStyle w:val="36"/>
        <w:rPr>
          <w:rFonts w:hint="eastAsia"/>
        </w:rPr>
      </w:pPr>
    </w:p>
    <w:p w14:paraId="52DEC932">
      <w:pPr>
        <w:pStyle w:val="215"/>
        <w:pageBreakBefore w:val="0"/>
        <w:kinsoku/>
        <w:wordWrap/>
        <w:overflowPunct/>
        <w:topLinePunct w:val="0"/>
        <w:autoSpaceDE/>
        <w:autoSpaceDN/>
        <w:bidi w:val="0"/>
        <w:adjustRightInd/>
        <w:snapToGrid/>
        <w:spacing w:beforeAutospacing="0" w:after="0" w:afterAutospacing="0" w:line="44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人：</w:t>
      </w:r>
    </w:p>
    <w:p w14:paraId="68A1D4B0">
      <w:pPr>
        <w:pStyle w:val="215"/>
        <w:pageBreakBefore w:val="0"/>
        <w:kinsoku/>
        <w:wordWrap/>
        <w:overflowPunct/>
        <w:topLinePunct w:val="0"/>
        <w:autoSpaceDE/>
        <w:autoSpaceDN/>
        <w:bidi w:val="0"/>
        <w:adjustRightInd/>
        <w:snapToGrid/>
        <w:spacing w:beforeAutospacing="0" w:after="0" w:afterAutospacing="0" w:line="44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成交供应商：</w:t>
      </w:r>
    </w:p>
    <w:p w14:paraId="434243AC">
      <w:pPr>
        <w:pStyle w:val="215"/>
        <w:pageBreakBefore w:val="0"/>
        <w:kinsoku/>
        <w:wordWrap/>
        <w:overflowPunct/>
        <w:topLinePunct w:val="0"/>
        <w:autoSpaceDE/>
        <w:autoSpaceDN/>
        <w:bidi w:val="0"/>
        <w:adjustRightInd/>
        <w:snapToGrid/>
        <w:spacing w:beforeAutospacing="0" w:after="0" w:afterAutospacing="0" w:line="44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采  购  包：</w:t>
      </w:r>
    </w:p>
    <w:p w14:paraId="1730C153">
      <w:pPr>
        <w:pStyle w:val="215"/>
        <w:pageBreakBefore w:val="0"/>
        <w:kinsoku/>
        <w:wordWrap/>
        <w:overflowPunct/>
        <w:topLinePunct w:val="0"/>
        <w:autoSpaceDE/>
        <w:autoSpaceDN/>
        <w:bidi w:val="0"/>
        <w:adjustRightInd/>
        <w:snapToGrid/>
        <w:spacing w:beforeAutospacing="0" w:after="0" w:afterAutospacing="0" w:line="440" w:lineRule="exact"/>
        <w:ind w:left="0" w:right="0" w:firstLine="560" w:firstLineChars="200"/>
        <w:textAlignment w:val="auto"/>
        <w:rPr>
          <w:rFonts w:hint="eastAsia" w:ascii="宋体" w:hAnsi="宋体" w:eastAsia="宋体" w:cs="宋体"/>
          <w:color w:val="auto"/>
          <w:sz w:val="28"/>
          <w:szCs w:val="28"/>
          <w:highlight w:val="none"/>
        </w:rPr>
      </w:pPr>
      <w:r>
        <w:rPr>
          <w:rFonts w:hint="eastAsia" w:ascii="宋体" w:hAnsi="宋体" w:eastAsia="宋体" w:cs="宋体"/>
          <w:color w:val="auto"/>
          <w:sz w:val="28"/>
          <w:szCs w:val="28"/>
          <w:highlight w:val="none"/>
        </w:rPr>
        <w:t>合同签订日期： 年 月 日</w:t>
      </w:r>
    </w:p>
    <w:p w14:paraId="39F0DBEF">
      <w:pPr>
        <w:rPr>
          <w:rFonts w:hint="eastAsia" w:ascii="宋体" w:hAnsi="宋体" w:eastAsia="宋体" w:cs="宋体"/>
          <w:color w:val="auto"/>
          <w:sz w:val="24"/>
          <w:szCs w:val="24"/>
          <w:highlight w:val="none"/>
        </w:rPr>
      </w:pPr>
    </w:p>
    <w:p w14:paraId="6EC927FF">
      <w:pPr>
        <w:pStyle w:val="36"/>
        <w:rPr>
          <w:rFonts w:hint="eastAsia" w:ascii="宋体" w:hAnsi="宋体" w:eastAsia="宋体" w:cs="宋体"/>
          <w:color w:val="auto"/>
          <w:sz w:val="24"/>
          <w:szCs w:val="24"/>
          <w:highlight w:val="none"/>
        </w:rPr>
      </w:pPr>
    </w:p>
    <w:p w14:paraId="052604E2">
      <w:pPr>
        <w:pStyle w:val="215"/>
        <w:pageBreakBefore w:val="0"/>
        <w:kinsoku/>
        <w:wordWrap/>
        <w:overflowPunct/>
        <w:topLinePunct w:val="0"/>
        <w:autoSpaceDE/>
        <w:autoSpaceDN/>
        <w:bidi w:val="0"/>
        <w:adjustRightInd/>
        <w:snapToGrid/>
        <w:spacing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友情提醒：采购人与中标、成交供应商应当在中标、成交通知书发出之日起三十日内，按照采购文件确定的事项签订政府采购合同。</w:t>
      </w:r>
    </w:p>
    <w:p w14:paraId="6D9A27BB">
      <w:pPr>
        <w:pStyle w:val="215"/>
        <w:pageBreakBefore w:val="0"/>
        <w:kinsoku/>
        <w:wordWrap/>
        <w:overflowPunct/>
        <w:topLinePunct w:val="0"/>
        <w:autoSpaceDE/>
        <w:autoSpaceDN/>
        <w:bidi w:val="0"/>
        <w:adjustRightInd/>
        <w:snapToGrid/>
        <w:spacing w:beforeAutospacing="0" w:after="0" w:afterAutospacing="0" w:line="360" w:lineRule="auto"/>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采购人应当自政府采购合同签订之日起2个工作日内，将政府采购合同在省级以上人民政府财政部门指定的媒体上公告，但政府采购合同中涉及国家秘密、商业秘密的内容除外。</w:t>
      </w:r>
    </w:p>
    <w:p w14:paraId="6C16990F">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hint="eastAsia" w:ascii="仿宋" w:hAnsi="仿宋" w:eastAsia="仿宋"/>
          <w:color w:val="auto"/>
          <w:sz w:val="30"/>
          <w:szCs w:val="30"/>
          <w:highlight w:val="none"/>
        </w:rPr>
      </w:pPr>
      <w:r>
        <w:rPr>
          <w:rFonts w:hint="eastAsia" w:ascii="仿宋" w:hAnsi="仿宋" w:eastAsia="仿宋"/>
          <w:color w:val="auto"/>
          <w:sz w:val="30"/>
          <w:szCs w:val="30"/>
          <w:highlight w:val="none"/>
        </w:rPr>
        <w:br w:type="page" w:clear="all"/>
      </w:r>
    </w:p>
    <w:p w14:paraId="74AC461D">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bookmarkStart w:id="14" w:name="_Toc21141"/>
      <w:bookmarkEnd w:id="14"/>
      <w:r>
        <w:rPr>
          <w:rFonts w:hint="eastAsia" w:ascii="宋体" w:hAnsi="宋体" w:eastAsia="宋体" w:cs="宋体"/>
          <w:sz w:val="24"/>
          <w:szCs w:val="24"/>
          <w:highlight w:val="none"/>
        </w:rPr>
        <w:t xml:space="preserve">甲方： </w:t>
      </w:r>
    </w:p>
    <w:p w14:paraId="622A9A12">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乙方：                      </w:t>
      </w:r>
    </w:p>
    <w:p w14:paraId="7B781D8D">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乙双方根据《中华人民共和国政府采购法》、《中华人民共和国民法典》，按照成交通知书及招标文件，按照平等、自愿的原则，经友好协商，签订本协议。</w:t>
      </w:r>
    </w:p>
    <w:p w14:paraId="1873DA0A">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15" w:name="_Toc31920"/>
      <w:bookmarkStart w:id="16" w:name="_Toc3986"/>
      <w:r>
        <w:rPr>
          <w:rFonts w:hint="eastAsia" w:ascii="宋体" w:hAnsi="宋体" w:eastAsia="宋体" w:cs="宋体"/>
          <w:b/>
          <w:bCs/>
          <w:sz w:val="24"/>
          <w:szCs w:val="24"/>
          <w:highlight w:val="none"/>
        </w:rPr>
        <w:t>项目名称</w:t>
      </w:r>
      <w:bookmarkEnd w:id="15"/>
      <w:bookmarkEnd w:id="16"/>
    </w:p>
    <w:p w14:paraId="419D960E">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lang w:eastAsia="zh-CN"/>
        </w:rPr>
      </w:pPr>
      <w:r>
        <w:rPr>
          <w:rFonts w:hint="eastAsia" w:ascii="宋体" w:hAnsi="宋体" w:cs="宋体"/>
          <w:sz w:val="24"/>
          <w:szCs w:val="24"/>
          <w:highlight w:val="none"/>
          <w:lang w:eastAsia="zh-CN"/>
        </w:rPr>
        <w:t>徐州市耕地保护和利用专项规划</w:t>
      </w:r>
    </w:p>
    <w:p w14:paraId="5956F6E0">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工作内容</w:t>
      </w:r>
    </w:p>
    <w:p w14:paraId="2D08880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详见招标文件</w:t>
      </w:r>
    </w:p>
    <w:p w14:paraId="66014E32">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17" w:name="_Toc5998"/>
      <w:bookmarkStart w:id="18" w:name="_Toc12145"/>
      <w:r>
        <w:rPr>
          <w:rFonts w:hint="eastAsia" w:ascii="宋体" w:hAnsi="宋体" w:eastAsia="宋体" w:cs="宋体"/>
          <w:b/>
          <w:bCs/>
          <w:sz w:val="24"/>
          <w:szCs w:val="24"/>
          <w:highlight w:val="none"/>
        </w:rPr>
        <w:t>合同总价款</w:t>
      </w:r>
      <w:bookmarkEnd w:id="17"/>
      <w:bookmarkEnd w:id="18"/>
    </w:p>
    <w:p w14:paraId="6C989D8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1、合同总金额：￥</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元大写：</w:t>
      </w:r>
      <w:r>
        <w:rPr>
          <w:rFonts w:hint="eastAsia" w:ascii="宋体" w:hAnsi="宋体" w:eastAsia="宋体" w:cs="宋体"/>
          <w:sz w:val="24"/>
          <w:szCs w:val="24"/>
          <w:highlight w:val="none"/>
          <w:u w:val="single"/>
        </w:rPr>
        <w:t xml:space="preserve">           </w:t>
      </w:r>
      <w:r>
        <w:rPr>
          <w:rFonts w:hint="eastAsia" w:ascii="宋体" w:hAnsi="宋体" w:eastAsia="宋体" w:cs="宋体"/>
          <w:sz w:val="24"/>
          <w:szCs w:val="24"/>
          <w:highlight w:val="none"/>
        </w:rPr>
        <w:t>人民币。本合同价款为固定总价，包括产品价、税金、检验、保险、验收、售后服务等全部费用。甲方不再支付报价以外的任何费用。</w:t>
      </w:r>
    </w:p>
    <w:p w14:paraId="545B06AB">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2.本合同价款为固定总价，服务期内与本项目有关的一切责任和费用均由乙方自行承担，甲方不再支付报价以外的任何费用。所有价格均应予人民币报价，金额单位为元。</w:t>
      </w:r>
    </w:p>
    <w:p w14:paraId="1EFAA9AA">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19" w:name="_Toc28749"/>
      <w:bookmarkStart w:id="20" w:name="_Toc12436"/>
      <w:r>
        <w:rPr>
          <w:rFonts w:hint="eastAsia" w:ascii="宋体" w:hAnsi="宋体" w:eastAsia="宋体" w:cs="宋体"/>
          <w:b/>
          <w:bCs/>
          <w:sz w:val="24"/>
          <w:szCs w:val="24"/>
          <w:highlight w:val="none"/>
        </w:rPr>
        <w:t>支付</w:t>
      </w:r>
      <w:bookmarkEnd w:id="19"/>
      <w:bookmarkEnd w:id="20"/>
    </w:p>
    <w:p w14:paraId="21ECF8B3">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sz w:val="24"/>
          <w:szCs w:val="24"/>
          <w:highlight w:val="none"/>
        </w:rPr>
      </w:pPr>
      <w:r>
        <w:rPr>
          <w:rFonts w:hint="eastAsia" w:ascii="宋体" w:hAnsi="宋体" w:eastAsia="宋体" w:cs="宋体"/>
          <w:b/>
          <w:bCs/>
          <w:sz w:val="24"/>
          <w:szCs w:val="24"/>
          <w:highlight w:val="none"/>
        </w:rPr>
        <w:t>本合同总金额为人民币大写金额</w:t>
      </w:r>
      <w:r>
        <w:rPr>
          <w:rFonts w:hint="eastAsia" w:ascii="宋体" w:hAnsi="宋体" w:eastAsia="宋体" w:cs="宋体"/>
          <w:b/>
          <w:bCs/>
          <w:sz w:val="24"/>
          <w:szCs w:val="24"/>
          <w:highlight w:val="none"/>
          <w:u w:val="single"/>
        </w:rPr>
        <w:t>        </w:t>
      </w:r>
      <w:r>
        <w:rPr>
          <w:rFonts w:hint="eastAsia" w:ascii="宋体" w:hAnsi="宋体" w:eastAsia="宋体" w:cs="宋体"/>
          <w:b/>
          <w:bCs/>
          <w:sz w:val="24"/>
          <w:szCs w:val="24"/>
          <w:highlight w:val="none"/>
        </w:rPr>
        <w:t>元（小写金额：</w:t>
      </w:r>
      <w:r>
        <w:rPr>
          <w:rFonts w:hint="eastAsia" w:ascii="宋体" w:hAnsi="宋体" w:eastAsia="宋体" w:cs="宋体"/>
          <w:b/>
          <w:bCs/>
          <w:sz w:val="24"/>
          <w:szCs w:val="24"/>
          <w:highlight w:val="none"/>
          <w:u w:val="single"/>
        </w:rPr>
        <w:t>        </w:t>
      </w:r>
      <w:r>
        <w:rPr>
          <w:rFonts w:hint="eastAsia" w:ascii="宋体" w:hAnsi="宋体" w:eastAsia="宋体" w:cs="宋体"/>
          <w:b/>
          <w:bCs/>
          <w:sz w:val="24"/>
          <w:szCs w:val="24"/>
          <w:highlight w:val="none"/>
        </w:rPr>
        <w:t>元），经双方协商一致，选择以下第</w:t>
      </w:r>
      <w:r>
        <w:rPr>
          <w:rFonts w:hint="eastAsia" w:ascii="宋体" w:hAnsi="宋体" w:eastAsia="宋体" w:cs="宋体"/>
          <w:b/>
          <w:bCs/>
          <w:sz w:val="24"/>
          <w:szCs w:val="24"/>
          <w:highlight w:val="none"/>
          <w:u w:val="single"/>
        </w:rPr>
        <w:t>     </w:t>
      </w:r>
      <w:r>
        <w:rPr>
          <w:rFonts w:hint="eastAsia" w:ascii="宋体" w:hAnsi="宋体" w:eastAsia="宋体" w:cs="宋体"/>
          <w:b/>
          <w:bCs/>
          <w:sz w:val="24"/>
          <w:szCs w:val="24"/>
          <w:highlight w:val="none"/>
        </w:rPr>
        <w:t>种付款方式：</w:t>
      </w:r>
    </w:p>
    <w:p w14:paraId="12F966BE">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付款方式一：提交预付款保函的</w:t>
      </w:r>
    </w:p>
    <w:p w14:paraId="7753377B">
      <w:pPr>
        <w:pStyle w:val="48"/>
        <w:keepNext w:val="0"/>
        <w:keepLines w:val="0"/>
        <w:pageBreakBefore w:val="0"/>
        <w:spacing w:line="500" w:lineRule="exact"/>
        <w:ind w:firstLine="540"/>
        <w:outlineLvl w:val="9"/>
        <w:rPr>
          <w:rFonts w:hint="eastAsia" w:ascii="宋体" w:hAnsi="宋体" w:eastAsia="宋体" w:cs="宋体"/>
          <w:sz w:val="24"/>
          <w:szCs w:val="24"/>
        </w:rPr>
      </w:pPr>
      <w:r>
        <w:rPr>
          <w:rFonts w:hint="eastAsia" w:ascii="宋体" w:hAnsi="宋体" w:eastAsia="宋体" w:cs="宋体"/>
          <w:sz w:val="24"/>
          <w:szCs w:val="24"/>
          <w:lang w:val="zh-CN"/>
        </w:rPr>
        <w:t>（1）</w:t>
      </w:r>
      <w:r>
        <w:rPr>
          <w:rFonts w:hint="eastAsia" w:ascii="宋体" w:hAnsi="宋体" w:eastAsia="宋体" w:cs="宋体"/>
          <w:sz w:val="24"/>
          <w:szCs w:val="24"/>
        </w:rPr>
        <w:t>合同价款的百分之五十(50%)即￥</w:t>
      </w:r>
      <w:r>
        <w:rPr>
          <w:rFonts w:hint="eastAsia" w:ascii="宋体" w:hAnsi="宋体" w:eastAsia="宋体" w:cs="宋体"/>
          <w:sz w:val="24"/>
          <w:szCs w:val="24"/>
          <w:u w:val="single"/>
        </w:rPr>
        <w:t xml:space="preserve">    </w:t>
      </w:r>
      <w:r>
        <w:rPr>
          <w:rFonts w:hint="eastAsia" w:ascii="宋体" w:hAnsi="宋体" w:eastAsia="宋体" w:cs="宋体"/>
          <w:sz w:val="24"/>
          <w:szCs w:val="24"/>
        </w:rPr>
        <w:t xml:space="preserve"> ，大写：人民币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元整，在双方签订合同后1</w:t>
      </w:r>
      <w:r>
        <w:rPr>
          <w:rFonts w:hint="eastAsia" w:ascii="宋体" w:hAnsi="宋体" w:cs="宋体"/>
          <w:sz w:val="24"/>
          <w:szCs w:val="24"/>
          <w:lang w:val="en-US" w:eastAsia="zh-CN"/>
        </w:rPr>
        <w:t>0</w:t>
      </w:r>
      <w:r>
        <w:rPr>
          <w:rFonts w:hint="eastAsia" w:ascii="宋体" w:hAnsi="宋体" w:eastAsia="宋体" w:cs="宋体"/>
          <w:sz w:val="24"/>
          <w:szCs w:val="24"/>
        </w:rPr>
        <w:t>个工作日内，乙方向甲方出具等额预付款保函后，由甲方办理政府采购资金结算手续支付给乙方。</w:t>
      </w:r>
    </w:p>
    <w:p w14:paraId="6A882DB9">
      <w:pPr>
        <w:pStyle w:val="48"/>
        <w:keepNext w:val="0"/>
        <w:keepLines w:val="0"/>
        <w:pageBreakBefore w:val="0"/>
        <w:spacing w:line="500" w:lineRule="exact"/>
        <w:ind w:firstLine="480"/>
        <w:outlineLvl w:val="9"/>
        <w:rPr>
          <w:rFonts w:hint="eastAsia" w:ascii="宋体" w:hAnsi="宋体" w:eastAsia="宋体" w:cs="宋体"/>
          <w:sz w:val="24"/>
          <w:szCs w:val="24"/>
        </w:rPr>
      </w:pPr>
      <w:r>
        <w:rPr>
          <w:rFonts w:hint="eastAsia" w:ascii="宋体" w:hAnsi="宋体" w:eastAsia="宋体" w:cs="宋体"/>
          <w:sz w:val="24"/>
          <w:szCs w:val="24"/>
          <w:lang w:val="zh-CN"/>
        </w:rPr>
        <w:t>（2）</w:t>
      </w:r>
      <w:r>
        <w:rPr>
          <w:rFonts w:hint="eastAsia" w:ascii="宋体" w:hAnsi="宋体" w:eastAsia="宋体" w:cs="宋体"/>
          <w:sz w:val="24"/>
          <w:szCs w:val="24"/>
        </w:rPr>
        <w:t>合同总价的百分之五十(50%)即￥</w:t>
      </w:r>
      <w:r>
        <w:rPr>
          <w:rFonts w:hint="eastAsia" w:ascii="宋体" w:hAnsi="宋体" w:eastAsia="宋体" w:cs="宋体"/>
          <w:sz w:val="24"/>
          <w:szCs w:val="24"/>
          <w:u w:val="single"/>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lang w:val="zh-CN"/>
        </w:rPr>
        <w:t>完成</w:t>
      </w:r>
      <w:r>
        <w:rPr>
          <w:rFonts w:hint="eastAsia" w:ascii="宋体" w:hAnsi="宋体" w:cs="宋体"/>
          <w:sz w:val="24"/>
          <w:szCs w:val="24"/>
          <w:lang w:val="en-US" w:eastAsia="zh-CN"/>
        </w:rPr>
        <w:t>全部</w:t>
      </w:r>
      <w:r>
        <w:rPr>
          <w:rFonts w:hint="eastAsia" w:ascii="宋体" w:hAnsi="宋体" w:eastAsia="宋体" w:cs="宋体"/>
          <w:sz w:val="24"/>
          <w:szCs w:val="24"/>
          <w:lang w:val="en-US" w:eastAsia="zh-CN"/>
        </w:rPr>
        <w:t>规划</w:t>
      </w:r>
      <w:r>
        <w:rPr>
          <w:rFonts w:hint="eastAsia" w:ascii="宋体" w:hAnsi="宋体" w:cs="宋体"/>
          <w:sz w:val="24"/>
          <w:szCs w:val="24"/>
          <w:lang w:val="en-US" w:eastAsia="zh-CN"/>
        </w:rPr>
        <w:t>编制</w:t>
      </w:r>
      <w:r>
        <w:rPr>
          <w:rFonts w:hint="eastAsia" w:ascii="宋体" w:hAnsi="宋体" w:eastAsia="宋体" w:cs="宋体"/>
          <w:sz w:val="24"/>
          <w:szCs w:val="24"/>
          <w:lang w:val="zh-CN"/>
        </w:rPr>
        <w:t>成果</w:t>
      </w:r>
      <w:r>
        <w:rPr>
          <w:rFonts w:hint="eastAsia" w:ascii="宋体" w:hAnsi="宋体" w:eastAsia="宋体" w:cs="宋体"/>
          <w:sz w:val="24"/>
          <w:szCs w:val="24"/>
          <w:lang w:val="en-US" w:eastAsia="zh-CN"/>
        </w:rPr>
        <w:t>并</w:t>
      </w:r>
      <w:r>
        <w:rPr>
          <w:rFonts w:hint="eastAsia" w:ascii="宋体" w:hAnsi="宋体" w:cs="宋体"/>
          <w:sz w:val="24"/>
          <w:szCs w:val="24"/>
          <w:lang w:val="en-US" w:eastAsia="zh-CN"/>
        </w:rPr>
        <w:t>验收合格</w:t>
      </w:r>
      <w:r>
        <w:rPr>
          <w:rFonts w:hint="eastAsia" w:ascii="宋体" w:hAnsi="宋体" w:eastAsia="宋体" w:cs="宋体"/>
          <w:sz w:val="24"/>
          <w:szCs w:val="24"/>
          <w:lang w:val="zh-CN"/>
        </w:rPr>
        <w:t>后</w:t>
      </w:r>
      <w:r>
        <w:rPr>
          <w:rFonts w:hint="eastAsia" w:ascii="宋体" w:hAnsi="宋体" w:eastAsia="宋体" w:cs="宋体"/>
          <w:sz w:val="24"/>
          <w:szCs w:val="24"/>
        </w:rPr>
        <w:t>，甲方自收到发票后1</w:t>
      </w:r>
      <w:r>
        <w:rPr>
          <w:rFonts w:hint="eastAsia" w:ascii="宋体" w:hAnsi="宋体" w:cs="宋体"/>
          <w:sz w:val="24"/>
          <w:szCs w:val="24"/>
          <w:lang w:val="en-US" w:eastAsia="zh-CN"/>
        </w:rPr>
        <w:t>0</w:t>
      </w:r>
      <w:r>
        <w:rPr>
          <w:rFonts w:hint="eastAsia" w:ascii="宋体" w:hAnsi="宋体" w:eastAsia="宋体" w:cs="宋体"/>
          <w:sz w:val="24"/>
          <w:szCs w:val="24"/>
        </w:rPr>
        <w:t>个工作日内，将资金支付到合同约定的乙方账户。</w:t>
      </w:r>
    </w:p>
    <w:p w14:paraId="36E5F5A7">
      <w:pPr>
        <w:pStyle w:val="48"/>
        <w:keepNext w:val="0"/>
        <w:keepLines w:val="0"/>
        <w:pageBreakBefore w:val="0"/>
        <w:spacing w:line="500" w:lineRule="exact"/>
        <w:ind w:firstLine="540"/>
        <w:outlineLvl w:val="9"/>
        <w:rPr>
          <w:rFonts w:hint="eastAsia" w:ascii="宋体" w:hAnsi="宋体" w:eastAsia="宋体" w:cs="宋体"/>
          <w:sz w:val="24"/>
          <w:szCs w:val="24"/>
        </w:rPr>
      </w:pPr>
      <w:r>
        <w:rPr>
          <w:rFonts w:hint="eastAsia" w:ascii="宋体" w:hAnsi="宋体" w:eastAsia="宋体" w:cs="宋体"/>
          <w:sz w:val="24"/>
          <w:szCs w:val="24"/>
        </w:rPr>
        <w:t>乙方需提交的支付文件包括：</w:t>
      </w:r>
    </w:p>
    <w:p w14:paraId="24FCA675">
      <w:pPr>
        <w:pStyle w:val="48"/>
        <w:keepNext w:val="0"/>
        <w:keepLines w:val="0"/>
        <w:pageBreakBefore w:val="0"/>
        <w:spacing w:line="500" w:lineRule="exact"/>
        <w:ind w:firstLine="540"/>
        <w:outlineLvl w:val="9"/>
        <w:rPr>
          <w:rFonts w:hint="eastAsia" w:ascii="宋体" w:hAnsi="宋体" w:eastAsia="宋体" w:cs="宋体"/>
          <w:sz w:val="24"/>
          <w:szCs w:val="24"/>
        </w:rPr>
      </w:pPr>
      <w:r>
        <w:rPr>
          <w:rFonts w:hint="eastAsia" w:ascii="宋体" w:hAnsi="宋体" w:eastAsia="宋体" w:cs="宋体"/>
          <w:sz w:val="24"/>
          <w:szCs w:val="24"/>
        </w:rPr>
        <w:t>乙方出具的全额正式发票；</w:t>
      </w:r>
    </w:p>
    <w:p w14:paraId="2E3D6A7C">
      <w:pPr>
        <w:pStyle w:val="63"/>
        <w:keepNext w:val="0"/>
        <w:keepLines w:val="0"/>
        <w:pageBreakBefore w:val="0"/>
        <w:widowControl w:val="0"/>
        <w:tabs>
          <w:tab w:val="left" w:pos="472"/>
        </w:tabs>
        <w:kinsoku/>
        <w:wordWrap/>
        <w:overflowPunct/>
        <w:topLinePunct w:val="0"/>
        <w:autoSpaceDE/>
        <w:autoSpaceDN/>
        <w:bidi w:val="0"/>
        <w:adjustRightInd/>
        <w:snapToGrid/>
        <w:spacing w:beforeAutospacing="0" w:afterAutospacing="0" w:line="440" w:lineRule="exact"/>
        <w:ind w:left="0" w:leftChars="0" w:right="0" w:firstLine="0" w:firstLineChars="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付款方式二：不提交预付款保函的</w:t>
      </w:r>
    </w:p>
    <w:p w14:paraId="533EAABD">
      <w:pPr>
        <w:pStyle w:val="48"/>
        <w:keepNext w:val="0"/>
        <w:keepLines w:val="0"/>
        <w:pageBreakBefore w:val="0"/>
        <w:spacing w:line="500" w:lineRule="exact"/>
        <w:ind w:firstLine="480"/>
        <w:jc w:val="left"/>
        <w:outlineLvl w:val="9"/>
        <w:rPr>
          <w:rFonts w:hint="eastAsia" w:ascii="宋体" w:hAnsi="宋体" w:eastAsia="宋体" w:cs="宋体"/>
          <w:sz w:val="24"/>
          <w:szCs w:val="24"/>
          <w:lang w:val="zh-CN"/>
        </w:rPr>
      </w:pPr>
      <w:r>
        <w:rPr>
          <w:rFonts w:hint="eastAsia" w:ascii="宋体" w:hAnsi="宋体" w:eastAsia="宋体" w:cs="宋体"/>
          <w:sz w:val="24"/>
          <w:szCs w:val="24"/>
          <w:lang w:val="zh-CN"/>
        </w:rPr>
        <w:t>（1）合同价款的百分之</w:t>
      </w:r>
      <w:r>
        <w:rPr>
          <w:rFonts w:hint="eastAsia" w:ascii="宋体" w:hAnsi="宋体" w:cs="宋体"/>
          <w:sz w:val="24"/>
          <w:szCs w:val="24"/>
          <w:lang w:val="en-US" w:eastAsia="zh-CN"/>
        </w:rPr>
        <w:t>五十</w:t>
      </w:r>
      <w:r>
        <w:rPr>
          <w:rFonts w:hint="eastAsia" w:ascii="宋体" w:hAnsi="宋体" w:eastAsia="宋体" w:cs="宋体"/>
          <w:sz w:val="24"/>
          <w:szCs w:val="24"/>
          <w:lang w:val="zh-CN"/>
        </w:rPr>
        <w:t>(</w:t>
      </w:r>
      <w:r>
        <w:rPr>
          <w:rFonts w:hint="eastAsia" w:ascii="宋体" w:hAnsi="宋体" w:cs="宋体"/>
          <w:sz w:val="24"/>
          <w:szCs w:val="24"/>
          <w:lang w:val="en-US" w:eastAsia="zh-CN"/>
        </w:rPr>
        <w:t>50</w:t>
      </w:r>
      <w:r>
        <w:rPr>
          <w:rFonts w:hint="eastAsia" w:ascii="宋体" w:hAnsi="宋体" w:eastAsia="宋体" w:cs="宋体"/>
          <w:sz w:val="24"/>
          <w:szCs w:val="24"/>
          <w:lang w:val="zh-CN"/>
        </w:rPr>
        <w:t>%)即</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，大写：人民币</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lang w:val="zh-CN"/>
        </w:rPr>
        <w:t>在双方签订合同后，甲方自收到发票（发票金额为合同总价的</w:t>
      </w:r>
      <w:r>
        <w:rPr>
          <w:rFonts w:hint="eastAsia" w:ascii="宋体" w:hAnsi="宋体" w:cs="宋体"/>
          <w:sz w:val="24"/>
          <w:szCs w:val="24"/>
          <w:lang w:val="en-US" w:eastAsia="zh-CN"/>
        </w:rPr>
        <w:t>5</w:t>
      </w:r>
      <w:r>
        <w:rPr>
          <w:rFonts w:hint="eastAsia" w:ascii="宋体" w:hAnsi="宋体" w:eastAsia="宋体" w:cs="宋体"/>
          <w:sz w:val="24"/>
          <w:szCs w:val="24"/>
          <w:lang w:val="zh-CN"/>
        </w:rPr>
        <w:t>0%）后</w:t>
      </w:r>
      <w:r>
        <w:rPr>
          <w:rFonts w:hint="eastAsia" w:ascii="宋体" w:hAnsi="宋体" w:cs="宋体"/>
          <w:sz w:val="24"/>
          <w:szCs w:val="24"/>
          <w:lang w:val="en-US" w:eastAsia="zh-CN"/>
        </w:rPr>
        <w:t>10个工作</w:t>
      </w:r>
      <w:r>
        <w:rPr>
          <w:rFonts w:hint="eastAsia" w:ascii="宋体" w:hAnsi="宋体" w:eastAsia="宋体" w:cs="宋体"/>
          <w:sz w:val="24"/>
          <w:szCs w:val="24"/>
          <w:lang w:val="zh-CN"/>
        </w:rPr>
        <w:t>日内，将资金支付到合同约定的乙方账户；</w:t>
      </w:r>
    </w:p>
    <w:p w14:paraId="62E6D9C2">
      <w:pPr>
        <w:pStyle w:val="48"/>
        <w:keepNext w:val="0"/>
        <w:keepLines w:val="0"/>
        <w:pageBreakBefore w:val="0"/>
        <w:spacing w:line="500" w:lineRule="exact"/>
        <w:ind w:firstLine="480"/>
        <w:jc w:val="left"/>
        <w:outlineLvl w:val="9"/>
        <w:rPr>
          <w:rFonts w:hint="eastAsia" w:ascii="宋体" w:hAnsi="宋体" w:eastAsia="宋体" w:cs="宋体"/>
          <w:sz w:val="24"/>
          <w:szCs w:val="24"/>
          <w:lang w:val="zh-CN"/>
        </w:rPr>
      </w:pPr>
      <w:r>
        <w:rPr>
          <w:rFonts w:hint="eastAsia" w:ascii="宋体" w:hAnsi="宋体" w:eastAsia="宋体" w:cs="宋体"/>
          <w:sz w:val="24"/>
          <w:szCs w:val="24"/>
          <w:lang w:val="zh-CN"/>
        </w:rPr>
        <w:t>（2）合同价款的百分之五十(</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0%)即</w:t>
      </w:r>
      <w:r>
        <w:rPr>
          <w:rFonts w:hint="eastAsia" w:ascii="宋体" w:hAnsi="宋体" w:eastAsia="宋体" w:cs="宋体"/>
          <w:sz w:val="24"/>
          <w:szCs w:val="24"/>
        </w:rPr>
        <w:t>￥</w:t>
      </w:r>
      <w:r>
        <w:rPr>
          <w:rFonts w:hint="eastAsia" w:ascii="宋体" w:hAnsi="宋体" w:eastAsia="宋体" w:cs="宋体"/>
          <w:sz w:val="24"/>
          <w:szCs w:val="24"/>
          <w:u w:val="single"/>
        </w:rPr>
        <w:t xml:space="preserve">   </w:t>
      </w:r>
      <w:r>
        <w:rPr>
          <w:rFonts w:hint="eastAsia" w:ascii="宋体" w:hAnsi="宋体" w:eastAsia="宋体" w:cs="宋体"/>
          <w:sz w:val="24"/>
          <w:szCs w:val="24"/>
          <w:u w:val="single"/>
          <w:lang w:val="en-US" w:eastAsia="zh-CN"/>
        </w:rPr>
        <w:t xml:space="preserve">     </w:t>
      </w:r>
      <w:r>
        <w:rPr>
          <w:rFonts w:hint="eastAsia" w:ascii="宋体" w:hAnsi="宋体" w:eastAsia="宋体" w:cs="宋体"/>
          <w:sz w:val="24"/>
          <w:szCs w:val="24"/>
        </w:rPr>
        <w:t xml:space="preserve"> ，大写：人民币</w:t>
      </w:r>
      <w:r>
        <w:rPr>
          <w:rFonts w:hint="eastAsia" w:ascii="宋体" w:hAnsi="宋体" w:eastAsia="宋体" w:cs="宋体"/>
          <w:sz w:val="24"/>
          <w:szCs w:val="24"/>
          <w:u w:val="single"/>
        </w:rPr>
        <w:t xml:space="preserve">         </w:t>
      </w:r>
      <w:r>
        <w:rPr>
          <w:rFonts w:hint="eastAsia" w:ascii="宋体" w:hAnsi="宋体" w:eastAsia="宋体" w:cs="宋体"/>
          <w:sz w:val="24"/>
          <w:szCs w:val="24"/>
        </w:rPr>
        <w:t>元整，</w:t>
      </w:r>
      <w:r>
        <w:rPr>
          <w:rFonts w:hint="eastAsia" w:ascii="宋体" w:hAnsi="宋体" w:eastAsia="宋体" w:cs="宋体"/>
          <w:sz w:val="24"/>
          <w:szCs w:val="24"/>
          <w:lang w:val="zh-CN"/>
        </w:rPr>
        <w:t>完成</w:t>
      </w:r>
      <w:r>
        <w:rPr>
          <w:rFonts w:hint="eastAsia" w:ascii="宋体" w:hAnsi="宋体" w:cs="宋体"/>
          <w:sz w:val="24"/>
          <w:szCs w:val="24"/>
          <w:lang w:val="en-US" w:eastAsia="zh-CN"/>
        </w:rPr>
        <w:t>全部</w:t>
      </w:r>
      <w:r>
        <w:rPr>
          <w:rFonts w:hint="eastAsia" w:ascii="宋体" w:hAnsi="宋体" w:eastAsia="宋体" w:cs="宋体"/>
          <w:sz w:val="24"/>
          <w:szCs w:val="24"/>
          <w:lang w:val="en-US" w:eastAsia="zh-CN"/>
        </w:rPr>
        <w:t>规划</w:t>
      </w:r>
      <w:r>
        <w:rPr>
          <w:rFonts w:hint="eastAsia" w:ascii="宋体" w:hAnsi="宋体" w:cs="宋体"/>
          <w:sz w:val="24"/>
          <w:szCs w:val="24"/>
          <w:lang w:val="en-US" w:eastAsia="zh-CN"/>
        </w:rPr>
        <w:t>编制</w:t>
      </w:r>
      <w:r>
        <w:rPr>
          <w:rFonts w:hint="eastAsia" w:ascii="宋体" w:hAnsi="宋体" w:eastAsia="宋体" w:cs="宋体"/>
          <w:sz w:val="24"/>
          <w:szCs w:val="24"/>
          <w:lang w:val="zh-CN"/>
        </w:rPr>
        <w:t>成果</w:t>
      </w:r>
      <w:r>
        <w:rPr>
          <w:rFonts w:hint="eastAsia" w:ascii="宋体" w:hAnsi="宋体" w:eastAsia="宋体" w:cs="宋体"/>
          <w:sz w:val="24"/>
          <w:szCs w:val="24"/>
          <w:lang w:val="en-US" w:eastAsia="zh-CN"/>
        </w:rPr>
        <w:t>并</w:t>
      </w:r>
      <w:r>
        <w:rPr>
          <w:rFonts w:hint="eastAsia" w:ascii="宋体" w:hAnsi="宋体" w:cs="宋体"/>
          <w:sz w:val="24"/>
          <w:szCs w:val="24"/>
          <w:lang w:val="en-US" w:eastAsia="zh-CN"/>
        </w:rPr>
        <w:t>验收合格</w:t>
      </w:r>
      <w:r>
        <w:rPr>
          <w:rFonts w:hint="eastAsia" w:ascii="宋体" w:hAnsi="宋体" w:eastAsia="宋体" w:cs="宋体"/>
          <w:sz w:val="24"/>
          <w:szCs w:val="24"/>
          <w:lang w:val="zh-CN"/>
        </w:rPr>
        <w:t>后，甲方自收到发票（发票金额为合同总价的</w:t>
      </w:r>
      <w:r>
        <w:rPr>
          <w:rFonts w:hint="eastAsia" w:ascii="宋体" w:hAnsi="宋体" w:eastAsia="宋体" w:cs="宋体"/>
          <w:sz w:val="24"/>
          <w:szCs w:val="24"/>
          <w:lang w:val="en-US" w:eastAsia="zh-CN"/>
        </w:rPr>
        <w:t>5</w:t>
      </w:r>
      <w:r>
        <w:rPr>
          <w:rFonts w:hint="eastAsia" w:ascii="宋体" w:hAnsi="宋体" w:eastAsia="宋体" w:cs="宋体"/>
          <w:sz w:val="24"/>
          <w:szCs w:val="24"/>
          <w:lang w:val="zh-CN"/>
        </w:rPr>
        <w:t>0%）后</w:t>
      </w:r>
      <w:r>
        <w:rPr>
          <w:rFonts w:hint="eastAsia" w:ascii="宋体" w:hAnsi="宋体" w:cs="宋体"/>
          <w:sz w:val="24"/>
          <w:szCs w:val="24"/>
          <w:lang w:val="en-US" w:eastAsia="zh-CN"/>
        </w:rPr>
        <w:t>10个工作</w:t>
      </w:r>
      <w:r>
        <w:rPr>
          <w:rFonts w:hint="eastAsia" w:ascii="宋体" w:hAnsi="宋体" w:eastAsia="宋体" w:cs="宋体"/>
          <w:sz w:val="24"/>
          <w:szCs w:val="24"/>
          <w:lang w:val="zh-CN"/>
        </w:rPr>
        <w:t>日内，将资金支付到合同约定的乙方账户；</w:t>
      </w:r>
    </w:p>
    <w:p w14:paraId="6BE881B5">
      <w:pPr>
        <w:pStyle w:val="48"/>
        <w:keepNext w:val="0"/>
        <w:keepLines w:val="0"/>
        <w:pageBreakBefore w:val="0"/>
        <w:spacing w:line="500" w:lineRule="exact"/>
        <w:ind w:firstLine="540"/>
        <w:outlineLvl w:val="9"/>
        <w:rPr>
          <w:rFonts w:hint="eastAsia" w:ascii="宋体" w:hAnsi="宋体" w:eastAsia="宋体" w:cs="宋体"/>
          <w:sz w:val="24"/>
          <w:szCs w:val="24"/>
        </w:rPr>
      </w:pPr>
      <w:r>
        <w:rPr>
          <w:rFonts w:hint="eastAsia" w:ascii="宋体" w:hAnsi="宋体" w:eastAsia="宋体" w:cs="宋体"/>
          <w:sz w:val="24"/>
          <w:szCs w:val="24"/>
        </w:rPr>
        <w:t>上述费用甲方支付至乙方指定账户内，该指定账户信息为：</w:t>
      </w:r>
    </w:p>
    <w:p w14:paraId="515BA876">
      <w:pPr>
        <w:pStyle w:val="48"/>
        <w:keepNext w:val="0"/>
        <w:keepLines w:val="0"/>
        <w:pageBreakBefore w:val="0"/>
        <w:spacing w:line="500" w:lineRule="exact"/>
        <w:ind w:firstLine="540"/>
        <w:outlineLvl w:val="9"/>
        <w:rPr>
          <w:rFonts w:hint="eastAsia" w:ascii="宋体" w:hAnsi="宋体" w:eastAsia="宋体" w:cs="宋体"/>
          <w:sz w:val="24"/>
          <w:szCs w:val="24"/>
        </w:rPr>
      </w:pPr>
      <w:r>
        <w:rPr>
          <w:rFonts w:hint="eastAsia" w:ascii="宋体" w:hAnsi="宋体" w:eastAsia="宋体" w:cs="宋体"/>
          <w:sz w:val="24"/>
          <w:szCs w:val="24"/>
        </w:rPr>
        <w:t xml:space="preserve">户名： </w:t>
      </w:r>
    </w:p>
    <w:p w14:paraId="2D46279E">
      <w:pPr>
        <w:pStyle w:val="48"/>
        <w:keepNext w:val="0"/>
        <w:keepLines w:val="0"/>
        <w:pageBreakBefore w:val="0"/>
        <w:spacing w:line="500" w:lineRule="exact"/>
        <w:ind w:firstLine="540"/>
        <w:outlineLvl w:val="9"/>
        <w:rPr>
          <w:rFonts w:hint="eastAsia" w:ascii="宋体" w:hAnsi="宋体" w:eastAsia="宋体" w:cs="宋体"/>
          <w:sz w:val="24"/>
          <w:szCs w:val="24"/>
        </w:rPr>
      </w:pPr>
      <w:r>
        <w:rPr>
          <w:rFonts w:hint="eastAsia" w:ascii="宋体" w:hAnsi="宋体" w:eastAsia="宋体" w:cs="宋体"/>
          <w:sz w:val="24"/>
          <w:szCs w:val="24"/>
        </w:rPr>
        <w:t>账号：</w:t>
      </w:r>
    </w:p>
    <w:p w14:paraId="490B941E">
      <w:pPr>
        <w:pStyle w:val="48"/>
        <w:keepNext w:val="0"/>
        <w:keepLines w:val="0"/>
        <w:pageBreakBefore w:val="0"/>
        <w:spacing w:line="500" w:lineRule="exact"/>
        <w:ind w:firstLine="540"/>
        <w:outlineLvl w:val="9"/>
        <w:rPr>
          <w:rFonts w:hint="eastAsia" w:ascii="宋体" w:hAnsi="宋体" w:eastAsia="宋体" w:cs="宋体"/>
          <w:sz w:val="24"/>
          <w:szCs w:val="24"/>
        </w:rPr>
      </w:pPr>
      <w:r>
        <w:rPr>
          <w:rFonts w:hint="eastAsia" w:ascii="宋体" w:hAnsi="宋体" w:eastAsia="宋体" w:cs="宋体"/>
          <w:sz w:val="24"/>
          <w:szCs w:val="24"/>
        </w:rPr>
        <w:t xml:space="preserve">开户行： </w:t>
      </w:r>
    </w:p>
    <w:p w14:paraId="1A37E757">
      <w:pPr>
        <w:pStyle w:val="49"/>
        <w:rPr>
          <w:rFonts w:hint="eastAsia"/>
        </w:rPr>
      </w:pPr>
    </w:p>
    <w:p w14:paraId="245FFE90">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21" w:name="_Toc19674"/>
      <w:r>
        <w:rPr>
          <w:rFonts w:hint="eastAsia" w:ascii="宋体" w:hAnsi="宋体" w:eastAsia="宋体" w:cs="宋体"/>
          <w:b/>
          <w:bCs/>
          <w:sz w:val="24"/>
          <w:szCs w:val="24"/>
          <w:highlight w:val="none"/>
        </w:rPr>
        <w:t>服务期限和</w:t>
      </w:r>
      <w:bookmarkEnd w:id="21"/>
      <w:r>
        <w:rPr>
          <w:rFonts w:hint="eastAsia" w:ascii="宋体" w:hAnsi="宋体" w:cs="宋体"/>
          <w:b/>
          <w:bCs/>
          <w:sz w:val="24"/>
          <w:szCs w:val="24"/>
          <w:highlight w:val="none"/>
          <w:lang w:val="en-US" w:eastAsia="zh-CN"/>
        </w:rPr>
        <w:t>质量要求</w:t>
      </w:r>
    </w:p>
    <w:p w14:paraId="58C7B9C0">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b w:val="0"/>
          <w:bCs w:val="0"/>
          <w:sz w:val="24"/>
          <w:szCs w:val="24"/>
          <w:highlight w:val="none"/>
          <w:lang w:eastAsia="zh-CN"/>
        </w:rPr>
      </w:pPr>
      <w:r>
        <w:rPr>
          <w:rFonts w:hint="eastAsia" w:ascii="宋体" w:hAnsi="宋体" w:eastAsia="宋体" w:cs="宋体"/>
          <w:b/>
          <w:bCs/>
          <w:sz w:val="24"/>
          <w:szCs w:val="24"/>
          <w:highlight w:val="none"/>
        </w:rPr>
        <w:t>服务期限</w:t>
      </w:r>
      <w:r>
        <w:rPr>
          <w:rFonts w:hint="eastAsia" w:ascii="宋体" w:hAnsi="宋体" w:eastAsia="宋体" w:cs="宋体"/>
          <w:b/>
          <w:bCs/>
          <w:sz w:val="24"/>
          <w:szCs w:val="24"/>
          <w:highlight w:val="none"/>
          <w:lang w:eastAsia="zh-CN"/>
        </w:rPr>
        <w:t>：</w:t>
      </w:r>
      <w:r>
        <w:rPr>
          <w:rFonts w:hint="eastAsia" w:ascii="宋体" w:hAnsi="宋体" w:eastAsia="宋体" w:cs="宋体"/>
          <w:b w:val="0"/>
          <w:bCs w:val="0"/>
          <w:sz w:val="24"/>
          <w:szCs w:val="24"/>
          <w:highlight w:val="none"/>
          <w:lang w:eastAsia="zh-CN"/>
        </w:rPr>
        <w:t>2025年9月30日前完成规划编制。在规划批准后30个工作日内报省自然资源厅备案，按程序纳入国土空间规划一张图。</w:t>
      </w:r>
    </w:p>
    <w:p w14:paraId="1688002B">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sz w:val="24"/>
          <w:szCs w:val="24"/>
          <w:highlight w:val="none"/>
        </w:rPr>
      </w:pPr>
      <w:r>
        <w:rPr>
          <w:rFonts w:hint="eastAsia" w:ascii="宋体" w:hAnsi="宋体" w:cs="宋体"/>
          <w:b/>
          <w:bCs/>
          <w:sz w:val="24"/>
          <w:szCs w:val="24"/>
          <w:highlight w:val="none"/>
          <w:lang w:val="en-US" w:eastAsia="zh-CN"/>
        </w:rPr>
        <w:t>质量要求</w:t>
      </w:r>
      <w:r>
        <w:rPr>
          <w:rFonts w:hint="eastAsia" w:ascii="宋体" w:hAnsi="宋体" w:eastAsia="宋体" w:cs="宋体"/>
          <w:b/>
          <w:bCs/>
          <w:sz w:val="24"/>
          <w:szCs w:val="24"/>
          <w:highlight w:val="none"/>
          <w:lang w:eastAsia="zh-CN"/>
        </w:rPr>
        <w:t>：</w:t>
      </w:r>
      <w:r>
        <w:rPr>
          <w:rStyle w:val="235"/>
          <w:rFonts w:hint="eastAsia" w:ascii="宋体" w:hAnsi="宋体" w:cs="宋体"/>
          <w:sz w:val="24"/>
          <w:highlight w:val="white"/>
        </w:rPr>
        <w:t>成果应满足国家、省、市相关规范、标准及采购人要求，一次性通过采购人组织的专家组验收、审查。</w:t>
      </w:r>
      <w:r>
        <w:rPr>
          <w:rFonts w:hint="eastAsia" w:ascii="宋体" w:hAnsi="宋体" w:eastAsia="宋体" w:cs="宋体"/>
          <w:sz w:val="24"/>
          <w:szCs w:val="24"/>
          <w:highlight w:val="none"/>
        </w:rPr>
        <w:t>。</w:t>
      </w:r>
    </w:p>
    <w:p w14:paraId="6D94780C">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22" w:name="_Toc23450"/>
      <w:bookmarkStart w:id="23" w:name="_Toc23122"/>
      <w:r>
        <w:rPr>
          <w:rFonts w:hint="eastAsia" w:ascii="宋体" w:hAnsi="宋体" w:eastAsia="宋体" w:cs="宋体"/>
          <w:b/>
          <w:bCs/>
          <w:sz w:val="24"/>
          <w:szCs w:val="24"/>
          <w:highlight w:val="none"/>
        </w:rPr>
        <w:t>交付成果</w:t>
      </w:r>
      <w:bookmarkEnd w:id="22"/>
      <w:bookmarkEnd w:id="23"/>
    </w:p>
    <w:p w14:paraId="457F1824">
      <w:pPr>
        <w:pStyle w:val="63"/>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详见招标文件。</w:t>
      </w:r>
    </w:p>
    <w:p w14:paraId="2A79F277">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24" w:name="_Toc10887"/>
      <w:bookmarkStart w:id="25" w:name="_Toc5670"/>
      <w:r>
        <w:rPr>
          <w:rFonts w:hint="eastAsia" w:ascii="宋体" w:hAnsi="宋体" w:eastAsia="宋体" w:cs="宋体"/>
          <w:b/>
          <w:bCs/>
          <w:sz w:val="24"/>
          <w:szCs w:val="24"/>
          <w:highlight w:val="none"/>
        </w:rPr>
        <w:t>甲乙双方的权利和义务</w:t>
      </w:r>
      <w:bookmarkEnd w:id="24"/>
      <w:bookmarkEnd w:id="25"/>
    </w:p>
    <w:p w14:paraId="28A3C77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1.甲方的责任及义务</w:t>
      </w:r>
    </w:p>
    <w:p w14:paraId="6FDCA0EA">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甲方应保护乙方的投标文件、技术方案、文件、资料图纸、数据、计算软件和专利技术。未经乙方同意，甲方对乙方交付的设计资料及文件不得擅自修改、复制或向第三人转让或用于本合同外的项目，如发生以上情况，甲方应负法律责任，乙方有权向甲方提出索赔。</w:t>
      </w:r>
    </w:p>
    <w:p w14:paraId="19F8B37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（2）甲方应及时按合同准备资金，按时进行项目验收。</w:t>
      </w:r>
    </w:p>
    <w:p w14:paraId="36642DA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2.乙方责任及义务：</w:t>
      </w:r>
    </w:p>
    <w:p w14:paraId="612FE8C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（1）乙方不得违反国家有关标准进行数据处理和调查。</w:t>
      </w:r>
    </w:p>
    <w:p w14:paraId="04C0C3A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乙方根据甲方要求，在规定的时间内安排相应人员进行作业，作业期间须服从甲方的相关规定和安全管理制度。乙方应自己负责实施合同期间其工作人员的食宿、通讯、差旅、交通水电、资料收集等产生的一切费用，并对项目安全生产负责。</w:t>
      </w:r>
    </w:p>
    <w:p w14:paraId="5D3C3234">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（3）乙方应按合同约定的技术规范、标准、规程及甲方提出的技术要求进行作业，按合同规定的进度要求及时提交质量合格的项目资料，并对其负责。</w:t>
      </w:r>
    </w:p>
    <w:p w14:paraId="36068D7F">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乙方交付资料及文件后，按规定参加有关的验收，并根据验收结论负责对不超出原定范围的内容做必要调整补充。乙方按合同规定工期交付资料及文件，负责向甲方进行资料文档的解释，处理因技术规程变化可能引起的有关问题。</w:t>
      </w:r>
    </w:p>
    <w:p w14:paraId="722B8DAC">
      <w:pPr>
        <w:keepNext w:val="0"/>
        <w:keepLines w:val="0"/>
        <w:pageBreakBefore w:val="0"/>
        <w:widowControl w:val="0"/>
        <w:kinsoku/>
        <w:wordWrap/>
        <w:overflowPunct/>
        <w:topLinePunct w:val="0"/>
        <w:autoSpaceDE/>
        <w:autoSpaceDN/>
        <w:bidi w:val="0"/>
        <w:adjustRightInd/>
        <w:snapToGrid/>
        <w:spacing w:beforeAutospacing="0" w:afterAutospacing="0" w:line="360" w:lineRule="auto"/>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项目所产生的原始数据、中间数据、成果数据产权及与本项目相关的图纸和技术资料均甲方独享。乙方未经甲方书面允许，不得向第三方提供项目中的任何数据资料，如发生以上情况并给甲方造成经济损失，甲方有权向乙方索赔。</w:t>
      </w:r>
    </w:p>
    <w:p w14:paraId="2B573713">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360" w:lineRule="auto"/>
        <w:ind w:left="0" w:right="0" w:firstLine="482" w:firstLineChars="200"/>
        <w:textAlignment w:val="auto"/>
        <w:outlineLvl w:val="1"/>
        <w:rPr>
          <w:rFonts w:hint="eastAsia" w:ascii="宋体" w:hAnsi="宋体" w:eastAsia="宋体" w:cs="宋体"/>
          <w:b/>
          <w:bCs/>
          <w:sz w:val="24"/>
          <w:szCs w:val="24"/>
          <w:highlight w:val="none"/>
        </w:rPr>
      </w:pPr>
      <w:bookmarkStart w:id="26" w:name="_Toc29475"/>
      <w:bookmarkStart w:id="27" w:name="_Toc15246"/>
      <w:bookmarkStart w:id="28" w:name="_Toc85031497"/>
      <w:r>
        <w:rPr>
          <w:rFonts w:hint="eastAsia" w:ascii="宋体" w:hAnsi="宋体" w:eastAsia="宋体" w:cs="宋体"/>
          <w:b/>
          <w:bCs/>
          <w:sz w:val="24"/>
          <w:szCs w:val="24"/>
          <w:highlight w:val="none"/>
        </w:rPr>
        <w:t>安全保密要求</w:t>
      </w:r>
      <w:bookmarkEnd w:id="26"/>
      <w:bookmarkEnd w:id="27"/>
      <w:bookmarkEnd w:id="28"/>
    </w:p>
    <w:p w14:paraId="3E0DA7AA">
      <w:pPr>
        <w:spacing w:line="360" w:lineRule="auto"/>
        <w:ind w:firstLine="480" w:firstLineChars="200"/>
        <w:rPr>
          <w:rFonts w:ascii="宋体" w:hAnsi="宋体" w:cs="宋体"/>
          <w:sz w:val="24"/>
          <w:highlight w:val="white"/>
        </w:rPr>
      </w:pPr>
      <w:bookmarkStart w:id="29" w:name="_Toc9722"/>
      <w:bookmarkStart w:id="30" w:name="_Toc25253"/>
      <w:r>
        <w:rPr>
          <w:rFonts w:hint="eastAsia" w:ascii="宋体" w:hAnsi="宋体" w:cs="宋体"/>
          <w:sz w:val="24"/>
          <w:highlight w:val="white"/>
        </w:rPr>
        <w:t>1.项目实施必须符合国家、江苏省、徐州市和徐州市自然资源和规划局系统安全相关管理规定，遵守数据资料保密要求。此约定不因项目的结束而终止，一直有效。</w:t>
      </w:r>
    </w:p>
    <w:p w14:paraId="196395E5">
      <w:pPr>
        <w:spacing w:line="360" w:lineRule="auto"/>
        <w:ind w:firstLine="480" w:firstLineChars="200"/>
        <w:rPr>
          <w:rFonts w:ascii="宋体" w:hAnsi="宋体" w:cs="宋体"/>
          <w:sz w:val="24"/>
          <w:highlight w:val="white"/>
        </w:rPr>
      </w:pPr>
      <w:r>
        <w:rPr>
          <w:rFonts w:hint="eastAsia" w:ascii="宋体" w:hAnsi="宋体" w:cs="宋体"/>
          <w:sz w:val="24"/>
          <w:highlight w:val="white"/>
        </w:rPr>
        <w:t>2.项目实施单位必须</w:t>
      </w:r>
      <w:r>
        <w:rPr>
          <w:rFonts w:ascii="宋体" w:hAnsi="宋体" w:cs="宋体"/>
          <w:sz w:val="24"/>
          <w:highlight w:val="white"/>
        </w:rPr>
        <w:t>建立严格的保密制度</w:t>
      </w:r>
      <w:r>
        <w:rPr>
          <w:rFonts w:hint="eastAsia" w:ascii="宋体" w:hAnsi="宋体" w:cs="宋体"/>
          <w:sz w:val="24"/>
          <w:highlight w:val="white"/>
        </w:rPr>
        <w:t>和有资质的保密人员</w:t>
      </w:r>
      <w:r>
        <w:rPr>
          <w:rFonts w:ascii="宋体" w:hAnsi="宋体" w:cs="宋体"/>
          <w:sz w:val="24"/>
          <w:highlight w:val="white"/>
        </w:rPr>
        <w:t>，并加强对工作人员的保密管理及保密知识教育。在项目实施过程中，必须严守保密规定，未经同意，不得将信息数据向任何无关单位和个人提供和泄露</w:t>
      </w:r>
      <w:r>
        <w:rPr>
          <w:rFonts w:hint="eastAsia" w:ascii="宋体" w:hAnsi="宋体" w:cs="宋体"/>
          <w:sz w:val="24"/>
          <w:highlight w:val="white"/>
        </w:rPr>
        <w:t>。</w:t>
      </w:r>
    </w:p>
    <w:p w14:paraId="197C4B38">
      <w:pPr>
        <w:spacing w:line="360" w:lineRule="auto"/>
        <w:ind w:firstLine="480" w:firstLineChars="200"/>
        <w:rPr>
          <w:rFonts w:ascii="宋体" w:hAnsi="宋体" w:cs="宋体"/>
          <w:sz w:val="24"/>
          <w:highlight w:val="white"/>
        </w:rPr>
      </w:pPr>
      <w:r>
        <w:rPr>
          <w:rFonts w:hint="eastAsia" w:ascii="宋体" w:hAnsi="宋体" w:cs="宋体"/>
          <w:sz w:val="24"/>
          <w:highlight w:val="white"/>
        </w:rPr>
        <w:t>3.项目验收时，实施单位提交成果数据后应承诺销毁所有过程数据和最终成果，不得用于其他项目。</w:t>
      </w:r>
    </w:p>
    <w:p w14:paraId="333694A3">
      <w:pPr>
        <w:spacing w:line="360" w:lineRule="auto"/>
        <w:ind w:firstLine="480" w:firstLineChars="200"/>
        <w:rPr>
          <w:rFonts w:ascii="宋体" w:hAnsi="宋体" w:cs="宋体"/>
          <w:sz w:val="24"/>
          <w:highlight w:val="white"/>
        </w:rPr>
      </w:pPr>
      <w:r>
        <w:rPr>
          <w:rFonts w:hint="eastAsia" w:ascii="宋体" w:hAnsi="宋体" w:cs="宋体"/>
          <w:sz w:val="24"/>
          <w:highlight w:val="white"/>
        </w:rPr>
        <w:t>4.项目实施单位必须</w:t>
      </w:r>
      <w:r>
        <w:rPr>
          <w:rFonts w:ascii="宋体" w:hAnsi="宋体" w:cs="宋体"/>
          <w:sz w:val="24"/>
          <w:highlight w:val="white"/>
        </w:rPr>
        <w:t>严格按规定的时间完成项目的全部工作内容，如在实施的过程中出现错误</w:t>
      </w:r>
      <w:r>
        <w:rPr>
          <w:rFonts w:hint="eastAsia" w:ascii="宋体" w:hAnsi="宋体" w:cs="宋体"/>
          <w:sz w:val="24"/>
          <w:highlight w:val="white"/>
        </w:rPr>
        <w:t>、</w:t>
      </w:r>
      <w:r>
        <w:rPr>
          <w:rFonts w:ascii="宋体" w:hAnsi="宋体" w:cs="宋体"/>
          <w:sz w:val="24"/>
          <w:highlight w:val="white"/>
        </w:rPr>
        <w:t>误差，需负责及时更正直至</w:t>
      </w:r>
      <w:r>
        <w:rPr>
          <w:rFonts w:hint="eastAsia" w:ascii="宋体" w:hAnsi="宋体" w:cs="宋体"/>
          <w:sz w:val="24"/>
          <w:highlight w:val="white"/>
        </w:rPr>
        <w:t>项目审核通过</w:t>
      </w:r>
      <w:r>
        <w:rPr>
          <w:rFonts w:ascii="宋体" w:hAnsi="宋体" w:cs="宋体"/>
          <w:sz w:val="24"/>
          <w:highlight w:val="white"/>
        </w:rPr>
        <w:t>。</w:t>
      </w:r>
    </w:p>
    <w:p w14:paraId="6115E213">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r>
        <w:rPr>
          <w:rFonts w:hint="eastAsia" w:ascii="宋体" w:hAnsi="宋体" w:eastAsia="宋体" w:cs="宋体"/>
          <w:b/>
          <w:bCs/>
          <w:sz w:val="24"/>
          <w:szCs w:val="24"/>
          <w:highlight w:val="none"/>
        </w:rPr>
        <w:t>违约责任</w:t>
      </w:r>
      <w:bookmarkEnd w:id="29"/>
      <w:bookmarkEnd w:id="30"/>
    </w:p>
    <w:p w14:paraId="5C91354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1.乙方逾期提交成果，应在提交前与甲方协商，甲方仍需求的，乙方应立即提交并应按照逾期提交部分的合同金额的每天千分之五支付逾期交货违约金，同时承担甲方因此遭致的损失费用。</w:t>
      </w:r>
    </w:p>
    <w:p w14:paraId="4499CFFB">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31" w:name="_Toc31540"/>
      <w:bookmarkStart w:id="32" w:name="_Toc25365"/>
      <w:r>
        <w:rPr>
          <w:rFonts w:hint="eastAsia" w:ascii="宋体" w:hAnsi="宋体" w:eastAsia="宋体" w:cs="宋体"/>
          <w:b/>
          <w:bCs/>
          <w:sz w:val="24"/>
          <w:szCs w:val="24"/>
          <w:highlight w:val="none"/>
        </w:rPr>
        <w:t>知识产权</w:t>
      </w:r>
      <w:bookmarkEnd w:id="31"/>
      <w:bookmarkEnd w:id="32"/>
      <w:r>
        <w:rPr>
          <w:rFonts w:hint="eastAsia" w:ascii="宋体" w:hAnsi="宋体" w:eastAsia="宋体" w:cs="宋体"/>
          <w:b/>
          <w:bCs/>
          <w:sz w:val="24"/>
          <w:szCs w:val="24"/>
          <w:highlight w:val="none"/>
        </w:rPr>
        <w:t xml:space="preserve"> </w:t>
      </w:r>
    </w:p>
    <w:p w14:paraId="33631F2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1.乙方应保证甲方在使用本合同项下的产品或产品的一部分时，免受第三方提出的侵权其知识产权的索赔或诉讼；</w:t>
      </w:r>
    </w:p>
    <w:p w14:paraId="1000D362">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如果乙方所提供的产品，被第三方诉称侵权了该方知识产权或任何其他权利，甲方以书面方式通知乙方，乙方应负责处理这一指控并应以乙方的名义向起诉方提出抗辩。由此可能产生的一切法律责任和经济责任由乙方承担。甲方将尽可能地对乙方抗辩给予协助，由此产生的费用由乙方承担；</w:t>
      </w:r>
    </w:p>
    <w:p w14:paraId="4A69278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3.本合同项目成果以及由此产生的知识产权归甲乙双方所有，包括但不限于著作权、专利申请权、专利权、非专利技术和其它智力成果的权利和权益。涉及乙方产品的知识产权归乙方所有。</w:t>
      </w:r>
    </w:p>
    <w:p w14:paraId="29A173F1">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33" w:name="_Toc16062"/>
      <w:bookmarkStart w:id="34" w:name="_Toc8301"/>
      <w:r>
        <w:rPr>
          <w:rFonts w:hint="eastAsia" w:ascii="宋体" w:hAnsi="宋体" w:eastAsia="宋体" w:cs="宋体"/>
          <w:b/>
          <w:bCs/>
          <w:sz w:val="24"/>
          <w:szCs w:val="24"/>
          <w:highlight w:val="none"/>
        </w:rPr>
        <w:t>不可抗力</w:t>
      </w:r>
      <w:bookmarkEnd w:id="33"/>
      <w:bookmarkEnd w:id="34"/>
    </w:p>
    <w:p w14:paraId="0889417D">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1.因不可抗力不能履行合同的，根据不可抗力的影响，部分或者全部免除责任。但合同一方延迟履行后发生不可抗力的，不能免除责任。</w:t>
      </w:r>
    </w:p>
    <w:p w14:paraId="463DC425">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2.合同一方因不可抗力不能履行合同的，应当及时通知对方，以减轻可能给对方造成的损失，并应当在合理期限内提供证明。</w:t>
      </w:r>
    </w:p>
    <w:p w14:paraId="71700035">
      <w:pPr>
        <w:keepNext w:val="0"/>
        <w:keepLines w:val="0"/>
        <w:pageBreakBefore w:val="0"/>
        <w:widowControl w:val="0"/>
        <w:numPr>
          <w:ilvl w:val="0"/>
          <w:numId w:val="2"/>
        </w:numPr>
        <w:kinsoku/>
        <w:wordWrap/>
        <w:overflowPunct/>
        <w:topLinePunct w:val="0"/>
        <w:autoSpaceDE/>
        <w:autoSpaceDN/>
        <w:bidi w:val="0"/>
        <w:adjustRightInd/>
        <w:snapToGrid/>
        <w:spacing w:beforeAutospacing="0" w:afterAutospacing="0" w:line="440" w:lineRule="exact"/>
        <w:ind w:left="0" w:right="0" w:firstLine="482" w:firstLineChars="200"/>
        <w:textAlignment w:val="auto"/>
        <w:outlineLvl w:val="1"/>
        <w:rPr>
          <w:rFonts w:hint="eastAsia" w:ascii="宋体" w:hAnsi="宋体" w:eastAsia="宋体" w:cs="宋体"/>
          <w:b/>
          <w:bCs/>
          <w:sz w:val="24"/>
          <w:szCs w:val="24"/>
          <w:highlight w:val="none"/>
        </w:rPr>
      </w:pPr>
      <w:bookmarkStart w:id="35" w:name="_Toc3544"/>
      <w:bookmarkStart w:id="36" w:name="_Toc19375"/>
      <w:r>
        <w:rPr>
          <w:rFonts w:hint="eastAsia" w:ascii="宋体" w:hAnsi="宋体" w:eastAsia="宋体" w:cs="宋体"/>
          <w:b/>
          <w:bCs/>
          <w:sz w:val="24"/>
          <w:szCs w:val="24"/>
          <w:highlight w:val="none"/>
        </w:rPr>
        <w:t>附则</w:t>
      </w:r>
      <w:bookmarkEnd w:id="35"/>
      <w:bookmarkEnd w:id="36"/>
    </w:p>
    <w:p w14:paraId="0B369ED0">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1.本合同执行过程中的未尽事宜，双方应本着实事求是、友好协商的态度加以解决。双方协商一致的，签订补充协议。补充协议与本合同具有同等效力。</w:t>
      </w:r>
    </w:p>
    <w:p w14:paraId="5B1D553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2.因本合同发生争议，由双方当事人协商解决或由双方主管部门调解，协商或调解不成的，可向甲方所在地人民法院起诉。</w:t>
      </w:r>
    </w:p>
    <w:p w14:paraId="07B463E3">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3.本合同由双方代表签字，加盖双方公章或合同专用章即生效。全部成果交接完毕且服务费结算完成时，本合同终止。 </w:t>
      </w:r>
    </w:p>
    <w:p w14:paraId="2D1F910C">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4.本合同一式伍份，甲方两份、乙方两份、招标代理机构壹份。</w:t>
      </w:r>
    </w:p>
    <w:p w14:paraId="2CA9A987">
      <w:pPr>
        <w:keepNext w:val="0"/>
        <w:keepLines w:val="0"/>
        <w:pageBreakBefore w:val="0"/>
        <w:widowControl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5.本合同其他未尽事宜及与采购文件有矛盾之处，以采购文件[采购编号：    ]为准。</w:t>
      </w:r>
    </w:p>
    <w:p w14:paraId="1A0BAE74">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 xml:space="preserve">甲    方                    乙   方 </w:t>
      </w:r>
    </w:p>
    <w:p w14:paraId="0CF35737">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单位签章：                      单位签章：</w:t>
      </w:r>
    </w:p>
    <w:p w14:paraId="33DDAE7D">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单位地址：                      单位地址：</w:t>
      </w:r>
    </w:p>
    <w:p w14:paraId="77ADFA0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开户银行：                      开户银行：</w:t>
      </w:r>
    </w:p>
    <w:p w14:paraId="2A3202B0">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银行帐号：                      银行帐号：</w:t>
      </w:r>
    </w:p>
    <w:p w14:paraId="066339A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 系 人：                      联 系 人：</w:t>
      </w:r>
    </w:p>
    <w:p w14:paraId="2EB84FE7">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r>
        <w:rPr>
          <w:rFonts w:hint="eastAsia" w:ascii="宋体" w:hAnsi="宋体" w:eastAsia="宋体" w:cs="宋体"/>
          <w:sz w:val="24"/>
          <w:szCs w:val="24"/>
          <w:highlight w:val="none"/>
        </w:rPr>
        <w:t>联系电话：                      联系电话：</w:t>
      </w:r>
    </w:p>
    <w:p w14:paraId="19161228">
      <w:pPr>
        <w:pStyle w:val="47"/>
        <w:pageBreakBefore w:val="0"/>
        <w:kinsoku/>
        <w:wordWrap/>
        <w:overflowPunct/>
        <w:topLinePunct w:val="0"/>
        <w:autoSpaceDE/>
        <w:autoSpaceDN/>
        <w:bidi w:val="0"/>
        <w:adjustRightInd/>
        <w:snapToGrid/>
        <w:spacing w:beforeAutospacing="0" w:after="0" w:afterAutospacing="0" w:line="440" w:lineRule="exact"/>
        <w:ind w:left="0" w:right="0" w:firstLine="480" w:firstLineChars="200"/>
        <w:textAlignment w:val="auto"/>
        <w:rPr>
          <w:rFonts w:hint="eastAsia" w:ascii="宋体" w:hAnsi="宋体" w:eastAsia="宋体" w:cs="宋体"/>
          <w:sz w:val="24"/>
          <w:szCs w:val="24"/>
          <w:highlight w:val="none"/>
        </w:rPr>
      </w:pPr>
    </w:p>
    <w:p w14:paraId="7C818C91">
      <w:pPr>
        <w:pStyle w:val="47"/>
        <w:pageBreakBefore w:val="0"/>
        <w:kinsoku/>
        <w:wordWrap/>
        <w:overflowPunct/>
        <w:topLinePunct w:val="0"/>
        <w:autoSpaceDE/>
        <w:autoSpaceDN/>
        <w:bidi w:val="0"/>
        <w:adjustRightInd/>
        <w:snapToGrid/>
        <w:spacing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rPr>
        <w:sectPr>
          <w:footerReference r:id="rId6" w:type="default"/>
          <w:pgSz w:w="11906" w:h="16838"/>
          <w:pgMar w:top="1440" w:right="1800" w:bottom="1440" w:left="1800" w:header="851" w:footer="992" w:gutter="0"/>
          <w:pgNumType w:fmt="decimal" w:start="1"/>
          <w:cols w:space="720" w:num="1"/>
          <w:docGrid w:linePitch="360" w:charSpace="0"/>
        </w:sectPr>
      </w:pPr>
      <w:r>
        <w:rPr>
          <w:rFonts w:hint="eastAsia" w:ascii="宋体" w:hAnsi="宋体" w:eastAsia="宋体" w:cs="宋体"/>
          <w:sz w:val="24"/>
          <w:szCs w:val="24"/>
          <w:highlight w:val="none"/>
        </w:rPr>
        <w:t>签字日期：年    月  日  </w:t>
      </w:r>
    </w:p>
    <w:p w14:paraId="5C528141">
      <w:pPr>
        <w:pStyle w:val="202"/>
        <w:pageBreakBefore w:val="0"/>
        <w:kinsoku/>
        <w:wordWrap/>
        <w:overflowPunct/>
        <w:topLinePunct w:val="0"/>
        <w:autoSpaceDE/>
        <w:autoSpaceDN/>
        <w:bidi w:val="0"/>
        <w:adjustRightInd/>
        <w:snapToGrid/>
        <w:spacing w:beforeAutospacing="0" w:afterAutospacing="0" w:line="360" w:lineRule="auto"/>
        <w:ind w:left="0" w:right="0" w:firstLine="602" w:firstLineChars="200"/>
        <w:textAlignment w:val="auto"/>
        <w:rPr>
          <w:rFonts w:hint="eastAsia"/>
          <w:color w:val="auto"/>
          <w:highlight w:val="none"/>
        </w:rPr>
      </w:pPr>
      <w:bookmarkStart w:id="37" w:name="_Toc522790135"/>
      <w:bookmarkEnd w:id="37"/>
      <w:bookmarkStart w:id="38" w:name="_Toc13715"/>
      <w:r>
        <w:rPr>
          <w:rFonts w:hint="eastAsia"/>
          <w:color w:val="auto"/>
          <w:highlight w:val="none"/>
        </w:rPr>
        <w:t>第六章  采购需求</w:t>
      </w:r>
      <w:bookmarkEnd w:id="38"/>
    </w:p>
    <w:p w14:paraId="46F4BDCB">
      <w:pPr>
        <w:spacing w:line="360" w:lineRule="auto"/>
        <w:ind w:firstLine="480" w:firstLineChars="200"/>
        <w:outlineLvl w:val="0"/>
        <w:rPr>
          <w:rFonts w:ascii="宋体" w:hAnsi="宋体" w:cs="宋体"/>
          <w:sz w:val="24"/>
          <w:highlight w:val="white"/>
        </w:rPr>
      </w:pPr>
      <w:r>
        <w:rPr>
          <w:rFonts w:hint="eastAsia" w:ascii="宋体" w:hAnsi="宋体" w:cs="宋体"/>
          <w:sz w:val="24"/>
          <w:highlight w:val="white"/>
        </w:rPr>
        <w:t>一、本项目不接受超过人民币</w:t>
      </w:r>
      <w:r>
        <w:rPr>
          <w:rFonts w:hint="eastAsia" w:ascii="宋体" w:hAnsi="宋体" w:cs="宋体"/>
          <w:sz w:val="24"/>
          <w:highlight w:val="white"/>
          <w:u w:val="none"/>
        </w:rPr>
        <w:t>105</w:t>
      </w:r>
      <w:r>
        <w:rPr>
          <w:rFonts w:hint="eastAsia" w:ascii="宋体" w:hAnsi="宋体" w:cs="宋体"/>
          <w:b/>
          <w:bCs/>
          <w:sz w:val="24"/>
          <w:highlight w:val="white"/>
          <w:u w:val="none"/>
        </w:rPr>
        <w:t>万元</w:t>
      </w:r>
      <w:r>
        <w:rPr>
          <w:rFonts w:hint="eastAsia" w:ascii="宋体" w:hAnsi="宋体" w:cs="宋体"/>
          <w:sz w:val="24"/>
          <w:highlight w:val="white"/>
        </w:rPr>
        <w:t>（采购项目预算金额）</w:t>
      </w:r>
      <w:r>
        <w:rPr>
          <w:rFonts w:hint="eastAsia" w:ascii="宋体" w:hAnsi="宋体" w:cs="宋体"/>
          <w:b/>
          <w:bCs/>
          <w:sz w:val="24"/>
          <w:highlight w:val="white"/>
        </w:rPr>
        <w:t>以上的报价；报价包含项目完成所需全部费用。采购人不再支付报价以外的任何费用。</w:t>
      </w:r>
    </w:p>
    <w:p w14:paraId="3621E359">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二、项目概况：</w:t>
      </w:r>
    </w:p>
    <w:p w14:paraId="4D1B9590">
      <w:pPr>
        <w:spacing w:line="360" w:lineRule="auto"/>
        <w:ind w:firstLine="424" w:firstLineChars="177"/>
        <w:rPr>
          <w:rStyle w:val="235"/>
          <w:rFonts w:ascii="宋体" w:hAnsi="宋体" w:cs="宋体"/>
          <w:sz w:val="24"/>
          <w:highlight w:val="white"/>
        </w:rPr>
      </w:pPr>
      <w:r>
        <w:rPr>
          <w:rStyle w:val="235"/>
          <w:rFonts w:hint="eastAsia" w:ascii="宋体" w:hAnsi="宋体" w:cs="宋体"/>
          <w:sz w:val="24"/>
          <w:highlight w:val="white"/>
        </w:rPr>
        <w:t>1.采购人：徐州市自然资源和规划局</w:t>
      </w:r>
    </w:p>
    <w:p w14:paraId="3645930C">
      <w:pPr>
        <w:spacing w:line="360" w:lineRule="auto"/>
        <w:ind w:firstLine="424" w:firstLineChars="177"/>
        <w:rPr>
          <w:rStyle w:val="235"/>
          <w:rFonts w:ascii="宋体" w:hAnsi="宋体" w:cs="宋体"/>
          <w:sz w:val="24"/>
          <w:highlight w:val="white"/>
        </w:rPr>
      </w:pPr>
      <w:r>
        <w:rPr>
          <w:rStyle w:val="235"/>
          <w:rFonts w:hint="eastAsia" w:ascii="宋体" w:hAnsi="宋体" w:cs="宋体"/>
          <w:sz w:val="24"/>
          <w:highlight w:val="white"/>
        </w:rPr>
        <w:t>2.项目名称：徐州市耕地保护和利用专项规划</w:t>
      </w:r>
    </w:p>
    <w:p w14:paraId="2627161E">
      <w:pPr>
        <w:spacing w:line="360" w:lineRule="auto"/>
        <w:ind w:firstLine="424" w:firstLineChars="177"/>
        <w:rPr>
          <w:rStyle w:val="235"/>
          <w:rFonts w:ascii="宋体" w:hAnsi="宋体" w:cs="宋体"/>
          <w:sz w:val="24"/>
          <w:highlight w:val="white"/>
        </w:rPr>
      </w:pPr>
      <w:r>
        <w:rPr>
          <w:rStyle w:val="235"/>
          <w:rFonts w:hint="eastAsia" w:ascii="宋体" w:hAnsi="宋体" w:cs="宋体"/>
          <w:sz w:val="24"/>
          <w:highlight w:val="white"/>
        </w:rPr>
        <w:t>3.项目地点：徐州市</w:t>
      </w:r>
    </w:p>
    <w:p w14:paraId="44883FCF">
      <w:pPr>
        <w:spacing w:line="360" w:lineRule="auto"/>
        <w:ind w:firstLine="424" w:firstLineChars="177"/>
        <w:rPr>
          <w:rStyle w:val="235"/>
          <w:rFonts w:ascii="宋体" w:hAnsi="宋体" w:cs="宋体"/>
          <w:sz w:val="24"/>
          <w:highlight w:val="white"/>
        </w:rPr>
      </w:pPr>
      <w:r>
        <w:rPr>
          <w:rStyle w:val="235"/>
          <w:rFonts w:hint="eastAsia" w:ascii="宋体" w:hAnsi="宋体" w:cs="宋体"/>
          <w:sz w:val="24"/>
          <w:highlight w:val="white"/>
        </w:rPr>
        <w:t>4.质量要求：成果应满足国家、省、市相关规范、标准及采购人要求，一次性通过采购人组织的专家组验收、审查。</w:t>
      </w:r>
    </w:p>
    <w:p w14:paraId="3A04C9E8">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三、项目详情：</w:t>
      </w:r>
    </w:p>
    <w:p w14:paraId="64C29DB9">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（一）项目背景</w:t>
      </w:r>
    </w:p>
    <w:p w14:paraId="1929B73F">
      <w:pPr>
        <w:spacing w:line="360" w:lineRule="auto"/>
        <w:ind w:firstLine="480" w:firstLineChars="200"/>
        <w:rPr>
          <w:rFonts w:ascii="宋体" w:hAnsi="宋体" w:cs="宋体"/>
          <w:sz w:val="24"/>
          <w:highlight w:val="white"/>
        </w:rPr>
      </w:pPr>
      <w:bookmarkStart w:id="39" w:name="OLE_LINK12"/>
      <w:r>
        <w:rPr>
          <w:rFonts w:hint="eastAsia" w:ascii="宋体" w:hAnsi="宋体" w:cs="宋体"/>
          <w:sz w:val="24"/>
          <w:highlight w:val="white"/>
        </w:rPr>
        <w:t>根据《中共中央办公厅 国务院办公厅关于加强耕地保护提升耕地质量完善占补平衡的意见》（中办发〔202</w:t>
      </w:r>
      <w:r>
        <w:rPr>
          <w:rFonts w:ascii="宋体" w:hAnsi="宋体" w:cs="宋体"/>
          <w:sz w:val="24"/>
          <w:highlight w:val="white"/>
        </w:rPr>
        <w:t>4</w:t>
      </w:r>
      <w:r>
        <w:rPr>
          <w:rFonts w:hint="eastAsia" w:ascii="宋体" w:hAnsi="宋体" w:cs="宋体"/>
          <w:sz w:val="24"/>
          <w:highlight w:val="white"/>
        </w:rPr>
        <w:t>〕</w:t>
      </w:r>
      <w:r>
        <w:rPr>
          <w:rFonts w:ascii="宋体" w:hAnsi="宋体" w:cs="宋体"/>
          <w:sz w:val="24"/>
          <w:highlight w:val="white"/>
        </w:rPr>
        <w:t>13</w:t>
      </w:r>
      <w:r>
        <w:rPr>
          <w:rFonts w:hint="eastAsia" w:ascii="宋体" w:hAnsi="宋体" w:cs="宋体"/>
          <w:sz w:val="24"/>
          <w:highlight w:val="white"/>
        </w:rPr>
        <w:t>号）、《自然资源部 农业农村部关于改革完善耕地占补平衡管理的通知》（自然资发〔202</w:t>
      </w:r>
      <w:r>
        <w:rPr>
          <w:rFonts w:ascii="宋体" w:hAnsi="宋体" w:cs="宋体"/>
          <w:sz w:val="24"/>
          <w:highlight w:val="white"/>
        </w:rPr>
        <w:t>4</w:t>
      </w:r>
      <w:r>
        <w:rPr>
          <w:rFonts w:hint="eastAsia" w:ascii="宋体" w:hAnsi="宋体" w:cs="宋体"/>
          <w:sz w:val="24"/>
          <w:highlight w:val="white"/>
        </w:rPr>
        <w:t>〕</w:t>
      </w:r>
      <w:r>
        <w:rPr>
          <w:rFonts w:ascii="宋体" w:hAnsi="宋体" w:cs="宋体"/>
          <w:sz w:val="24"/>
          <w:highlight w:val="white"/>
        </w:rPr>
        <w:t>204</w:t>
      </w:r>
      <w:r>
        <w:rPr>
          <w:rFonts w:hint="eastAsia" w:ascii="宋体" w:hAnsi="宋体" w:cs="宋体"/>
          <w:sz w:val="24"/>
          <w:highlight w:val="white"/>
        </w:rPr>
        <w:t>号)、《省委办公厅 省政府办公厅关于加强耕地保护提升耕地质量完善占补平衡的实施意见》（苏办发〔202</w:t>
      </w:r>
      <w:r>
        <w:rPr>
          <w:rFonts w:ascii="宋体" w:hAnsi="宋体" w:cs="宋体"/>
          <w:sz w:val="24"/>
          <w:highlight w:val="white"/>
        </w:rPr>
        <w:t>4</w:t>
      </w:r>
      <w:r>
        <w:rPr>
          <w:rFonts w:hint="eastAsia" w:ascii="宋体" w:hAnsi="宋体" w:cs="宋体"/>
          <w:sz w:val="24"/>
          <w:highlight w:val="white"/>
        </w:rPr>
        <w:t>〕</w:t>
      </w:r>
      <w:r>
        <w:rPr>
          <w:rFonts w:ascii="宋体" w:hAnsi="宋体" w:cs="宋体"/>
          <w:sz w:val="24"/>
          <w:highlight w:val="white"/>
        </w:rPr>
        <w:t>17</w:t>
      </w:r>
      <w:r>
        <w:rPr>
          <w:rFonts w:hint="eastAsia" w:ascii="宋体" w:hAnsi="宋体" w:cs="宋体"/>
          <w:sz w:val="24"/>
          <w:highlight w:val="white"/>
        </w:rPr>
        <w:t>号）、《</w:t>
      </w:r>
      <w:r>
        <w:rPr>
          <w:rFonts w:hint="eastAsia" w:ascii="宋体" w:hAnsi="宋体" w:cs="宋体"/>
          <w:sz w:val="24"/>
        </w:rPr>
        <w:t>江苏省自然资源厅关于开展耕地保护和利用专项规划编制工作的通知</w:t>
      </w:r>
      <w:r>
        <w:rPr>
          <w:rFonts w:hint="eastAsia" w:ascii="宋体" w:hAnsi="宋体" w:cs="宋体"/>
          <w:sz w:val="24"/>
          <w:highlight w:val="white"/>
        </w:rPr>
        <w:t>》等文件要求，开展</w:t>
      </w:r>
      <w:bookmarkStart w:id="40" w:name="OLE_LINK16"/>
      <w:r>
        <w:rPr>
          <w:rFonts w:hint="eastAsia" w:ascii="宋体" w:hAnsi="宋体" w:cs="宋体"/>
          <w:sz w:val="24"/>
          <w:highlight w:val="white"/>
        </w:rPr>
        <w:t>徐州市耕地保护和利用专项规划项目</w:t>
      </w:r>
      <w:bookmarkEnd w:id="40"/>
      <w:r>
        <w:rPr>
          <w:rFonts w:hint="eastAsia" w:ascii="宋体" w:hAnsi="宋体" w:cs="宋体"/>
          <w:sz w:val="24"/>
          <w:highlight w:val="white"/>
        </w:rPr>
        <w:t>。</w:t>
      </w:r>
    </w:p>
    <w:bookmarkEnd w:id="39"/>
    <w:p w14:paraId="7067BB15">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（二）</w:t>
      </w:r>
      <w:bookmarkStart w:id="41" w:name="_Hlk191999653"/>
      <w:r>
        <w:rPr>
          <w:rFonts w:hint="eastAsia" w:ascii="宋体" w:hAnsi="宋体" w:cs="宋体"/>
          <w:b/>
          <w:bCs/>
          <w:sz w:val="24"/>
          <w:highlight w:val="white"/>
        </w:rPr>
        <w:t>项目任务</w:t>
      </w:r>
    </w:p>
    <w:p w14:paraId="5681149B">
      <w:pPr>
        <w:spacing w:line="360" w:lineRule="auto"/>
        <w:ind w:firstLine="480" w:firstLineChars="200"/>
        <w:rPr>
          <w:rFonts w:ascii="宋体" w:hAnsi="宋体" w:cs="宋体"/>
          <w:sz w:val="24"/>
          <w:highlight w:val="white"/>
        </w:rPr>
      </w:pPr>
      <w:r>
        <w:rPr>
          <w:rFonts w:hint="eastAsia" w:ascii="宋体" w:hAnsi="宋体" w:cs="宋体"/>
          <w:sz w:val="24"/>
          <w:highlight w:val="white"/>
        </w:rPr>
        <w:t>1.全面厘清耕地资源基础。依据国土“三调”数据，结合2024年国土变更调查成果，分析徐州市耕地总量变化与流向情况，理清现状耕地、长期稳定利用耕地、耕地保护目标、永久基本农田、永久基本农田储备区等耕地资源基础。借助最新遥感影像、航片等数据，起底现状地类为耕地、但实际为非耕地特征的存量问题，为编制规划奠定基础。</w:t>
      </w:r>
    </w:p>
    <w:p w14:paraId="31006171">
      <w:pPr>
        <w:spacing w:line="360" w:lineRule="auto"/>
        <w:ind w:firstLine="480" w:firstLineChars="200"/>
        <w:rPr>
          <w:rFonts w:ascii="宋体" w:hAnsi="宋体" w:cs="宋体"/>
          <w:sz w:val="24"/>
          <w:highlight w:val="white"/>
        </w:rPr>
      </w:pPr>
      <w:r>
        <w:rPr>
          <w:rFonts w:hint="eastAsia" w:ascii="宋体" w:hAnsi="宋体" w:cs="宋体"/>
          <w:sz w:val="24"/>
          <w:highlight w:val="white"/>
        </w:rPr>
        <w:t>2.扎实摸排耕地恢复潜力。以2024年度国土变更调查成果为基础，按照“恢复优质耕地为主、新开垦耕地为辅”的原则，采取内业图上比对与外业实地调研相结合的方式，兼顾农业生产周期、恢复成本及农民恢复耕地意愿，综合考虑土壤、水资源状况等农业生产条件，扎实摸排耕地恢复潜力，明确潜力分布范围。</w:t>
      </w:r>
    </w:p>
    <w:p w14:paraId="76A6EB70">
      <w:pPr>
        <w:spacing w:line="360" w:lineRule="auto"/>
        <w:ind w:firstLine="480" w:firstLineChars="200"/>
        <w:rPr>
          <w:rFonts w:ascii="宋体" w:hAnsi="宋体" w:cs="宋体"/>
          <w:sz w:val="24"/>
          <w:highlight w:val="white"/>
        </w:rPr>
      </w:pPr>
      <w:r>
        <w:rPr>
          <w:rFonts w:hint="eastAsia" w:ascii="宋体" w:hAnsi="宋体" w:cs="宋体"/>
          <w:sz w:val="24"/>
          <w:highlight w:val="white"/>
        </w:rPr>
        <w:t>3.综合确定主要规划目标。综合分析徐州市规划期内农业、生态、城镇等占用耕地需求以及永久基本农田调整补划要求，参照近年来国土变更调查成果反映的耕地流出情况，在落实国土空间规划确定的耕地保有量和永久基本农田保护任务前提下，明确稳定利用耕地总量、耕地恢复补充计划、水田面积、永久基本农田储备区等规划目标。</w:t>
      </w:r>
    </w:p>
    <w:p w14:paraId="7CA31B26">
      <w:pPr>
        <w:spacing w:line="360" w:lineRule="auto"/>
        <w:ind w:firstLine="480" w:firstLineChars="200"/>
        <w:rPr>
          <w:rFonts w:ascii="宋体" w:hAnsi="宋体" w:cs="宋体"/>
          <w:sz w:val="24"/>
          <w:highlight w:val="white"/>
        </w:rPr>
      </w:pPr>
      <w:r>
        <w:rPr>
          <w:rFonts w:hint="eastAsia" w:ascii="宋体" w:hAnsi="宋体" w:cs="宋体"/>
          <w:sz w:val="24"/>
          <w:highlight w:val="white"/>
        </w:rPr>
        <w:t>4.合理优化耕地空间布局。立足本地区自然资源禀赋、农业生产空间和耕地资源本底，明确耕地保护总体空间格局，划定耕地保护重点区域。统筹耕地和林地、草地等其他农用地保护，合理解决耕地不稳定利用、零散破碎，以及与建设发展、生态保护矛盾冲突问题，促进耕地和永久基本农田集中连片保护。</w:t>
      </w:r>
    </w:p>
    <w:p w14:paraId="18557D90">
      <w:pPr>
        <w:spacing w:line="360" w:lineRule="auto"/>
        <w:ind w:firstLine="480" w:firstLineChars="200"/>
        <w:rPr>
          <w:rFonts w:ascii="宋体" w:hAnsi="宋体" w:cs="宋体"/>
          <w:sz w:val="24"/>
          <w:highlight w:val="white"/>
        </w:rPr>
      </w:pPr>
      <w:r>
        <w:rPr>
          <w:rFonts w:hint="eastAsia" w:ascii="宋体" w:hAnsi="宋体" w:cs="宋体"/>
          <w:sz w:val="24"/>
          <w:highlight w:val="white"/>
        </w:rPr>
        <w:t>5.积极谋划重大工程项目。结合全域土地综合整治、高标准农田建设、耕地恢复补充、“山水工程”等重大工作部署，提出重大工程项目计划，打造耕地保护亮点工程。以重大工程项目为抓手，以点带面，久久为功，建设一批“百亩方、千亩方、万亩方”耕地与永久基本农田集中连片保护区。</w:t>
      </w:r>
    </w:p>
    <w:p w14:paraId="22BEC16D">
      <w:pPr>
        <w:spacing w:line="360" w:lineRule="auto"/>
        <w:ind w:firstLine="480" w:firstLineChars="200"/>
        <w:rPr>
          <w:rFonts w:ascii="宋体" w:hAnsi="宋体" w:cs="宋体"/>
          <w:sz w:val="24"/>
          <w:highlight w:val="white"/>
        </w:rPr>
      </w:pPr>
      <w:r>
        <w:rPr>
          <w:rFonts w:hint="eastAsia" w:ascii="宋体" w:hAnsi="宋体" w:cs="宋体"/>
          <w:sz w:val="24"/>
          <w:highlight w:val="white"/>
        </w:rPr>
        <w:t>6.明确规划时序安排。规划期限与国土空间规划的主要节点保持一致，规划期为 2021-2035年，近期至2027年，目标年为2035年。结合不同时期耕地保护面临形势，提出到2027年、2035 年分阶段的耕地保护任务安排、分步实施的重点区域，确保主要规划目标落实到位。</w:t>
      </w:r>
    </w:p>
    <w:p w14:paraId="0B0F2A59">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（三）技术依据</w:t>
      </w:r>
    </w:p>
    <w:p w14:paraId="5FD85133">
      <w:pPr>
        <w:spacing w:line="360" w:lineRule="auto"/>
        <w:ind w:firstLine="480" w:firstLineChars="200"/>
        <w:rPr>
          <w:rFonts w:ascii="宋体" w:hAnsi="宋体" w:cs="宋体"/>
          <w:sz w:val="24"/>
          <w:highlight w:val="white"/>
        </w:rPr>
      </w:pPr>
      <w:r>
        <w:rPr>
          <w:rFonts w:hint="eastAsia" w:ascii="宋体" w:hAnsi="宋体" w:cs="宋体"/>
          <w:sz w:val="24"/>
          <w:highlight w:val="white"/>
        </w:rPr>
        <w:t>为保证本项目实施的科学性、规范性和准确性，规划编制需要严格遵照国家有关法律、法规、规章制度以及国家和行业颁布的相关技术标准和规范。</w:t>
      </w:r>
    </w:p>
    <w:p w14:paraId="08B00C90">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（四）投标报价内容</w:t>
      </w:r>
    </w:p>
    <w:p w14:paraId="64DEAD87">
      <w:pPr>
        <w:spacing w:line="360" w:lineRule="auto"/>
        <w:ind w:firstLine="480" w:firstLineChars="200"/>
        <w:rPr>
          <w:rFonts w:ascii="宋体" w:hAnsi="宋体" w:cs="宋体"/>
          <w:sz w:val="24"/>
          <w:highlight w:val="white"/>
        </w:rPr>
      </w:pPr>
      <w:r>
        <w:rPr>
          <w:rFonts w:hint="eastAsia" w:ascii="宋体" w:hAnsi="宋体" w:cs="宋体"/>
          <w:sz w:val="24"/>
          <w:highlight w:val="white"/>
        </w:rPr>
        <w:t>响应报价应包括招标文件中所确定的招标范围内所含全部内容，以及为完成上述内容所需的全部费用。</w:t>
      </w:r>
    </w:p>
    <w:p w14:paraId="4DB3FD3E">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（五）项目工期要求</w:t>
      </w:r>
    </w:p>
    <w:p w14:paraId="0D070E44">
      <w:pPr>
        <w:spacing w:line="360" w:lineRule="auto"/>
        <w:ind w:firstLine="480" w:firstLineChars="200"/>
        <w:rPr>
          <w:rFonts w:ascii="宋体" w:hAnsi="宋体" w:cs="宋体"/>
          <w:sz w:val="24"/>
          <w:highlight w:val="white"/>
        </w:rPr>
      </w:pPr>
      <w:r>
        <w:rPr>
          <w:rFonts w:hint="eastAsia" w:ascii="宋体" w:hAnsi="宋体" w:cs="宋体"/>
          <w:sz w:val="24"/>
          <w:highlight w:val="white"/>
        </w:rPr>
        <w:t>2025年9月30日前完成规划编制。在规划批准后30个工作日内报省自然资源厅备案，按程序纳入国土空间规划一张图。</w:t>
      </w:r>
    </w:p>
    <w:p w14:paraId="62BAF8E7">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四、服务要求</w:t>
      </w:r>
    </w:p>
    <w:p w14:paraId="39EBAA95">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（一）项目团队要求</w:t>
      </w:r>
    </w:p>
    <w:p w14:paraId="20FBE8DA">
      <w:pPr>
        <w:spacing w:line="360" w:lineRule="auto"/>
        <w:ind w:firstLine="480" w:firstLineChars="200"/>
        <w:rPr>
          <w:rFonts w:ascii="宋体" w:hAnsi="宋体" w:cs="宋体"/>
          <w:sz w:val="24"/>
          <w:highlight w:val="white"/>
        </w:rPr>
      </w:pPr>
      <w:r>
        <w:rPr>
          <w:rFonts w:hint="eastAsia" w:ascii="宋体" w:hAnsi="宋体" w:cs="宋体"/>
          <w:sz w:val="24"/>
          <w:highlight w:val="white"/>
        </w:rPr>
        <w:t>1.本项目要求组织一支由资深项目经理带领的经验丰富、技术能力强的项目团队，并确保项目实施全过程项目团队的稳定性。技术人员需熟练掌握项目调查、规划编制相关工作流程、常用工具及软件操作，能够及时发现项目实施过程中出现的问题并及时整改，确保本次项目顺利开展。</w:t>
      </w:r>
    </w:p>
    <w:p w14:paraId="7B20BB0C">
      <w:pPr>
        <w:spacing w:line="360" w:lineRule="auto"/>
        <w:ind w:firstLine="480" w:firstLineChars="200"/>
        <w:rPr>
          <w:rFonts w:ascii="宋体" w:hAnsi="宋体" w:cs="宋体"/>
          <w:sz w:val="24"/>
          <w:highlight w:val="white"/>
        </w:rPr>
      </w:pPr>
      <w:r>
        <w:rPr>
          <w:rFonts w:hint="eastAsia" w:ascii="宋体" w:hAnsi="宋体" w:cs="宋体"/>
          <w:sz w:val="24"/>
          <w:highlight w:val="white"/>
        </w:rPr>
        <w:t>2.在项目实施过程中，要对项目人员及项目建设工作严格管理，项目实施负责人必须参加由采购人召开的项目推进会，按时汇报工作进度、问题及下阶段工作计划，确保按时完成项目工作。</w:t>
      </w:r>
    </w:p>
    <w:p w14:paraId="31B4C2FB">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（二）安全保密要求</w:t>
      </w:r>
    </w:p>
    <w:p w14:paraId="7EA8E854">
      <w:pPr>
        <w:spacing w:line="360" w:lineRule="auto"/>
        <w:ind w:firstLine="480" w:firstLineChars="200"/>
        <w:rPr>
          <w:rFonts w:ascii="宋体" w:hAnsi="宋体" w:cs="宋体"/>
          <w:sz w:val="24"/>
          <w:highlight w:val="white"/>
        </w:rPr>
      </w:pPr>
      <w:r>
        <w:rPr>
          <w:rFonts w:hint="eastAsia" w:ascii="宋体" w:hAnsi="宋体" w:cs="宋体"/>
          <w:sz w:val="24"/>
          <w:highlight w:val="white"/>
        </w:rPr>
        <w:t>1.项目实施必须符合国家、江苏省、徐州市和徐州市自然资源和规划局系统安全相关管理规定，遵守数据资料保密要求。此约定不因项目的结束而终止，一直有效。</w:t>
      </w:r>
    </w:p>
    <w:p w14:paraId="30E5D3DB">
      <w:pPr>
        <w:spacing w:line="360" w:lineRule="auto"/>
        <w:ind w:firstLine="480" w:firstLineChars="200"/>
        <w:rPr>
          <w:rFonts w:ascii="宋体" w:hAnsi="宋体" w:cs="宋体"/>
          <w:sz w:val="24"/>
          <w:highlight w:val="white"/>
        </w:rPr>
      </w:pPr>
      <w:r>
        <w:rPr>
          <w:rFonts w:hint="eastAsia" w:ascii="宋体" w:hAnsi="宋体" w:cs="宋体"/>
          <w:sz w:val="24"/>
          <w:highlight w:val="white"/>
        </w:rPr>
        <w:t>2.项目实施单位必须</w:t>
      </w:r>
      <w:r>
        <w:rPr>
          <w:rFonts w:ascii="宋体" w:hAnsi="宋体" w:cs="宋体"/>
          <w:sz w:val="24"/>
          <w:highlight w:val="white"/>
        </w:rPr>
        <w:t>建立严格的保密制度</w:t>
      </w:r>
      <w:r>
        <w:rPr>
          <w:rFonts w:hint="eastAsia" w:ascii="宋体" w:hAnsi="宋体" w:cs="宋体"/>
          <w:sz w:val="24"/>
          <w:highlight w:val="white"/>
        </w:rPr>
        <w:t>和有资质的保密人员</w:t>
      </w:r>
      <w:r>
        <w:rPr>
          <w:rFonts w:ascii="宋体" w:hAnsi="宋体" w:cs="宋体"/>
          <w:sz w:val="24"/>
          <w:highlight w:val="white"/>
        </w:rPr>
        <w:t>，并加强对工作人员的保密管理及保密知识教育。在项目实施过程中，必须严守保密规定，未经同意，不得将信息数据向任何无关单位和个人提供和泄露</w:t>
      </w:r>
      <w:r>
        <w:rPr>
          <w:rFonts w:hint="eastAsia" w:ascii="宋体" w:hAnsi="宋体" w:cs="宋体"/>
          <w:sz w:val="24"/>
          <w:highlight w:val="white"/>
        </w:rPr>
        <w:t>。</w:t>
      </w:r>
    </w:p>
    <w:p w14:paraId="7BFD3D6A">
      <w:pPr>
        <w:spacing w:line="360" w:lineRule="auto"/>
        <w:ind w:firstLine="480" w:firstLineChars="200"/>
        <w:rPr>
          <w:rFonts w:ascii="宋体" w:hAnsi="宋体" w:cs="宋体"/>
          <w:sz w:val="24"/>
          <w:highlight w:val="white"/>
        </w:rPr>
      </w:pPr>
      <w:r>
        <w:rPr>
          <w:rFonts w:hint="eastAsia" w:ascii="宋体" w:hAnsi="宋体" w:cs="宋体"/>
          <w:sz w:val="24"/>
          <w:highlight w:val="white"/>
        </w:rPr>
        <w:t>3.项目验收时，实施单位提交成果数据后应承诺销毁所有过程数据和最终成果，不得用于其他项目。</w:t>
      </w:r>
    </w:p>
    <w:p w14:paraId="3D2A08F0">
      <w:pPr>
        <w:spacing w:line="360" w:lineRule="auto"/>
        <w:ind w:firstLine="480" w:firstLineChars="200"/>
        <w:rPr>
          <w:rFonts w:ascii="宋体" w:hAnsi="宋体" w:cs="宋体"/>
          <w:sz w:val="24"/>
          <w:highlight w:val="white"/>
        </w:rPr>
      </w:pPr>
      <w:r>
        <w:rPr>
          <w:rFonts w:hint="eastAsia" w:ascii="宋体" w:hAnsi="宋体" w:cs="宋体"/>
          <w:sz w:val="24"/>
          <w:highlight w:val="white"/>
        </w:rPr>
        <w:t>4.项目实施单位必须</w:t>
      </w:r>
      <w:r>
        <w:rPr>
          <w:rFonts w:ascii="宋体" w:hAnsi="宋体" w:cs="宋体"/>
          <w:sz w:val="24"/>
          <w:highlight w:val="white"/>
        </w:rPr>
        <w:t>严格按规定的时间完成项目的全部工作内容，如在实施的过程中出现错误</w:t>
      </w:r>
      <w:r>
        <w:rPr>
          <w:rFonts w:hint="eastAsia" w:ascii="宋体" w:hAnsi="宋体" w:cs="宋体"/>
          <w:sz w:val="24"/>
          <w:highlight w:val="white"/>
        </w:rPr>
        <w:t>、</w:t>
      </w:r>
      <w:r>
        <w:rPr>
          <w:rFonts w:ascii="宋体" w:hAnsi="宋体" w:cs="宋体"/>
          <w:sz w:val="24"/>
          <w:highlight w:val="white"/>
        </w:rPr>
        <w:t>误差，需负责及时更正直至</w:t>
      </w:r>
      <w:r>
        <w:rPr>
          <w:rFonts w:hint="eastAsia" w:ascii="宋体" w:hAnsi="宋体" w:cs="宋体"/>
          <w:sz w:val="24"/>
          <w:highlight w:val="white"/>
        </w:rPr>
        <w:t>项目审核通过</w:t>
      </w:r>
      <w:r>
        <w:rPr>
          <w:rFonts w:ascii="宋体" w:hAnsi="宋体" w:cs="宋体"/>
          <w:sz w:val="24"/>
          <w:highlight w:val="white"/>
        </w:rPr>
        <w:t>。</w:t>
      </w:r>
    </w:p>
    <w:bookmarkEnd w:id="41"/>
    <w:p w14:paraId="10A5BBBA">
      <w:pPr>
        <w:spacing w:line="360" w:lineRule="auto"/>
        <w:ind w:firstLine="482" w:firstLineChars="200"/>
        <w:outlineLvl w:val="0"/>
        <w:rPr>
          <w:rFonts w:ascii="宋体" w:hAnsi="宋体" w:cs="宋体"/>
          <w:b/>
          <w:bCs/>
          <w:sz w:val="24"/>
          <w:highlight w:val="white"/>
        </w:rPr>
      </w:pPr>
      <w:r>
        <w:rPr>
          <w:rFonts w:hint="eastAsia" w:ascii="宋体" w:hAnsi="宋体" w:cs="宋体"/>
          <w:b/>
          <w:bCs/>
          <w:sz w:val="24"/>
          <w:highlight w:val="white"/>
        </w:rPr>
        <w:t>（三）质量要求</w:t>
      </w:r>
    </w:p>
    <w:p w14:paraId="6A496D78">
      <w:pPr>
        <w:pageBreakBefore w:val="0"/>
        <w:widowControl/>
        <w:kinsoku/>
        <w:wordWrap/>
        <w:overflowPunct/>
        <w:topLinePunct w:val="0"/>
        <w:autoSpaceDE/>
        <w:autoSpaceDN/>
        <w:bidi w:val="0"/>
        <w:adjustRightInd/>
        <w:snapToGrid/>
        <w:spacing w:beforeAutospacing="0" w:afterAutospacing="0" w:line="360" w:lineRule="auto"/>
        <w:ind w:left="0" w:right="0" w:firstLine="480" w:firstLineChars="200"/>
        <w:jc w:val="left"/>
        <w:textAlignment w:val="auto"/>
        <w:rPr>
          <w:rFonts w:hint="eastAsia" w:ascii="宋体" w:hAnsi="宋体" w:cs="宋体"/>
          <w:sz w:val="24"/>
        </w:rPr>
      </w:pPr>
      <w:r>
        <w:rPr>
          <w:rFonts w:hint="eastAsia" w:ascii="宋体" w:hAnsi="宋体" w:cs="宋体"/>
          <w:sz w:val="24"/>
        </w:rPr>
        <w:t>成果应满足国家、省、市相关规范、标准及采购人要求，一次性通过采购人组织的专家组验收、审查。</w:t>
      </w:r>
    </w:p>
    <w:p w14:paraId="208EEF2C">
      <w:pPr>
        <w:spacing w:line="360" w:lineRule="auto"/>
        <w:ind w:firstLine="482" w:firstLineChars="200"/>
        <w:outlineLvl w:val="0"/>
        <w:rPr>
          <w:rFonts w:hint="eastAsia" w:ascii="宋体" w:hAnsi="宋体" w:eastAsia="宋体" w:cs="宋体"/>
          <w:b/>
          <w:bCs/>
          <w:sz w:val="24"/>
          <w:highlight w:val="white"/>
          <w:lang w:val="en-US" w:eastAsia="zh-CN"/>
        </w:rPr>
      </w:pPr>
      <w:r>
        <w:rPr>
          <w:rFonts w:hint="eastAsia" w:ascii="宋体" w:hAnsi="宋体" w:eastAsia="宋体" w:cs="宋体"/>
          <w:b/>
          <w:bCs/>
          <w:sz w:val="24"/>
          <w:highlight w:val="white"/>
          <w:lang w:val="en-US" w:eastAsia="zh-CN"/>
        </w:rPr>
        <w:t>五、其他要求</w:t>
      </w:r>
    </w:p>
    <w:p w14:paraId="19D7C61C">
      <w:pPr>
        <w:pageBreakBefore w:val="0"/>
        <w:widowControl/>
        <w:numPr>
          <w:ilvl w:val="0"/>
          <w:numId w:val="0"/>
        </w:numPr>
        <w:kinsoku/>
        <w:wordWrap/>
        <w:overflowPunct/>
        <w:topLinePunct w:val="0"/>
        <w:autoSpaceDE/>
        <w:autoSpaceDN/>
        <w:bidi w:val="0"/>
        <w:adjustRightInd/>
        <w:snapToGrid/>
        <w:spacing w:beforeAutospacing="0" w:afterAutospacing="0" w:line="360" w:lineRule="auto"/>
        <w:ind w:leftChars="200" w:right="0" w:rightChars="0"/>
        <w:jc w:val="left"/>
        <w:textAlignment w:val="auto"/>
        <w:rPr>
          <w:rFonts w:hint="default" w:ascii="Times New Roman" w:hAnsi="Times New Roman" w:eastAsia="仿宋" w:cs="Times New Roman"/>
          <w:sz w:val="28"/>
          <w:szCs w:val="28"/>
          <w:highlight w:val="none"/>
        </w:rPr>
      </w:pPr>
      <w:r>
        <w:rPr>
          <w:rFonts w:hint="eastAsia" w:ascii="宋体" w:hAnsi="宋体" w:cs="宋体"/>
          <w:sz w:val="24"/>
          <w:szCs w:val="24"/>
          <w:highlight w:val="none"/>
          <w:lang w:val="en-US" w:eastAsia="zh-CN"/>
        </w:rPr>
        <w:t>要求</w:t>
      </w:r>
      <w:r>
        <w:rPr>
          <w:rFonts w:hint="eastAsia" w:ascii="宋体" w:hAnsi="宋体" w:eastAsia="宋体" w:cs="宋体"/>
          <w:sz w:val="24"/>
          <w:szCs w:val="24"/>
          <w:highlight w:val="none"/>
          <w:lang w:val="en-US" w:eastAsia="zh-CN"/>
        </w:rPr>
        <w:t>详</w:t>
      </w:r>
      <w:r>
        <w:rPr>
          <w:rFonts w:hint="eastAsia" w:ascii="宋体" w:hAnsi="宋体" w:eastAsia="宋体" w:cs="宋体"/>
          <w:sz w:val="24"/>
          <w:szCs w:val="24"/>
          <w:highlight w:val="none"/>
        </w:rPr>
        <w:t>见招标文件《拟签订的合同文本》</w:t>
      </w:r>
      <w:r>
        <w:rPr>
          <w:rFonts w:hint="eastAsia" w:ascii="宋体" w:hAnsi="宋体" w:eastAsia="宋体" w:cs="宋体"/>
          <w:sz w:val="24"/>
          <w:szCs w:val="24"/>
          <w:highlight w:val="none"/>
          <w:lang w:eastAsia="zh-CN"/>
        </w:rPr>
        <w:t>。</w:t>
      </w:r>
    </w:p>
    <w:p w14:paraId="55715190">
      <w:pPr>
        <w:keepNext w:val="0"/>
        <w:keepLines w:val="0"/>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sz w:val="24"/>
          <w:szCs w:val="24"/>
          <w:highlight w:val="none"/>
        </w:rPr>
      </w:pPr>
    </w:p>
    <w:p w14:paraId="44DD9209">
      <w:pPr>
        <w:pageBreakBefore w:val="0"/>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hint="eastAsia" w:ascii="仿宋" w:hAnsi="仿宋" w:eastAsia="仿宋"/>
          <w:color w:val="auto"/>
          <w:sz w:val="30"/>
          <w:szCs w:val="30"/>
          <w:highlight w:val="none"/>
        </w:rPr>
      </w:pPr>
      <w:bookmarkStart w:id="42" w:name="_Toc522790136"/>
      <w:bookmarkEnd w:id="42"/>
      <w:r>
        <w:rPr>
          <w:rFonts w:hint="eastAsia" w:ascii="仿宋" w:hAnsi="仿宋" w:eastAsia="仿宋"/>
          <w:color w:val="auto"/>
          <w:sz w:val="30"/>
          <w:szCs w:val="30"/>
          <w:highlight w:val="none"/>
        </w:rPr>
        <w:br w:type="page" w:clear="all"/>
      </w:r>
      <w:bookmarkStart w:id="43" w:name="_Toc8772"/>
      <w:r>
        <w:rPr>
          <w:rStyle w:val="209"/>
          <w:rFonts w:hint="eastAsia"/>
          <w:color w:val="auto"/>
          <w:highlight w:val="none"/>
        </w:rPr>
        <w:t>第七章  投标文件相关格式</w:t>
      </w:r>
      <w:bookmarkEnd w:id="43"/>
    </w:p>
    <w:p w14:paraId="4A844556">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ascii="宋体" w:hAnsi="宋体"/>
          <w:color w:val="auto"/>
          <w:sz w:val="24"/>
          <w:highlight w:val="none"/>
        </w:rPr>
      </w:pPr>
    </w:p>
    <w:p w14:paraId="4C30566D">
      <w:pPr>
        <w:pageBreakBefore w:val="0"/>
        <w:kinsoku/>
        <w:wordWrap/>
        <w:overflowPunct/>
        <w:topLinePunct w:val="0"/>
        <w:autoSpaceDE/>
        <w:autoSpaceDN/>
        <w:bidi w:val="0"/>
        <w:adjustRightInd/>
        <w:snapToGrid/>
        <w:spacing w:beforeAutospacing="0" w:afterAutospacing="0" w:line="440" w:lineRule="exact"/>
        <w:ind w:left="0" w:right="0" w:firstLine="640" w:firstLineChars="200"/>
        <w:jc w:val="center"/>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t>一、投标函格式</w:t>
      </w:r>
    </w:p>
    <w:p w14:paraId="2F79B819">
      <w:pPr>
        <w:pageBreakBefore w:val="0"/>
        <w:kinsoku/>
        <w:wordWrap/>
        <w:overflowPunct/>
        <w:topLinePunct w:val="0"/>
        <w:autoSpaceDE/>
        <w:autoSpaceDN/>
        <w:bidi w:val="0"/>
        <w:adjustRightInd/>
        <w:snapToGrid/>
        <w:spacing w:beforeAutospacing="0" w:afterAutospacing="0" w:line="440" w:lineRule="exact"/>
        <w:ind w:right="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致：</w:t>
      </w:r>
      <w:r>
        <w:rPr>
          <w:rFonts w:hint="eastAsia" w:ascii="宋体" w:hAnsi="宋体" w:eastAsia="宋体" w:cs="宋体"/>
          <w:color w:val="auto"/>
          <w:sz w:val="24"/>
          <w:szCs w:val="24"/>
          <w:highlight w:val="none"/>
          <w:u w:val="single"/>
        </w:rPr>
        <w:t xml:space="preserve"> </w:t>
      </w:r>
      <w:r>
        <w:rPr>
          <w:rFonts w:hint="eastAsia" w:ascii="宋体" w:hAnsi="宋体" w:cs="宋体"/>
          <w:color w:val="auto"/>
          <w:sz w:val="24"/>
          <w:szCs w:val="24"/>
          <w:highlight w:val="none"/>
          <w:u w:val="single"/>
          <w:lang w:eastAsia="zh-CN"/>
        </w:rPr>
        <w:t>江苏华铭工程管理咨询有限公司</w:t>
      </w:r>
    </w:p>
    <w:p w14:paraId="7D105A7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1E3F2CB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根据</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项目[项目编号：</w:t>
      </w:r>
      <w:r>
        <w:rPr>
          <w:rFonts w:hint="eastAsia" w:ascii="宋体" w:hAnsi="宋体" w:cs="宋体"/>
          <w:color w:val="auto"/>
          <w:sz w:val="24"/>
          <w:szCs w:val="24"/>
          <w:highlight w:val="none"/>
          <w:lang w:eastAsia="zh-CN"/>
        </w:rPr>
        <w:t>JSZC-320300-HMGL-G2025-0002</w:t>
      </w:r>
      <w:r>
        <w:rPr>
          <w:rFonts w:hint="eastAsia" w:ascii="宋体" w:hAnsi="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 xml:space="preserve">]招标文件， </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(姓名)代表我方</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（投标人的名称）全权处理本次投标的有关事宜。</w:t>
      </w:r>
    </w:p>
    <w:p w14:paraId="30B39FEB">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据此函，投标人承诺并同意如下： </w:t>
      </w:r>
    </w:p>
    <w:p w14:paraId="19FE238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 投标人唯一投标报价见《开标一览表》。</w:t>
      </w:r>
    </w:p>
    <w:p w14:paraId="00231EE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 投标人将按招标文件的规定履行合同责任和义务。</w:t>
      </w:r>
    </w:p>
    <w:p w14:paraId="2F096872">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 投标人已详细审查全部招标文件，包括第[插入编号] [补遗书][如果有的话]。投标人完全理解并同意放弃对这方面有不明及误解的权力。</w:t>
      </w:r>
    </w:p>
    <w:p w14:paraId="2348D41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 投标有效期为开标之日后90天。</w:t>
      </w:r>
    </w:p>
    <w:p w14:paraId="257702A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5. 投标人同意提供按照贵方可能要求的与其投标有关的一切数据或资料，完全理解贵方不一定接受最低价的投标或收到的任何投标。</w:t>
      </w:r>
    </w:p>
    <w:p w14:paraId="1226A0A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6. 投标人同意在授予合同后，按照有关规定支付公证费(如有)。</w:t>
      </w:r>
    </w:p>
    <w:p w14:paraId="4A0DC70F">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7. </w:t>
      </w:r>
      <w:r>
        <w:rPr>
          <w:rFonts w:hint="eastAsia" w:ascii="宋体" w:hAnsi="宋体" w:cs="宋体"/>
          <w:color w:val="auto"/>
          <w:sz w:val="24"/>
          <w:szCs w:val="24"/>
          <w:highlight w:val="none"/>
          <w:lang w:eastAsia="zh-CN"/>
        </w:rPr>
        <w:t>江苏华铭工程管理咨询有限公司</w:t>
      </w:r>
      <w:r>
        <w:rPr>
          <w:rFonts w:hint="eastAsia" w:ascii="宋体" w:hAnsi="宋体" w:eastAsia="宋体" w:cs="宋体"/>
          <w:color w:val="auto"/>
          <w:sz w:val="24"/>
          <w:szCs w:val="24"/>
          <w:highlight w:val="none"/>
        </w:rPr>
        <w:t>有权将我单位本项目的《开标一览表》和《分项价格表》予以公示，公示的方式由</w:t>
      </w:r>
      <w:r>
        <w:rPr>
          <w:rFonts w:hint="eastAsia" w:ascii="宋体" w:hAnsi="宋体" w:cs="宋体"/>
          <w:color w:val="auto"/>
          <w:sz w:val="24"/>
          <w:szCs w:val="24"/>
          <w:highlight w:val="none"/>
          <w:lang w:eastAsia="zh-CN"/>
        </w:rPr>
        <w:t>江苏华铭工程管理咨询有限公司</w:t>
      </w:r>
      <w:r>
        <w:rPr>
          <w:rFonts w:hint="eastAsia" w:ascii="宋体" w:hAnsi="宋体" w:eastAsia="宋体" w:cs="宋体"/>
          <w:color w:val="auto"/>
          <w:sz w:val="24"/>
          <w:szCs w:val="24"/>
          <w:highlight w:val="none"/>
        </w:rPr>
        <w:t>确定。</w:t>
      </w:r>
    </w:p>
    <w:p w14:paraId="36F5965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8. 采购人有权对投标人投标文件的真实性进行核实，如投标人不能在采购人规定的时间内向采购人提供有效的证明文件，将被采购人认定为具有《中华人民共和国政府采购法》第七十七条所规定的“提供虚假材料谋取中标、成交的”情形，并承担相应的法律责任。</w:t>
      </w:r>
    </w:p>
    <w:p w14:paraId="0E35C3D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9. 与本投标有关的一切正式往来信函请寄：</w:t>
      </w:r>
    </w:p>
    <w:p w14:paraId="62A0D06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地址： </w:t>
      </w:r>
    </w:p>
    <w:p w14:paraId="131DB110">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电话： </w:t>
      </w:r>
    </w:p>
    <w:p w14:paraId="600B592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传真： </w:t>
      </w:r>
    </w:p>
    <w:p w14:paraId="75D94757">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6C5805A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（盖单位电子签章）</w:t>
      </w:r>
    </w:p>
    <w:p w14:paraId="65EAA92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F91B1F0">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黑体" w:hAnsi="黑体" w:eastAsia="黑体"/>
          <w:color w:val="auto"/>
          <w:sz w:val="32"/>
          <w:szCs w:val="32"/>
          <w:highlight w:val="none"/>
        </w:rPr>
      </w:pPr>
      <w:r>
        <w:rPr>
          <w:rFonts w:hint="eastAsia" w:ascii="宋体" w:hAnsi="宋体" w:eastAsia="宋体" w:cs="宋体"/>
          <w:color w:val="auto"/>
          <w:sz w:val="24"/>
          <w:szCs w:val="24"/>
          <w:highlight w:val="none"/>
        </w:rPr>
        <w:t>日期：   年  月  日</w:t>
      </w:r>
    </w:p>
    <w:p w14:paraId="47FE5012">
      <w:pPr>
        <w:pageBreakBefore w:val="0"/>
        <w:kinsoku/>
        <w:wordWrap/>
        <w:overflowPunct/>
        <w:topLinePunct w:val="0"/>
        <w:autoSpaceDE/>
        <w:autoSpaceDN/>
        <w:bidi w:val="0"/>
        <w:adjustRightInd/>
        <w:snapToGrid/>
        <w:spacing w:beforeAutospacing="0" w:afterAutospacing="0" w:line="440" w:lineRule="exact"/>
        <w:ind w:left="0" w:right="0" w:firstLine="640" w:firstLineChars="200"/>
        <w:jc w:val="center"/>
        <w:textAlignment w:val="auto"/>
        <w:rPr>
          <w:rFonts w:hint="eastAsia" w:ascii="黑体" w:hAnsi="黑体" w:eastAsia="黑体"/>
          <w:color w:val="auto"/>
          <w:sz w:val="32"/>
          <w:szCs w:val="32"/>
          <w:highlight w:val="none"/>
        </w:rPr>
      </w:pPr>
      <w:r>
        <w:rPr>
          <w:rFonts w:hint="eastAsia" w:ascii="黑体" w:hAnsi="黑体" w:eastAsia="黑体"/>
          <w:color w:val="auto"/>
          <w:sz w:val="32"/>
          <w:szCs w:val="32"/>
          <w:highlight w:val="none"/>
        </w:rPr>
        <w:br w:type="page" w:clear="all"/>
      </w:r>
      <w:r>
        <w:rPr>
          <w:rFonts w:hint="eastAsia" w:ascii="黑体" w:hAnsi="黑体" w:eastAsia="黑体"/>
          <w:color w:val="auto"/>
          <w:sz w:val="32"/>
          <w:szCs w:val="32"/>
          <w:highlight w:val="none"/>
        </w:rPr>
        <w:t>二、开标一览表格式</w:t>
      </w:r>
    </w:p>
    <w:p w14:paraId="6D6661F0">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5701F979">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徐州市耕地保护和利用专项规划</w:t>
      </w:r>
      <w:r>
        <w:rPr>
          <w:rFonts w:hint="eastAsia" w:ascii="宋体" w:hAnsi="宋体" w:eastAsia="宋体" w:cs="宋体"/>
          <w:color w:val="auto"/>
          <w:sz w:val="24"/>
          <w:szCs w:val="24"/>
          <w:highlight w:val="none"/>
        </w:rPr>
        <w:t xml:space="preserve"> </w:t>
      </w:r>
    </w:p>
    <w:p w14:paraId="5272491F">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JSZC-320300-HMGL-G2025-0002</w:t>
      </w:r>
    </w:p>
    <w:p w14:paraId="4D454F3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p w14:paraId="5D1AEDEE">
      <w:pPr>
        <w:pStyle w:val="16"/>
        <w:rPr>
          <w:rFonts w:hint="eastAsia"/>
        </w:rPr>
      </w:pPr>
    </w:p>
    <w:tbl>
      <w:tblPr>
        <w:tblStyle w:val="37"/>
        <w:tblW w:w="8434" w:type="dxa"/>
        <w:jc w:val="center"/>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Layout w:type="fixed"/>
        <w:tblCellMar>
          <w:top w:w="0" w:type="dxa"/>
          <w:left w:w="108" w:type="dxa"/>
          <w:bottom w:w="0" w:type="dxa"/>
          <w:right w:w="108" w:type="dxa"/>
        </w:tblCellMar>
      </w:tblPr>
      <w:tblGrid>
        <w:gridCol w:w="2908"/>
        <w:gridCol w:w="2702"/>
        <w:gridCol w:w="2824"/>
      </w:tblGrid>
      <w:tr w14:paraId="05BC9D56">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918" w:hRule="atLeast"/>
          <w:jc w:val="center"/>
        </w:trPr>
        <w:tc>
          <w:tcPr>
            <w:tcW w:w="2908" w:type="dxa"/>
            <w:noWrap w:val="0"/>
            <w:vAlign w:val="center"/>
          </w:tcPr>
          <w:p w14:paraId="57F14B2F">
            <w:pPr>
              <w:pStyle w:val="45"/>
              <w:jc w:val="center"/>
              <w:rPr>
                <w:rFonts w:ascii="宋体" w:hAnsi="宋体"/>
                <w:color w:val="auto"/>
                <w:sz w:val="24"/>
                <w:highlight w:val="none"/>
              </w:rPr>
            </w:pPr>
            <w:r>
              <w:rPr>
                <w:rFonts w:ascii="宋体" w:hAnsi="宋体"/>
                <w:color w:val="auto"/>
                <w:sz w:val="24"/>
                <w:highlight w:val="none"/>
              </w:rPr>
              <w:t>项目名称</w:t>
            </w:r>
          </w:p>
        </w:tc>
        <w:tc>
          <w:tcPr>
            <w:tcW w:w="2702" w:type="dxa"/>
            <w:noWrap w:val="0"/>
            <w:vAlign w:val="center"/>
          </w:tcPr>
          <w:p w14:paraId="7C4F38CE">
            <w:pPr>
              <w:spacing w:line="440" w:lineRule="exact"/>
              <w:jc w:val="center"/>
              <w:rPr>
                <w:rFonts w:hint="default" w:ascii="宋体" w:hAnsi="宋体" w:eastAsia="宋体" w:cs="宋体"/>
                <w:bCs/>
                <w:color w:val="auto"/>
                <w:szCs w:val="24"/>
                <w:highlight w:val="none"/>
                <w:lang w:val="en-US" w:eastAsia="zh-CN"/>
              </w:rPr>
            </w:pPr>
            <w:r>
              <w:rPr>
                <w:rFonts w:hint="eastAsia" w:ascii="宋体" w:hAnsi="宋体" w:cs="宋体"/>
                <w:bCs/>
                <w:color w:val="auto"/>
                <w:szCs w:val="24"/>
                <w:highlight w:val="none"/>
                <w:lang w:val="en-US" w:eastAsia="zh-CN"/>
              </w:rPr>
              <w:t>项目内容</w:t>
            </w:r>
          </w:p>
        </w:tc>
        <w:tc>
          <w:tcPr>
            <w:tcW w:w="2824" w:type="dxa"/>
            <w:noWrap w:val="0"/>
            <w:vAlign w:val="center"/>
          </w:tcPr>
          <w:p w14:paraId="4D9B1D35">
            <w:pPr>
              <w:pStyle w:val="45"/>
              <w:jc w:val="center"/>
              <w:rPr>
                <w:rFonts w:ascii="宋体" w:hAnsi="宋体"/>
                <w:color w:val="auto"/>
                <w:sz w:val="24"/>
                <w:highlight w:val="none"/>
              </w:rPr>
            </w:pPr>
            <w:r>
              <w:rPr>
                <w:rFonts w:hint="eastAsia" w:ascii="宋体" w:hAnsi="宋体"/>
                <w:color w:val="auto"/>
                <w:sz w:val="24"/>
                <w:highlight w:val="none"/>
              </w:rPr>
              <w:t>总价</w:t>
            </w:r>
            <w:r>
              <w:rPr>
                <w:rFonts w:ascii="宋体" w:hAnsi="宋体"/>
                <w:color w:val="auto"/>
                <w:sz w:val="24"/>
                <w:highlight w:val="none"/>
              </w:rPr>
              <w:t>（小写）</w:t>
            </w:r>
          </w:p>
        </w:tc>
      </w:tr>
      <w:tr w14:paraId="6CD69302">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544" w:hRule="atLeast"/>
          <w:jc w:val="center"/>
        </w:trPr>
        <w:tc>
          <w:tcPr>
            <w:tcW w:w="2908" w:type="dxa"/>
            <w:noWrap w:val="0"/>
            <w:vAlign w:val="center"/>
          </w:tcPr>
          <w:p w14:paraId="389102CF">
            <w:pPr>
              <w:pStyle w:val="45"/>
              <w:jc w:val="center"/>
              <w:rPr>
                <w:rFonts w:hint="eastAsia" w:ascii="宋体" w:hAnsi="宋体" w:eastAsia="宋体"/>
                <w:color w:val="auto"/>
                <w:sz w:val="24"/>
                <w:highlight w:val="none"/>
                <w:lang w:eastAsia="zh-CN"/>
              </w:rPr>
            </w:pPr>
            <w:r>
              <w:rPr>
                <w:rFonts w:hint="eastAsia" w:ascii="宋体" w:hAnsi="宋体" w:eastAsia="宋体"/>
                <w:color w:val="auto"/>
                <w:sz w:val="24"/>
                <w:highlight w:val="none"/>
                <w:lang w:eastAsia="zh-CN"/>
              </w:rPr>
              <w:t>徐州市耕地保护和利用专项规划</w:t>
            </w:r>
          </w:p>
        </w:tc>
        <w:tc>
          <w:tcPr>
            <w:tcW w:w="2702" w:type="dxa"/>
            <w:tcBorders>
              <w:right w:val="single" w:color="auto" w:sz="4" w:space="0"/>
            </w:tcBorders>
            <w:noWrap w:val="0"/>
            <w:vAlign w:val="center"/>
          </w:tcPr>
          <w:p w14:paraId="7D58EE0A">
            <w:pPr>
              <w:spacing w:line="440" w:lineRule="exact"/>
              <w:jc w:val="center"/>
              <w:rPr>
                <w:rFonts w:hint="default" w:ascii="宋体" w:hAnsi="宋体" w:eastAsia="宋体" w:cs="宋体"/>
                <w:bCs/>
                <w:color w:val="auto"/>
                <w:szCs w:val="24"/>
                <w:highlight w:val="none"/>
                <w:u w:val="single"/>
                <w:lang w:val="en-US" w:eastAsia="zh-CN"/>
              </w:rPr>
            </w:pPr>
            <w:r>
              <w:rPr>
                <w:rFonts w:hint="eastAsia" w:ascii="宋体" w:hAnsi="宋体" w:cs="宋体"/>
                <w:bCs/>
                <w:color w:val="auto"/>
                <w:szCs w:val="24"/>
                <w:highlight w:val="none"/>
                <w:u w:val="none"/>
                <w:lang w:val="en-US" w:eastAsia="zh-CN"/>
              </w:rPr>
              <w:t>详见投标文件</w:t>
            </w:r>
          </w:p>
        </w:tc>
        <w:tc>
          <w:tcPr>
            <w:tcW w:w="2824" w:type="dxa"/>
            <w:tcBorders>
              <w:left w:val="single" w:color="auto" w:sz="4" w:space="0"/>
            </w:tcBorders>
            <w:noWrap w:val="0"/>
            <w:vAlign w:val="center"/>
          </w:tcPr>
          <w:p w14:paraId="07134DE0">
            <w:pPr>
              <w:pStyle w:val="45"/>
              <w:jc w:val="center"/>
              <w:rPr>
                <w:rFonts w:ascii="宋体" w:hAnsi="宋体"/>
                <w:color w:val="auto"/>
                <w:sz w:val="24"/>
                <w:highlight w:val="none"/>
              </w:rPr>
            </w:pPr>
          </w:p>
        </w:tc>
      </w:tr>
      <w:tr w14:paraId="16C5275C">
        <w:tblPrEx>
          <w:tblBorders>
            <w:top w:val="single" w:color="000000" w:sz="6" w:space="0"/>
            <w:left w:val="single" w:color="000000" w:sz="6" w:space="0"/>
            <w:bottom w:val="single" w:color="000000" w:sz="2" w:space="0"/>
            <w:right w:val="single" w:color="000000" w:sz="6" w:space="0"/>
            <w:insideH w:val="single" w:color="000000" w:sz="2" w:space="0"/>
            <w:insideV w:val="single" w:color="000000" w:sz="2" w:space="0"/>
          </w:tblBorders>
          <w:tblCellMar>
            <w:top w:w="0" w:type="dxa"/>
            <w:left w:w="108" w:type="dxa"/>
            <w:bottom w:w="0" w:type="dxa"/>
            <w:right w:w="108" w:type="dxa"/>
          </w:tblCellMar>
        </w:tblPrEx>
        <w:trPr>
          <w:cantSplit/>
          <w:trHeight w:val="1135" w:hRule="atLeast"/>
          <w:jc w:val="center"/>
        </w:trPr>
        <w:tc>
          <w:tcPr>
            <w:tcW w:w="2908" w:type="dxa"/>
            <w:noWrap w:val="0"/>
            <w:vAlign w:val="center"/>
          </w:tcPr>
          <w:p w14:paraId="1C1AAB7A">
            <w:pPr>
              <w:pStyle w:val="45"/>
              <w:jc w:val="center"/>
              <w:rPr>
                <w:rFonts w:ascii="宋体" w:hAnsi="宋体"/>
                <w:color w:val="auto"/>
                <w:sz w:val="24"/>
                <w:highlight w:val="none"/>
              </w:rPr>
            </w:pPr>
            <w:r>
              <w:rPr>
                <w:rFonts w:hint="eastAsia" w:ascii="宋体" w:hAnsi="宋体"/>
                <w:color w:val="auto"/>
                <w:sz w:val="24"/>
                <w:highlight w:val="none"/>
              </w:rPr>
              <w:t>总价</w:t>
            </w:r>
            <w:r>
              <w:rPr>
                <w:rFonts w:ascii="宋体" w:hAnsi="宋体"/>
                <w:color w:val="auto"/>
                <w:sz w:val="24"/>
                <w:highlight w:val="none"/>
              </w:rPr>
              <w:t>（大写）：</w:t>
            </w:r>
          </w:p>
        </w:tc>
        <w:tc>
          <w:tcPr>
            <w:tcW w:w="5526" w:type="dxa"/>
            <w:gridSpan w:val="2"/>
            <w:noWrap w:val="0"/>
            <w:vAlign w:val="center"/>
          </w:tcPr>
          <w:p w14:paraId="34EAAE83">
            <w:pPr>
              <w:pStyle w:val="45"/>
              <w:jc w:val="center"/>
              <w:rPr>
                <w:rFonts w:ascii="宋体" w:hAnsi="宋体"/>
                <w:color w:val="auto"/>
                <w:sz w:val="24"/>
                <w:highlight w:val="none"/>
              </w:rPr>
            </w:pPr>
          </w:p>
        </w:tc>
      </w:tr>
    </w:tbl>
    <w:p w14:paraId="7292E27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7AA736DB">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3C55E32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1262EAA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12CC6930">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（盖单位电子签章）</w:t>
      </w:r>
    </w:p>
    <w:p w14:paraId="60D4BAB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683BA078">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41F9ED2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6DF0A4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01F4D995">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2A27AC79">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79A77A73">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6E48D70D">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73C6D409">
      <w:pPr>
        <w:pageBreakBefore w:val="0"/>
        <w:widowControl/>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ascii="黑体" w:hAnsi="黑体" w:eastAsia="黑体"/>
          <w:color w:val="auto"/>
          <w:sz w:val="30"/>
          <w:szCs w:val="30"/>
          <w:highlight w:val="none"/>
        </w:rPr>
      </w:pPr>
      <w:r>
        <w:rPr>
          <w:rFonts w:ascii="黑体" w:hAnsi="黑体" w:eastAsia="黑体"/>
          <w:color w:val="auto"/>
          <w:sz w:val="30"/>
          <w:szCs w:val="30"/>
          <w:highlight w:val="none"/>
        </w:rPr>
        <w:br w:type="page" w:clear="all"/>
      </w:r>
      <w:r>
        <w:rPr>
          <w:rFonts w:hint="eastAsia" w:ascii="黑体" w:hAnsi="黑体" w:eastAsia="黑体"/>
          <w:color w:val="auto"/>
          <w:sz w:val="30"/>
          <w:szCs w:val="30"/>
          <w:highlight w:val="none"/>
        </w:rPr>
        <w:t>三、分项价格表格式</w:t>
      </w:r>
    </w:p>
    <w:p w14:paraId="1E710BB6">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hint="eastAsia" w:ascii="仿宋" w:hAnsi="仿宋" w:eastAsia="仿宋"/>
          <w:color w:val="auto"/>
          <w:sz w:val="30"/>
          <w:szCs w:val="30"/>
          <w:highlight w:val="none"/>
        </w:rPr>
      </w:pPr>
    </w:p>
    <w:p w14:paraId="7923B018">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徐州市耕地保护和利用专项规划</w:t>
      </w:r>
      <w:r>
        <w:rPr>
          <w:rFonts w:hint="eastAsia" w:ascii="宋体" w:hAnsi="宋体" w:eastAsia="宋体" w:cs="宋体"/>
          <w:color w:val="auto"/>
          <w:sz w:val="24"/>
          <w:szCs w:val="24"/>
          <w:highlight w:val="none"/>
        </w:rPr>
        <w:t xml:space="preserve">  </w:t>
      </w:r>
    </w:p>
    <w:p w14:paraId="2D990F6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JSZC-320300-HMGL-G2025-0002</w:t>
      </w:r>
      <w:r>
        <w:rPr>
          <w:rFonts w:hint="eastAsia" w:ascii="宋体" w:hAnsi="宋体" w:eastAsia="宋体" w:cs="宋体"/>
          <w:color w:val="auto"/>
          <w:sz w:val="24"/>
          <w:szCs w:val="24"/>
          <w:highlight w:val="none"/>
        </w:rPr>
        <w:t xml:space="preserve">   </w:t>
      </w:r>
    </w:p>
    <w:p w14:paraId="0AB34462">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货币单位：人民币元</w:t>
      </w:r>
    </w:p>
    <w:p w14:paraId="7337803A">
      <w:pPr>
        <w:pStyle w:val="16"/>
        <w:rPr>
          <w:rFonts w:hint="eastAsia"/>
        </w:rPr>
      </w:pPr>
    </w:p>
    <w:p w14:paraId="4D21D48F">
      <w:pPr>
        <w:pageBreakBefore w:val="0"/>
        <w:kinsoku/>
        <w:wordWrap/>
        <w:overflowPunct/>
        <w:topLinePunct w:val="0"/>
        <w:autoSpaceDE/>
        <w:autoSpaceDN/>
        <w:bidi w:val="0"/>
        <w:adjustRightInd/>
        <w:snapToGrid/>
        <w:spacing w:beforeAutospacing="0" w:afterAutospacing="0" w:line="440" w:lineRule="exact"/>
        <w:ind w:left="0" w:right="0" w:firstLine="482" w:firstLineChars="200"/>
        <w:jc w:val="center"/>
        <w:textAlignment w:val="auto"/>
        <w:rPr>
          <w:rFonts w:hint="eastAsia" w:ascii="宋体" w:hAnsi="宋体" w:eastAsia="宋体" w:cs="宋体"/>
          <w:b/>
          <w:bCs/>
          <w:color w:val="auto"/>
          <w:sz w:val="24"/>
          <w:szCs w:val="24"/>
          <w:highlight w:val="none"/>
        </w:rPr>
      </w:pPr>
      <w:r>
        <w:rPr>
          <w:rFonts w:hint="eastAsia" w:ascii="宋体" w:hAnsi="宋体" w:eastAsia="宋体" w:cs="宋体"/>
          <w:b/>
          <w:bCs/>
          <w:color w:val="auto"/>
          <w:sz w:val="24"/>
          <w:szCs w:val="24"/>
          <w:highlight w:val="none"/>
        </w:rPr>
        <w:t>格式自拟。</w:t>
      </w:r>
    </w:p>
    <w:p w14:paraId="12BED1D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45D9565B">
      <w:pPr>
        <w:pStyle w:val="53"/>
        <w:pageBreakBefore w:val="0"/>
        <w:kinsoku/>
        <w:wordWrap/>
        <w:overflowPunct/>
        <w:topLinePunct w:val="0"/>
        <w:autoSpaceDE/>
        <w:autoSpaceDN/>
        <w:bidi w:val="0"/>
        <w:adjustRightInd/>
        <w:snapToGrid/>
        <w:spacing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0AE2AFE0">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（盖单位电子签章）</w:t>
      </w:r>
    </w:p>
    <w:p w14:paraId="6CC686C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837D8E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3496B91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688DC2B2">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5D8596FF">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注：①如果不提供详细分项报价的，将视为没有实质性响应招标文件。②投标人对以上数据的真实性负责。</w:t>
      </w:r>
    </w:p>
    <w:p w14:paraId="3C0F235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仿宋" w:hAnsi="仿宋" w:eastAsia="仿宋"/>
          <w:color w:val="auto"/>
          <w:sz w:val="30"/>
          <w:szCs w:val="30"/>
          <w:highlight w:val="none"/>
        </w:rPr>
      </w:pPr>
      <w:r>
        <w:rPr>
          <w:rFonts w:hint="eastAsia" w:ascii="宋体" w:hAnsi="宋体" w:cs="宋体"/>
          <w:color w:val="auto"/>
          <w:sz w:val="24"/>
          <w:szCs w:val="24"/>
          <w:highlight w:val="none"/>
          <w:lang w:eastAsia="zh-CN"/>
        </w:rPr>
        <w:t>江苏华铭工程管理咨询有限公司</w:t>
      </w:r>
      <w:r>
        <w:rPr>
          <w:rFonts w:hint="eastAsia" w:ascii="宋体" w:hAnsi="宋体" w:eastAsia="宋体" w:cs="宋体"/>
          <w:color w:val="auto"/>
          <w:sz w:val="24"/>
          <w:szCs w:val="24"/>
          <w:highlight w:val="none"/>
        </w:rPr>
        <w:t>有权将以上内容进行公示。</w:t>
      </w:r>
    </w:p>
    <w:p w14:paraId="47F42C68">
      <w:pPr>
        <w:pageBreakBefore w:val="0"/>
        <w:kinsoku/>
        <w:wordWrap/>
        <w:overflowPunct/>
        <w:topLinePunct w:val="0"/>
        <w:autoSpaceDE/>
        <w:autoSpaceDN/>
        <w:bidi w:val="0"/>
        <w:adjustRightInd/>
        <w:snapToGrid/>
        <w:spacing w:beforeAutospacing="0" w:afterAutospacing="0" w:line="440" w:lineRule="exact"/>
        <w:ind w:left="0" w:right="0" w:firstLine="560" w:firstLineChars="200"/>
        <w:jc w:val="center"/>
        <w:textAlignment w:val="auto"/>
        <w:rPr>
          <w:rFonts w:ascii="黑体" w:hAnsi="黑体" w:eastAsia="黑体"/>
          <w:color w:val="auto"/>
          <w:sz w:val="28"/>
          <w:szCs w:val="28"/>
          <w:highlight w:val="none"/>
        </w:rPr>
      </w:pPr>
      <w:r>
        <w:rPr>
          <w:rFonts w:ascii="黑体" w:hAnsi="黑体" w:eastAsia="黑体"/>
          <w:color w:val="auto"/>
          <w:sz w:val="28"/>
          <w:szCs w:val="28"/>
          <w:highlight w:val="none"/>
        </w:rPr>
        <w:br w:type="page" w:clear="all"/>
      </w:r>
      <w:r>
        <w:rPr>
          <w:rFonts w:hint="eastAsia" w:ascii="黑体" w:hAnsi="黑体" w:eastAsia="黑体"/>
          <w:color w:val="auto"/>
          <w:sz w:val="28"/>
          <w:szCs w:val="28"/>
          <w:highlight w:val="none"/>
        </w:rPr>
        <w:t>四、偏离表格式</w:t>
      </w:r>
    </w:p>
    <w:p w14:paraId="65EEF6D9">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0AE14D0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项目名称：</w:t>
      </w:r>
      <w:r>
        <w:rPr>
          <w:rFonts w:hint="eastAsia" w:ascii="宋体" w:hAnsi="宋体" w:cs="宋体"/>
          <w:color w:val="auto"/>
          <w:sz w:val="24"/>
          <w:szCs w:val="24"/>
          <w:highlight w:val="none"/>
          <w:lang w:eastAsia="zh-CN"/>
        </w:rPr>
        <w:t>徐州市耕地保护和利用专项规划</w:t>
      </w:r>
    </w:p>
    <w:p w14:paraId="0092097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rPr>
        <w:t>项目编号：</w:t>
      </w:r>
      <w:r>
        <w:rPr>
          <w:rFonts w:hint="eastAsia" w:ascii="宋体" w:hAnsi="宋体" w:cs="宋体"/>
          <w:color w:val="auto"/>
          <w:sz w:val="24"/>
          <w:szCs w:val="24"/>
          <w:highlight w:val="none"/>
          <w:lang w:eastAsia="zh-CN"/>
        </w:rPr>
        <w:t>JSZC-320300-HMGL-G2025-0002</w:t>
      </w:r>
    </w:p>
    <w:p w14:paraId="6C5F727F">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u w:val="single"/>
        </w:rPr>
      </w:pPr>
    </w:p>
    <w:tbl>
      <w:tblPr>
        <w:tblStyle w:val="37"/>
        <w:tblW w:w="9000" w:type="dxa"/>
        <w:tblInd w:w="108" w:type="dxa"/>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Layout w:type="fixed"/>
        <w:tblCellMar>
          <w:top w:w="0" w:type="dxa"/>
          <w:left w:w="108" w:type="dxa"/>
          <w:bottom w:w="0" w:type="dxa"/>
          <w:right w:w="108" w:type="dxa"/>
        </w:tblCellMar>
      </w:tblPr>
      <w:tblGrid>
        <w:gridCol w:w="720"/>
        <w:gridCol w:w="1404"/>
        <w:gridCol w:w="1476"/>
        <w:gridCol w:w="1620"/>
        <w:gridCol w:w="1260"/>
        <w:gridCol w:w="2520"/>
      </w:tblGrid>
      <w:tr w14:paraId="5FE4C804">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6" w:space="0"/>
              <w:left w:val="single" w:color="000000" w:sz="6" w:space="0"/>
              <w:bottom w:val="single" w:color="000000" w:sz="6" w:space="0"/>
              <w:right w:val="single" w:color="000000" w:sz="6" w:space="0"/>
            </w:tcBorders>
            <w:noWrap w:val="0"/>
            <w:vAlign w:val="center"/>
          </w:tcPr>
          <w:p w14:paraId="461546F8">
            <w:pPr>
              <w:pageBreakBefore w:val="0"/>
              <w:kinsoku/>
              <w:wordWrap/>
              <w:overflowPunct/>
              <w:topLinePunct w:val="0"/>
              <w:autoSpaceDE/>
              <w:autoSpaceDN/>
              <w:bidi w:val="0"/>
              <w:adjustRightInd/>
              <w:snapToGrid/>
              <w:spacing w:beforeAutospacing="0" w:afterAutospacing="0" w:line="440" w:lineRule="exact"/>
              <w:ind w:right="0"/>
              <w:jc w:val="center"/>
              <w:textAlignment w:val="auto"/>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序号</w:t>
            </w:r>
          </w:p>
        </w:tc>
        <w:tc>
          <w:tcPr>
            <w:tcW w:w="1404" w:type="dxa"/>
            <w:tcBorders>
              <w:top w:val="single" w:color="000000" w:sz="6" w:space="0"/>
              <w:left w:val="single" w:color="000000" w:sz="6" w:space="0"/>
              <w:bottom w:val="single" w:color="000000" w:sz="6" w:space="0"/>
              <w:right w:val="single" w:color="000000" w:sz="6" w:space="0"/>
            </w:tcBorders>
            <w:noWrap w:val="0"/>
            <w:vAlign w:val="center"/>
          </w:tcPr>
          <w:p w14:paraId="449D769F">
            <w:pPr>
              <w:pageBreakBefore w:val="0"/>
              <w:kinsoku/>
              <w:wordWrap/>
              <w:overflowPunct/>
              <w:topLinePunct w:val="0"/>
              <w:autoSpaceDE/>
              <w:autoSpaceDN/>
              <w:bidi w:val="0"/>
              <w:adjustRightInd/>
              <w:snapToGrid/>
              <w:spacing w:beforeAutospacing="0" w:afterAutospacing="0" w:line="440" w:lineRule="exact"/>
              <w:ind w:right="0"/>
              <w:jc w:val="center"/>
              <w:textAlignment w:val="auto"/>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偏离内容</w:t>
            </w:r>
          </w:p>
        </w:tc>
        <w:tc>
          <w:tcPr>
            <w:tcW w:w="1476" w:type="dxa"/>
            <w:tcBorders>
              <w:top w:val="single" w:color="000000" w:sz="6" w:space="0"/>
              <w:left w:val="single" w:color="000000" w:sz="6" w:space="0"/>
              <w:bottom w:val="single" w:color="000000" w:sz="6" w:space="0"/>
              <w:right w:val="single" w:color="000000" w:sz="6" w:space="0"/>
            </w:tcBorders>
            <w:noWrap w:val="0"/>
            <w:vAlign w:val="center"/>
          </w:tcPr>
          <w:p w14:paraId="411B2789">
            <w:pPr>
              <w:pageBreakBefore w:val="0"/>
              <w:kinsoku/>
              <w:wordWrap/>
              <w:overflowPunct/>
              <w:topLinePunct w:val="0"/>
              <w:autoSpaceDE/>
              <w:autoSpaceDN/>
              <w:bidi w:val="0"/>
              <w:adjustRightInd/>
              <w:snapToGrid/>
              <w:spacing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招标文件的要求</w:t>
            </w:r>
          </w:p>
        </w:tc>
        <w:tc>
          <w:tcPr>
            <w:tcW w:w="1620" w:type="dxa"/>
            <w:tcBorders>
              <w:top w:val="single" w:color="000000" w:sz="6" w:space="0"/>
              <w:left w:val="single" w:color="000000" w:sz="6" w:space="0"/>
              <w:bottom w:val="single" w:color="000000" w:sz="6" w:space="0"/>
              <w:right w:val="single" w:color="000000" w:sz="6" w:space="0"/>
            </w:tcBorders>
            <w:noWrap w:val="0"/>
            <w:vAlign w:val="center"/>
          </w:tcPr>
          <w:p w14:paraId="0A7C04B2">
            <w:pPr>
              <w:pageBreakBefore w:val="0"/>
              <w:kinsoku/>
              <w:wordWrap/>
              <w:overflowPunct/>
              <w:topLinePunct w:val="0"/>
              <w:autoSpaceDE/>
              <w:autoSpaceDN/>
              <w:bidi w:val="0"/>
              <w:adjustRightInd/>
              <w:snapToGrid/>
              <w:spacing w:beforeAutospacing="0" w:afterAutospacing="0" w:line="440" w:lineRule="exact"/>
              <w:ind w:right="0"/>
              <w:jc w:val="center"/>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投标文件中的内容</w:t>
            </w:r>
          </w:p>
        </w:tc>
        <w:tc>
          <w:tcPr>
            <w:tcW w:w="1260" w:type="dxa"/>
            <w:tcBorders>
              <w:top w:val="single" w:color="000000" w:sz="6" w:space="0"/>
              <w:left w:val="single" w:color="000000" w:sz="6" w:space="0"/>
              <w:bottom w:val="single" w:color="000000" w:sz="6" w:space="0"/>
              <w:right w:val="single" w:color="000000" w:sz="6" w:space="0"/>
            </w:tcBorders>
            <w:noWrap w:val="0"/>
            <w:vAlign w:val="center"/>
          </w:tcPr>
          <w:p w14:paraId="4D5A8764">
            <w:pPr>
              <w:pageBreakBefore w:val="0"/>
              <w:kinsoku/>
              <w:wordWrap/>
              <w:overflowPunct/>
              <w:topLinePunct w:val="0"/>
              <w:autoSpaceDE/>
              <w:autoSpaceDN/>
              <w:bidi w:val="0"/>
              <w:adjustRightInd/>
              <w:snapToGrid/>
              <w:spacing w:beforeAutospacing="0" w:afterAutospacing="0" w:line="440" w:lineRule="exact"/>
              <w:ind w:right="0"/>
              <w:jc w:val="center"/>
              <w:textAlignment w:val="auto"/>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（正/负/无）偏离</w:t>
            </w:r>
          </w:p>
        </w:tc>
        <w:tc>
          <w:tcPr>
            <w:tcW w:w="2520" w:type="dxa"/>
            <w:tcBorders>
              <w:top w:val="single" w:color="000000" w:sz="6" w:space="0"/>
              <w:left w:val="single" w:color="000000" w:sz="6" w:space="0"/>
              <w:bottom w:val="single" w:color="000000" w:sz="6" w:space="0"/>
              <w:right w:val="single" w:color="000000" w:sz="6" w:space="0"/>
            </w:tcBorders>
            <w:noWrap w:val="0"/>
            <w:vAlign w:val="center"/>
          </w:tcPr>
          <w:p w14:paraId="77ED68AC">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宋体"/>
                <w:caps/>
                <w:color w:val="auto"/>
                <w:sz w:val="24"/>
                <w:szCs w:val="24"/>
                <w:highlight w:val="none"/>
              </w:rPr>
            </w:pPr>
            <w:r>
              <w:rPr>
                <w:rFonts w:hint="eastAsia" w:ascii="宋体" w:hAnsi="宋体" w:eastAsia="宋体" w:cs="宋体"/>
                <w:caps/>
                <w:color w:val="auto"/>
                <w:sz w:val="24"/>
                <w:szCs w:val="24"/>
                <w:highlight w:val="none"/>
              </w:rPr>
              <w:t>说明</w:t>
            </w:r>
          </w:p>
        </w:tc>
      </w:tr>
      <w:tr w14:paraId="237252C6">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6" w:space="0"/>
              <w:left w:val="single" w:color="000000" w:sz="6" w:space="0"/>
              <w:bottom w:val="single" w:color="000000" w:sz="6" w:space="0"/>
              <w:right w:val="single" w:color="000000" w:sz="6" w:space="0"/>
            </w:tcBorders>
            <w:noWrap w:val="0"/>
            <w:vAlign w:val="top"/>
          </w:tcPr>
          <w:p w14:paraId="363B231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14:paraId="0D23AFD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2668E5D4">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14:paraId="4133437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7CD99DC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6B389CCB">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r>
      <w:tr w14:paraId="2F7A344C">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6" w:space="0"/>
              <w:left w:val="single" w:color="000000" w:sz="6" w:space="0"/>
              <w:bottom w:val="single" w:color="000000" w:sz="6" w:space="0"/>
              <w:right w:val="single" w:color="000000" w:sz="6" w:space="0"/>
            </w:tcBorders>
            <w:noWrap w:val="0"/>
            <w:vAlign w:val="top"/>
          </w:tcPr>
          <w:p w14:paraId="3527461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14:paraId="2CA25D3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350C1C5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14:paraId="3AC3F930">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0640903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79300B02">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r>
      <w:tr w14:paraId="5F566714">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6" w:space="0"/>
              <w:left w:val="single" w:color="000000" w:sz="6" w:space="0"/>
              <w:bottom w:val="single" w:color="000000" w:sz="6" w:space="0"/>
              <w:right w:val="single" w:color="000000" w:sz="6" w:space="0"/>
            </w:tcBorders>
            <w:noWrap w:val="0"/>
            <w:vAlign w:val="top"/>
          </w:tcPr>
          <w:p w14:paraId="30F0387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14:paraId="57421704">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0793877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14:paraId="6F47801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788582B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4D521274">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r>
      <w:tr w14:paraId="7061FB5A">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6" w:space="0"/>
              <w:left w:val="single" w:color="000000" w:sz="6" w:space="0"/>
              <w:bottom w:val="single" w:color="000000" w:sz="6" w:space="0"/>
              <w:right w:val="single" w:color="000000" w:sz="6" w:space="0"/>
            </w:tcBorders>
            <w:noWrap w:val="0"/>
            <w:vAlign w:val="top"/>
          </w:tcPr>
          <w:p w14:paraId="7107A164">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14:paraId="60C05F2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0FAEBC6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14:paraId="2281AF08">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72CB4F0F">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0EF08E1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r>
      <w:tr w14:paraId="51A86909">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6" w:space="0"/>
              <w:left w:val="single" w:color="000000" w:sz="6" w:space="0"/>
              <w:bottom w:val="single" w:color="000000" w:sz="6" w:space="0"/>
              <w:right w:val="single" w:color="000000" w:sz="6" w:space="0"/>
            </w:tcBorders>
            <w:noWrap w:val="0"/>
            <w:vAlign w:val="top"/>
          </w:tcPr>
          <w:p w14:paraId="3548195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14:paraId="350633FB">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7D26588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14:paraId="1CDD05D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300000A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09E4CB9D">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r>
      <w:tr w14:paraId="6FB2FD1D">
        <w:tblPrEx>
          <w:tblBorders>
            <w:top w:val="single" w:color="000000" w:sz="6" w:space="0"/>
            <w:left w:val="single" w:color="000000" w:sz="6" w:space="0"/>
            <w:bottom w:val="single" w:color="000000" w:sz="6" w:space="0"/>
            <w:right w:val="single" w:color="000000" w:sz="6" w:space="0"/>
            <w:insideH w:val="none" w:color="000000" w:sz="0" w:space="0"/>
            <w:insideV w:val="none" w:color="000000" w:sz="0" w:space="0"/>
          </w:tblBorders>
          <w:tblCellMar>
            <w:top w:w="0" w:type="dxa"/>
            <w:left w:w="108" w:type="dxa"/>
            <w:bottom w:w="0" w:type="dxa"/>
            <w:right w:w="108" w:type="dxa"/>
          </w:tblCellMar>
        </w:tblPrEx>
        <w:trPr>
          <w:trHeight w:val="794" w:hRule="atLeast"/>
        </w:trPr>
        <w:tc>
          <w:tcPr>
            <w:tcW w:w="720" w:type="dxa"/>
            <w:tcBorders>
              <w:top w:val="single" w:color="000000" w:sz="6" w:space="0"/>
              <w:left w:val="single" w:color="000000" w:sz="6" w:space="0"/>
              <w:bottom w:val="single" w:color="000000" w:sz="6" w:space="0"/>
              <w:right w:val="single" w:color="000000" w:sz="6" w:space="0"/>
            </w:tcBorders>
            <w:noWrap w:val="0"/>
            <w:vAlign w:val="top"/>
          </w:tcPr>
          <w:p w14:paraId="0500F272">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04" w:type="dxa"/>
            <w:tcBorders>
              <w:top w:val="single" w:color="000000" w:sz="6" w:space="0"/>
              <w:left w:val="single" w:color="000000" w:sz="6" w:space="0"/>
              <w:bottom w:val="single" w:color="000000" w:sz="6" w:space="0"/>
              <w:right w:val="single" w:color="000000" w:sz="6" w:space="0"/>
            </w:tcBorders>
            <w:noWrap w:val="0"/>
            <w:vAlign w:val="top"/>
          </w:tcPr>
          <w:p w14:paraId="54ACC1A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476" w:type="dxa"/>
            <w:tcBorders>
              <w:top w:val="single" w:color="000000" w:sz="6" w:space="0"/>
              <w:left w:val="single" w:color="000000" w:sz="6" w:space="0"/>
              <w:bottom w:val="single" w:color="000000" w:sz="6" w:space="0"/>
              <w:right w:val="single" w:color="000000" w:sz="6" w:space="0"/>
            </w:tcBorders>
            <w:noWrap w:val="0"/>
            <w:vAlign w:val="top"/>
          </w:tcPr>
          <w:p w14:paraId="49C676D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620" w:type="dxa"/>
            <w:tcBorders>
              <w:top w:val="single" w:color="000000" w:sz="6" w:space="0"/>
              <w:left w:val="single" w:color="000000" w:sz="6" w:space="0"/>
              <w:bottom w:val="single" w:color="000000" w:sz="6" w:space="0"/>
              <w:right w:val="single" w:color="000000" w:sz="6" w:space="0"/>
            </w:tcBorders>
            <w:noWrap w:val="0"/>
            <w:vAlign w:val="top"/>
          </w:tcPr>
          <w:p w14:paraId="341702F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1260" w:type="dxa"/>
            <w:tcBorders>
              <w:top w:val="single" w:color="000000" w:sz="6" w:space="0"/>
              <w:left w:val="single" w:color="000000" w:sz="6" w:space="0"/>
              <w:bottom w:val="single" w:color="000000" w:sz="6" w:space="0"/>
              <w:right w:val="single" w:color="000000" w:sz="6" w:space="0"/>
            </w:tcBorders>
            <w:noWrap w:val="0"/>
            <w:vAlign w:val="top"/>
          </w:tcPr>
          <w:p w14:paraId="376C0CB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c>
          <w:tcPr>
            <w:tcW w:w="2520" w:type="dxa"/>
            <w:tcBorders>
              <w:top w:val="single" w:color="000000" w:sz="6" w:space="0"/>
              <w:left w:val="single" w:color="000000" w:sz="6" w:space="0"/>
              <w:bottom w:val="single" w:color="000000" w:sz="6" w:space="0"/>
              <w:right w:val="single" w:color="000000" w:sz="6" w:space="0"/>
            </w:tcBorders>
            <w:noWrap w:val="0"/>
            <w:vAlign w:val="top"/>
          </w:tcPr>
          <w:p w14:paraId="51A4A822">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tc>
      </w:tr>
    </w:tbl>
    <w:p w14:paraId="34DC522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u w:val="single"/>
        </w:rPr>
      </w:pPr>
    </w:p>
    <w:p w14:paraId="70DAC95F">
      <w:pPr>
        <w:pageBreakBefore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r>
        <w:rPr>
          <w:rFonts w:hint="eastAsia" w:ascii="宋体" w:hAnsi="宋体" w:eastAsia="宋体" w:cs="宋体"/>
          <w:color w:val="auto"/>
          <w:sz w:val="24"/>
          <w:szCs w:val="24"/>
          <w:highlight w:val="none"/>
        </w:rPr>
        <w:t>：投标人的投标文件中的内容与招标文件（含招标文件的澄清或者修改的内容）的要求不同时，逐条列在偏离表中，否则将认为投标人接受招标文件的要求。</w:t>
      </w:r>
    </w:p>
    <w:p w14:paraId="6D07C53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（盖单位电子签章）</w:t>
      </w:r>
    </w:p>
    <w:p w14:paraId="351207B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734106D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10902A17">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0DD2D0FA">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黑体" w:hAnsi="黑体" w:eastAsia="黑体"/>
          <w:bCs/>
          <w:color w:val="auto"/>
          <w:sz w:val="30"/>
          <w:szCs w:val="30"/>
          <w:highlight w:val="none"/>
        </w:rPr>
      </w:pPr>
    </w:p>
    <w:p w14:paraId="01821234">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黑体" w:hAnsi="黑体" w:eastAsia="黑体"/>
          <w:bCs/>
          <w:color w:val="auto"/>
          <w:sz w:val="30"/>
          <w:szCs w:val="30"/>
          <w:highlight w:val="none"/>
        </w:rPr>
      </w:pPr>
    </w:p>
    <w:p w14:paraId="48B07DBB">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黑体" w:hAnsi="黑体" w:eastAsia="黑体"/>
          <w:bCs/>
          <w:color w:val="auto"/>
          <w:sz w:val="30"/>
          <w:szCs w:val="30"/>
          <w:highlight w:val="none"/>
        </w:rPr>
      </w:pPr>
    </w:p>
    <w:p w14:paraId="676E2227">
      <w:pPr>
        <w:pageBreakBefore w:val="0"/>
        <w:widowControl/>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ascii="黑体" w:hAnsi="黑体" w:eastAsia="黑体"/>
          <w:bCs/>
          <w:color w:val="auto"/>
          <w:sz w:val="30"/>
          <w:szCs w:val="30"/>
          <w:highlight w:val="none"/>
        </w:rPr>
      </w:pPr>
      <w:r>
        <w:rPr>
          <w:rFonts w:ascii="黑体" w:hAnsi="黑体" w:eastAsia="黑体"/>
          <w:bCs/>
          <w:color w:val="auto"/>
          <w:sz w:val="30"/>
          <w:szCs w:val="30"/>
          <w:highlight w:val="none"/>
        </w:rPr>
        <w:br w:type="page" w:clear="all"/>
      </w:r>
      <w:r>
        <w:rPr>
          <w:rFonts w:hint="eastAsia" w:ascii="黑体" w:hAnsi="黑体" w:eastAsia="黑体"/>
          <w:bCs/>
          <w:color w:val="auto"/>
          <w:sz w:val="30"/>
          <w:szCs w:val="30"/>
          <w:highlight w:val="none"/>
        </w:rPr>
        <w:t xml:space="preserve">    五、法定代表人授权书格式</w:t>
      </w:r>
    </w:p>
    <w:p w14:paraId="7FABF70E">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10F9995D">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委托人：</w:t>
      </w:r>
    </w:p>
    <w:p w14:paraId="0B2DC717">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地  址：</w:t>
      </w:r>
    </w:p>
    <w:p w14:paraId="09B7D999">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法定代表人：               职务：</w:t>
      </w:r>
    </w:p>
    <w:p w14:paraId="40FA8CF7">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统一社会信用代码：</w:t>
      </w:r>
    </w:p>
    <w:p w14:paraId="1A96530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2EF04284">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受托人：                   性别：男（女）  </w:t>
      </w:r>
    </w:p>
    <w:p w14:paraId="48D5726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年龄：  岁                 民族：   族</w:t>
      </w:r>
    </w:p>
    <w:p w14:paraId="502AA75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职务：</w:t>
      </w:r>
    </w:p>
    <w:p w14:paraId="111DD17B">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身份证号：</w:t>
      </w:r>
    </w:p>
    <w:p w14:paraId="0C99C4BB">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4D25CCF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兹委托（       ）全权代表我企业（公司）参与（</w:t>
      </w:r>
      <w:r>
        <w:rPr>
          <w:rFonts w:hint="eastAsia" w:ascii="宋体" w:hAnsi="宋体" w:cs="宋体"/>
          <w:color w:val="auto"/>
          <w:sz w:val="24"/>
          <w:szCs w:val="24"/>
          <w:highlight w:val="none"/>
          <w:lang w:eastAsia="zh-CN"/>
        </w:rPr>
        <w:t>徐州市耕地保护和利用专项规划</w:t>
      </w:r>
      <w:r>
        <w:rPr>
          <w:rFonts w:hint="eastAsia" w:ascii="宋体" w:hAnsi="宋体" w:eastAsia="宋体" w:cs="宋体"/>
          <w:color w:val="auto"/>
          <w:sz w:val="24"/>
          <w:szCs w:val="24"/>
          <w:highlight w:val="none"/>
        </w:rPr>
        <w:t>）项目（项目编号：</w:t>
      </w:r>
      <w:r>
        <w:rPr>
          <w:rFonts w:hint="eastAsia" w:ascii="宋体" w:hAnsi="宋体" w:cs="宋体"/>
          <w:color w:val="auto"/>
          <w:sz w:val="24"/>
          <w:szCs w:val="24"/>
          <w:highlight w:val="none"/>
          <w:lang w:eastAsia="zh-CN"/>
        </w:rPr>
        <w:t>JSZC-320300-HMGL-G2025-0002</w:t>
      </w:r>
      <w:r>
        <w:rPr>
          <w:rFonts w:hint="eastAsia" w:ascii="宋体" w:hAnsi="宋体" w:eastAsia="宋体" w:cs="宋体"/>
          <w:color w:val="auto"/>
          <w:sz w:val="24"/>
          <w:szCs w:val="24"/>
          <w:highlight w:val="none"/>
        </w:rPr>
        <w:t>）的招、投标活动及签订合同。（         ）以我企业（公司）名义所为的法律行为及签署的文件，我企业（公司）均予以认可。有关法律责任均由我企业（公司）承担。（         ）无转委托权。委托期限自   年  月  日起至  年  月    日止。</w:t>
      </w:r>
    </w:p>
    <w:p w14:paraId="37EAC9C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1E212FB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特此授权委托。</w:t>
      </w:r>
    </w:p>
    <w:p w14:paraId="1601A6B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03E49F58">
      <w:pPr>
        <w:spacing w:line="360" w:lineRule="auto"/>
        <w:rPr>
          <w:rFonts w:ascii="宋体" w:hAnsi="宋体" w:cs="宋体"/>
          <w:color w:val="auto"/>
          <w:sz w:val="24"/>
          <w:highlight w:val="none"/>
        </w:rPr>
      </w:pPr>
      <w:r>
        <w:rPr>
          <w:rFonts w:hint="eastAsia" w:ascii="宋体" w:hAnsi="宋体" w:cs="宋体"/>
          <w:color w:val="auto"/>
          <w:sz w:val="24"/>
          <w:highlight w:val="none"/>
        </w:rPr>
        <w:t>委托人</w:t>
      </w:r>
      <w:r>
        <w:rPr>
          <w:rFonts w:hint="eastAsia" w:ascii="宋体" w:hAnsi="宋体" w:cs="宋体"/>
          <w:color w:val="auto"/>
          <w:sz w:val="24"/>
          <w:highlight w:val="none"/>
          <w:lang w:eastAsia="zh-CN"/>
        </w:rPr>
        <w:t>【</w:t>
      </w:r>
      <w:r>
        <w:rPr>
          <w:rFonts w:hint="eastAsia" w:ascii="宋体" w:hAnsi="宋体" w:cs="宋体"/>
          <w:color w:val="auto"/>
          <w:sz w:val="24"/>
          <w:highlight w:val="none"/>
          <w:lang w:val="en-US" w:eastAsia="zh-CN"/>
        </w:rPr>
        <w:t>盖章，（如果供应商是联合体，则联合体各成员均须盖章）】</w:t>
      </w:r>
      <w:r>
        <w:rPr>
          <w:rFonts w:hint="eastAsia" w:ascii="宋体" w:hAnsi="宋体" w:cs="宋体"/>
          <w:color w:val="auto"/>
          <w:sz w:val="24"/>
          <w:highlight w:val="none"/>
        </w:rPr>
        <w:t>：</w:t>
      </w:r>
    </w:p>
    <w:p w14:paraId="47187FD5">
      <w:pPr>
        <w:spacing w:line="360" w:lineRule="auto"/>
        <w:rPr>
          <w:rFonts w:ascii="宋体" w:hAnsi="宋体" w:cs="宋体"/>
          <w:color w:val="auto"/>
          <w:sz w:val="24"/>
          <w:highlight w:val="none"/>
        </w:rPr>
      </w:pPr>
      <w:r>
        <w:rPr>
          <w:rFonts w:hint="eastAsia" w:ascii="宋体" w:hAnsi="宋体" w:cs="宋体"/>
          <w:color w:val="auto"/>
          <w:sz w:val="24"/>
          <w:highlight w:val="none"/>
        </w:rPr>
        <w:t>法定代表人</w:t>
      </w:r>
      <w:r>
        <w:rPr>
          <w:rFonts w:hint="eastAsia" w:ascii="宋体" w:hAnsi="宋体" w:cs="宋体"/>
          <w:color w:val="auto"/>
          <w:sz w:val="24"/>
          <w:highlight w:val="none"/>
          <w:lang w:eastAsia="zh-CN"/>
        </w:rPr>
        <w:t>【</w:t>
      </w:r>
      <w:r>
        <w:rPr>
          <w:rFonts w:hint="eastAsia" w:ascii="宋体" w:hAnsi="宋体" w:cs="宋体"/>
          <w:color w:val="auto"/>
          <w:sz w:val="24"/>
          <w:highlight w:val="none"/>
        </w:rPr>
        <w:t>签字或盖章</w:t>
      </w:r>
      <w:r>
        <w:rPr>
          <w:rFonts w:hint="eastAsia" w:ascii="宋体" w:hAnsi="宋体" w:cs="宋体"/>
          <w:color w:val="auto"/>
          <w:sz w:val="24"/>
          <w:highlight w:val="none"/>
          <w:lang w:val="en-US" w:eastAsia="zh-CN"/>
        </w:rPr>
        <w:t>（如果供应商是联合体，则联合体各成员均须盖章）</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44B501F8">
      <w:pPr>
        <w:pStyle w:val="16"/>
        <w:spacing w:line="360" w:lineRule="auto"/>
        <w:rPr>
          <w:rFonts w:hint="eastAsia"/>
        </w:rPr>
      </w:pPr>
      <w:r>
        <w:rPr>
          <w:rFonts w:hint="eastAsia" w:ascii="宋体" w:hAnsi="宋体" w:cs="宋体"/>
          <w:color w:val="auto"/>
          <w:sz w:val="24"/>
          <w:highlight w:val="none"/>
        </w:rPr>
        <w:t>受托人</w:t>
      </w:r>
      <w:r>
        <w:rPr>
          <w:rFonts w:hint="eastAsia" w:ascii="宋体" w:hAnsi="宋体" w:cs="宋体"/>
          <w:color w:val="auto"/>
          <w:sz w:val="24"/>
          <w:highlight w:val="none"/>
          <w:lang w:eastAsia="zh-CN"/>
        </w:rPr>
        <w:t>【</w:t>
      </w:r>
      <w:r>
        <w:rPr>
          <w:rFonts w:hint="eastAsia" w:ascii="宋体" w:hAnsi="宋体" w:cs="宋体"/>
          <w:color w:val="auto"/>
          <w:sz w:val="24"/>
          <w:highlight w:val="none"/>
        </w:rPr>
        <w:t>签字（如果</w:t>
      </w:r>
      <w:r>
        <w:rPr>
          <w:rFonts w:hint="eastAsia" w:ascii="宋体" w:hAnsi="宋体" w:cs="宋体"/>
          <w:color w:val="auto"/>
          <w:sz w:val="24"/>
          <w:highlight w:val="none"/>
          <w:lang w:eastAsia="zh-CN"/>
        </w:rPr>
        <w:t>供应商</w:t>
      </w:r>
      <w:r>
        <w:rPr>
          <w:rFonts w:hint="eastAsia" w:ascii="宋体" w:hAnsi="宋体" w:cs="宋体"/>
          <w:color w:val="auto"/>
          <w:sz w:val="24"/>
          <w:highlight w:val="none"/>
        </w:rPr>
        <w:t>是联合体，可授权给一人）</w:t>
      </w:r>
      <w:r>
        <w:rPr>
          <w:rFonts w:hint="eastAsia" w:ascii="宋体" w:hAnsi="宋体" w:cs="宋体"/>
          <w:color w:val="auto"/>
          <w:sz w:val="24"/>
          <w:highlight w:val="none"/>
          <w:lang w:eastAsia="zh-CN"/>
        </w:rPr>
        <w:t>】</w:t>
      </w:r>
      <w:r>
        <w:rPr>
          <w:rFonts w:hint="eastAsia" w:ascii="宋体" w:hAnsi="宋体" w:cs="宋体"/>
          <w:color w:val="auto"/>
          <w:sz w:val="24"/>
          <w:highlight w:val="none"/>
        </w:rPr>
        <w:t>：</w:t>
      </w:r>
    </w:p>
    <w:p w14:paraId="032C16FA">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righ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年   月   日 </w:t>
      </w:r>
    </w:p>
    <w:p w14:paraId="474A30BB">
      <w:pPr>
        <w:pStyle w:val="16"/>
        <w:rPr>
          <w:rFonts w:hint="eastAsia"/>
        </w:rPr>
      </w:pPr>
    </w:p>
    <w:p w14:paraId="0059914D">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(受托人身份证复印件附后)</w:t>
      </w:r>
    </w:p>
    <w:p w14:paraId="1735E7FB">
      <w:pPr>
        <w:pageBreakBefore w:val="0"/>
        <w:kinsoku/>
        <w:wordWrap/>
        <w:overflowPunct/>
        <w:topLinePunct w:val="0"/>
        <w:autoSpaceDE/>
        <w:autoSpaceDN/>
        <w:bidi w:val="0"/>
        <w:adjustRightInd/>
        <w:snapToGrid/>
        <w:spacing w:beforeAutospacing="0" w:afterAutospacing="0" w:line="440" w:lineRule="exact"/>
        <w:ind w:left="0" w:right="0" w:firstLine="560" w:firstLineChars="200"/>
        <w:textAlignment w:val="auto"/>
        <w:rPr>
          <w:rFonts w:hint="eastAsia" w:ascii="宋体" w:hAnsi="宋体"/>
          <w:color w:val="auto"/>
          <w:sz w:val="28"/>
          <w:szCs w:val="28"/>
          <w:highlight w:val="none"/>
        </w:rPr>
      </w:pPr>
      <w:r>
        <w:rPr>
          <w:rFonts w:hint="eastAsia" w:ascii="宋体" w:hAnsi="宋体"/>
          <w:color w:val="auto"/>
          <w:sz w:val="28"/>
          <w:szCs w:val="28"/>
          <w:highlight w:val="none"/>
        </w:rPr>
        <w:t xml:space="preserve"> </w:t>
      </w:r>
    </w:p>
    <w:p w14:paraId="334710BD">
      <w:pPr>
        <w:pageBreakBefore w:val="0"/>
        <w:kinsoku/>
        <w:wordWrap/>
        <w:overflowPunct/>
        <w:topLinePunct w:val="0"/>
        <w:autoSpaceDE/>
        <w:autoSpaceDN/>
        <w:bidi w:val="0"/>
        <w:adjustRightInd/>
        <w:snapToGrid/>
        <w:spacing w:beforeAutospacing="0" w:afterAutospacing="0" w:line="440" w:lineRule="exact"/>
        <w:ind w:left="0" w:right="0" w:firstLine="560" w:firstLineChars="200"/>
        <w:textAlignment w:val="auto"/>
        <w:rPr>
          <w:rFonts w:ascii="宋体" w:hAnsi="宋体"/>
          <w:color w:val="auto"/>
          <w:sz w:val="28"/>
          <w:szCs w:val="28"/>
          <w:highlight w:val="none"/>
        </w:rPr>
      </w:pPr>
    </w:p>
    <w:p w14:paraId="00C9BFFD">
      <w:pPr>
        <w:pageBreakBefore w:val="0"/>
        <w:kinsoku/>
        <w:wordWrap/>
        <w:overflowPunct/>
        <w:topLinePunct w:val="0"/>
        <w:autoSpaceDE/>
        <w:autoSpaceDN/>
        <w:bidi w:val="0"/>
        <w:adjustRightInd/>
        <w:snapToGrid/>
        <w:spacing w:beforeAutospacing="0" w:afterAutospacing="0" w:line="440" w:lineRule="exact"/>
        <w:ind w:left="0" w:right="0" w:firstLine="560" w:firstLineChars="200"/>
        <w:textAlignment w:val="auto"/>
        <w:rPr>
          <w:rFonts w:ascii="宋体" w:hAnsi="宋体"/>
          <w:color w:val="auto"/>
          <w:sz w:val="28"/>
          <w:szCs w:val="28"/>
          <w:highlight w:val="none"/>
        </w:rPr>
      </w:pPr>
    </w:p>
    <w:p w14:paraId="41192532">
      <w:pPr>
        <w:pageBreakBefore w:val="0"/>
        <w:kinsoku/>
        <w:wordWrap/>
        <w:overflowPunct/>
        <w:topLinePunct w:val="0"/>
        <w:autoSpaceDE/>
        <w:autoSpaceDN/>
        <w:bidi w:val="0"/>
        <w:adjustRightInd/>
        <w:snapToGrid/>
        <w:spacing w:beforeAutospacing="0" w:afterAutospacing="0" w:line="440" w:lineRule="exact"/>
        <w:ind w:left="0" w:right="0" w:firstLine="560" w:firstLineChars="200"/>
        <w:textAlignment w:val="auto"/>
        <w:rPr>
          <w:rFonts w:ascii="宋体" w:hAnsi="宋体"/>
          <w:color w:val="auto"/>
          <w:sz w:val="28"/>
          <w:szCs w:val="28"/>
          <w:highlight w:val="none"/>
        </w:rPr>
      </w:pPr>
    </w:p>
    <w:p w14:paraId="7D1EB451">
      <w:pPr>
        <w:pageBreakBefore w:val="0"/>
        <w:widowControl/>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ascii="黑体" w:hAnsi="黑体" w:eastAsia="黑体"/>
          <w:color w:val="auto"/>
          <w:sz w:val="30"/>
          <w:szCs w:val="30"/>
          <w:highlight w:val="none"/>
        </w:rPr>
      </w:pPr>
      <w:r>
        <w:rPr>
          <w:rFonts w:ascii="黑体" w:hAnsi="黑体" w:eastAsia="黑体"/>
          <w:color w:val="auto"/>
          <w:sz w:val="30"/>
          <w:szCs w:val="30"/>
          <w:highlight w:val="none"/>
        </w:rPr>
        <w:br w:type="page" w:clear="all"/>
      </w:r>
      <w:r>
        <w:rPr>
          <w:rFonts w:hint="eastAsia" w:ascii="黑体" w:hAnsi="黑体" w:eastAsia="黑体"/>
          <w:color w:val="auto"/>
          <w:sz w:val="30"/>
          <w:szCs w:val="30"/>
          <w:highlight w:val="none"/>
        </w:rPr>
        <w:t>六、中小企业声明函格式</w:t>
      </w:r>
    </w:p>
    <w:p w14:paraId="6732BD24">
      <w:pPr>
        <w:pageBreakBefore w:val="0"/>
        <w:kinsoku/>
        <w:wordWrap/>
        <w:overflowPunct/>
        <w:topLinePunct w:val="0"/>
        <w:autoSpaceDE/>
        <w:autoSpaceDN/>
        <w:bidi w:val="0"/>
        <w:adjustRightInd/>
        <w:snapToGrid/>
        <w:spacing w:beforeAutospacing="0" w:afterAutospacing="0" w:line="440" w:lineRule="exact"/>
        <w:ind w:left="0" w:right="0" w:firstLine="482" w:firstLineChars="200"/>
        <w:jc w:val="center"/>
        <w:textAlignment w:val="auto"/>
        <w:rPr>
          <w:rFonts w:hint="eastAsia" w:ascii="仿宋" w:hAnsi="仿宋" w:eastAsia="仿宋"/>
          <w:color w:val="auto"/>
          <w:spacing w:val="6"/>
          <w:sz w:val="30"/>
          <w:szCs w:val="30"/>
          <w:highlight w:val="none"/>
        </w:rPr>
      </w:pPr>
      <w:r>
        <w:rPr>
          <w:rFonts w:hint="eastAsia"/>
          <w:b/>
          <w:bCs/>
          <w:color w:val="auto"/>
          <w:sz w:val="24"/>
          <w:szCs w:val="32"/>
          <w:highlight w:val="none"/>
        </w:rPr>
        <w:t>（投标人为联合体时，则牵头方和成员均要提供）</w:t>
      </w:r>
    </w:p>
    <w:p w14:paraId="33D576B6">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p>
    <w:p w14:paraId="609A0CA1">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w:t>
      </w:r>
      <w:r>
        <w:rPr>
          <w:rFonts w:hint="eastAsia" w:ascii="宋体" w:hAnsi="宋体" w:cs="宋体"/>
          <w:color w:val="auto"/>
          <w:spacing w:val="6"/>
          <w:sz w:val="24"/>
          <w:szCs w:val="24"/>
          <w:highlight w:val="none"/>
          <w:lang w:eastAsia="zh-CN"/>
        </w:rPr>
        <w:t>徐州市耕地保护和利用专项规划</w:t>
      </w:r>
      <w:r>
        <w:rPr>
          <w:rFonts w:hint="eastAsia" w:ascii="宋体" w:hAnsi="宋体" w:eastAsia="宋体" w:cs="宋体"/>
          <w:color w:val="auto"/>
          <w:spacing w:val="6"/>
          <w:sz w:val="24"/>
          <w:szCs w:val="24"/>
          <w:highlight w:val="none"/>
        </w:rPr>
        <w:t xml:space="preserve"> </w:t>
      </w:r>
    </w:p>
    <w:p w14:paraId="39DADE2A">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项目编号：</w:t>
      </w:r>
      <w:r>
        <w:rPr>
          <w:rFonts w:hint="eastAsia" w:ascii="宋体" w:hAnsi="宋体" w:cs="宋体"/>
          <w:color w:val="auto"/>
          <w:spacing w:val="6"/>
          <w:sz w:val="24"/>
          <w:szCs w:val="24"/>
          <w:highlight w:val="none"/>
          <w:lang w:eastAsia="zh-CN"/>
        </w:rPr>
        <w:t>JSZC-320300-HMGL-G2025-0002</w:t>
      </w:r>
    </w:p>
    <w:p w14:paraId="7BB0F36B">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本公司郑重声明，根据《政府采购促进中小企业发展管理办法》（财库﹝2020﹞46 号）的规定，本公司参加</w:t>
      </w:r>
      <w:r>
        <w:rPr>
          <w:rFonts w:hint="eastAsia" w:ascii="宋体" w:hAnsi="宋体" w:eastAsia="宋体" w:cs="宋体"/>
          <w:color w:val="auto"/>
          <w:sz w:val="24"/>
          <w:szCs w:val="24"/>
          <w:highlight w:val="none"/>
          <w:u w:val="single"/>
        </w:rPr>
        <w:t>（单位名称）</w:t>
      </w:r>
      <w:r>
        <w:rPr>
          <w:rFonts w:hint="eastAsia" w:ascii="宋体" w:hAnsi="宋体" w:eastAsia="宋体" w:cs="宋体"/>
          <w:color w:val="auto"/>
          <w:sz w:val="24"/>
          <w:szCs w:val="24"/>
          <w:highlight w:val="none"/>
        </w:rPr>
        <w:t>的</w:t>
      </w:r>
      <w:r>
        <w:rPr>
          <w:rFonts w:hint="eastAsia" w:ascii="宋体" w:hAnsi="宋体" w:eastAsia="宋体" w:cs="宋体"/>
          <w:color w:val="auto"/>
          <w:sz w:val="24"/>
          <w:szCs w:val="24"/>
          <w:highlight w:val="none"/>
          <w:u w:val="single"/>
        </w:rPr>
        <w:t>（项目名称）</w:t>
      </w:r>
      <w:r>
        <w:rPr>
          <w:rFonts w:hint="eastAsia" w:ascii="宋体" w:hAnsi="宋体" w:eastAsia="宋体" w:cs="宋体"/>
          <w:color w:val="auto"/>
          <w:sz w:val="24"/>
          <w:szCs w:val="24"/>
          <w:highlight w:val="none"/>
        </w:rPr>
        <w:t>采购活动，服务全部由符合政策要求的中小企业承接。相关企业的具体情况如下：</w:t>
      </w:r>
    </w:p>
    <w:p w14:paraId="65EDA3D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u w:val="single"/>
        </w:rPr>
      </w:pPr>
      <w:r>
        <w:rPr>
          <w:rFonts w:hint="eastAsia" w:ascii="宋体" w:hAnsi="宋体" w:eastAsia="宋体" w:cs="宋体"/>
          <w:color w:val="auto"/>
          <w:sz w:val="24"/>
          <w:szCs w:val="24"/>
          <w:highlight w:val="none"/>
          <w:u w:val="single"/>
        </w:rPr>
        <w:t>（标的名称）</w:t>
      </w:r>
      <w:r>
        <w:rPr>
          <w:rFonts w:hint="eastAsia" w:ascii="宋体" w:hAnsi="宋体" w:eastAsia="宋体" w:cs="宋体"/>
          <w:color w:val="auto"/>
          <w:sz w:val="24"/>
          <w:szCs w:val="24"/>
          <w:highlight w:val="none"/>
        </w:rPr>
        <w:t>，属于</w:t>
      </w:r>
      <w:r>
        <w:rPr>
          <w:rFonts w:hint="eastAsia" w:ascii="宋体" w:hAnsi="宋体" w:eastAsia="宋体" w:cs="宋体"/>
          <w:color w:val="auto"/>
          <w:sz w:val="24"/>
          <w:szCs w:val="24"/>
          <w:highlight w:val="none"/>
          <w:u w:val="single"/>
        </w:rPr>
        <w:t>（采购文件中明确的所属行业）</w:t>
      </w:r>
      <w:r>
        <w:rPr>
          <w:rFonts w:hint="eastAsia" w:ascii="宋体" w:hAnsi="宋体" w:eastAsia="宋体" w:cs="宋体"/>
          <w:color w:val="auto"/>
          <w:sz w:val="24"/>
          <w:szCs w:val="24"/>
          <w:highlight w:val="none"/>
        </w:rPr>
        <w:t>； 承建（承接）企业为</w:t>
      </w:r>
      <w:r>
        <w:rPr>
          <w:rFonts w:hint="eastAsia" w:ascii="宋体" w:hAnsi="宋体" w:eastAsia="宋体" w:cs="宋体"/>
          <w:color w:val="auto"/>
          <w:sz w:val="24"/>
          <w:szCs w:val="24"/>
          <w:highlight w:val="none"/>
          <w:u w:val="single"/>
        </w:rPr>
        <w:t>（企业名称）</w:t>
      </w:r>
      <w:r>
        <w:rPr>
          <w:rFonts w:hint="eastAsia" w:ascii="宋体" w:hAnsi="宋体" w:eastAsia="宋体" w:cs="宋体"/>
          <w:color w:val="auto"/>
          <w:sz w:val="24"/>
          <w:szCs w:val="24"/>
          <w:highlight w:val="none"/>
        </w:rPr>
        <w:t>，从业人员</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人，营业收入为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万元，资产总额为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万元，属于（□中型企业、□小型企业、□微型企业，</w:t>
      </w:r>
      <w:r>
        <w:rPr>
          <w:rFonts w:hint="eastAsia" w:ascii="宋体" w:hAnsi="宋体" w:eastAsia="宋体" w:cs="宋体"/>
          <w:color w:val="FF0000"/>
          <w:sz w:val="24"/>
          <w:szCs w:val="24"/>
          <w:highlight w:val="none"/>
        </w:rPr>
        <w:t>请勾选！</w:t>
      </w:r>
      <w:r>
        <w:rPr>
          <w:rFonts w:hint="eastAsia" w:ascii="宋体" w:hAnsi="宋体" w:eastAsia="宋体" w:cs="宋体"/>
          <w:color w:val="auto"/>
          <w:sz w:val="24"/>
          <w:szCs w:val="24"/>
          <w:highlight w:val="none"/>
        </w:rPr>
        <w:t>）；</w:t>
      </w:r>
    </w:p>
    <w:p w14:paraId="11A772D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以上企业，不属于大企业的分支机构，不存在控股股东为大企业的情形，也不存在与大企业的负责人为同一人的情形。</w:t>
      </w:r>
    </w:p>
    <w:p w14:paraId="1AC48EA0">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本企业对上述声明内容的真实性负责。如有虚假，将依法承担相应责任。</w:t>
      </w:r>
    </w:p>
    <w:p w14:paraId="51EF8D07">
      <w:pPr>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p>
    <w:p w14:paraId="5F87E9F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企业名称（盖单位电子签章）：</w:t>
      </w:r>
    </w:p>
    <w:p w14:paraId="09510897">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日期：</w:t>
      </w:r>
    </w:p>
    <w:p w14:paraId="09777E92">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注：本项目采购的服务属于</w:t>
      </w:r>
      <w:r>
        <w:rPr>
          <w:rFonts w:hint="eastAsia" w:ascii="宋体" w:hAnsi="宋体" w:eastAsia="宋体" w:cs="宋体"/>
          <w:color w:val="auto"/>
          <w:sz w:val="24"/>
          <w:szCs w:val="24"/>
          <w:highlight w:val="none"/>
          <w:u w:val="single"/>
        </w:rPr>
        <w:t>其他未列明行业</w:t>
      </w:r>
      <w:r>
        <w:rPr>
          <w:rFonts w:hint="eastAsia" w:ascii="宋体" w:hAnsi="宋体" w:eastAsia="宋体" w:cs="宋体"/>
          <w:color w:val="auto"/>
          <w:sz w:val="24"/>
          <w:szCs w:val="24"/>
          <w:highlight w:val="none"/>
        </w:rPr>
        <w:t>。</w:t>
      </w:r>
    </w:p>
    <w:p w14:paraId="6E0C1643">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p>
    <w:p w14:paraId="0C099350">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备注：</w:t>
      </w:r>
    </w:p>
    <w:p w14:paraId="628F3DE6">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1、从业人员、营业收入、资产总额填报上一年度数据，无上一年度数据的新成立企业可不填报。</w:t>
      </w:r>
    </w:p>
    <w:p w14:paraId="14CEA505">
      <w:pPr>
        <w:pStyle w:val="227"/>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2、《中小企业声明函》</w:t>
      </w:r>
      <w:r>
        <w:rPr>
          <w:rFonts w:hint="eastAsia" w:ascii="宋体" w:hAnsi="宋体" w:eastAsia="宋体" w:cs="宋体"/>
          <w:color w:val="auto"/>
          <w:sz w:val="24"/>
          <w:szCs w:val="24"/>
          <w:highlight w:val="none"/>
          <w:lang w:eastAsia="zh-CN"/>
        </w:rPr>
        <w:t>查询渠道用微信搜索“中小企业规模类型自测小程序</w:t>
      </w:r>
      <w:r>
        <w:rPr>
          <w:rFonts w:hint="eastAsia" w:ascii="宋体" w:hAnsi="宋体" w:eastAsia="宋体" w:cs="宋体"/>
          <w:color w:val="auto"/>
          <w:sz w:val="24"/>
          <w:szCs w:val="24"/>
          <w:highlight w:val="none"/>
        </w:rPr>
        <w:t>。</w:t>
      </w:r>
    </w:p>
    <w:p w14:paraId="170CA10D">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0AC9AD7D">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color w:val="auto"/>
          <w:highlight w:val="none"/>
        </w:rPr>
      </w:pPr>
    </w:p>
    <w:p w14:paraId="7A626099">
      <w:pPr>
        <w:pStyle w:val="213"/>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sectPr>
          <w:headerReference r:id="rId7" w:type="default"/>
          <w:footerReference r:id="rId8" w:type="default"/>
          <w:pgSz w:w="11906" w:h="16838"/>
          <w:pgMar w:top="851" w:right="1702" w:bottom="851" w:left="1804" w:header="851" w:footer="992" w:gutter="0"/>
          <w:pgNumType w:fmt="decimal"/>
          <w:cols w:space="720" w:num="1"/>
          <w:docGrid w:linePitch="360" w:charSpace="0"/>
        </w:sectPr>
      </w:pPr>
    </w:p>
    <w:p w14:paraId="27B980C8">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r>
        <w:rPr>
          <w:color w:val="auto"/>
          <w:highlight w:val="none"/>
        </w:rPr>
        <w:drawing>
          <wp:anchor distT="0" distB="0" distL="0" distR="0" simplePos="0" relativeHeight="251660288" behindDoc="0" locked="0" layoutInCell="1" allowOverlap="1">
            <wp:simplePos x="0" y="0"/>
            <wp:positionH relativeFrom="column">
              <wp:posOffset>497840</wp:posOffset>
            </wp:positionH>
            <wp:positionV relativeFrom="paragraph">
              <wp:posOffset>17145</wp:posOffset>
            </wp:positionV>
            <wp:extent cx="3575685" cy="4588510"/>
            <wp:effectExtent l="0" t="0" r="5715" b="2540"/>
            <wp:wrapNone/>
            <wp:docPr id="4" name="_x0000_s2050"/>
            <wp:cNvGraphicFramePr/>
            <a:graphic xmlns:a="http://schemas.openxmlformats.org/drawingml/2006/main">
              <a:graphicData uri="http://schemas.openxmlformats.org/drawingml/2006/picture">
                <pic:pic xmlns:pic="http://schemas.openxmlformats.org/drawingml/2006/picture">
                  <pic:nvPicPr>
                    <pic:cNvPr id="4" name="_x0000_s2050"/>
                    <pic:cNvPicPr/>
                  </pic:nvPicPr>
                  <pic:blipFill>
                    <a:blip r:embed="rId10"/>
                    <a:stretch>
                      <a:fillRect/>
                    </a:stretch>
                  </pic:blipFill>
                  <pic:spPr>
                    <a:xfrm>
                      <a:off x="0" y="0"/>
                      <a:ext cx="3575685" cy="4588510"/>
                    </a:xfrm>
                    <a:prstGeom prst="rect">
                      <a:avLst/>
                    </a:prstGeom>
                  </pic:spPr>
                </pic:pic>
              </a:graphicData>
            </a:graphic>
          </wp:anchor>
        </w:drawing>
      </w:r>
    </w:p>
    <w:p w14:paraId="1450D1B3">
      <w:pPr>
        <w:pageBreakBefore w:val="0"/>
        <w:widowControl/>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 w:hAnsi="仿宋" w:eastAsia="仿宋"/>
          <w:color w:val="auto"/>
          <w:sz w:val="30"/>
          <w:szCs w:val="30"/>
          <w:highlight w:val="none"/>
        </w:rPr>
      </w:pPr>
    </w:p>
    <w:p w14:paraId="591E022E">
      <w:pPr>
        <w:pageBreakBefore w:val="0"/>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ascii="黑体" w:hAnsi="黑体" w:eastAsia="黑体"/>
          <w:color w:val="auto"/>
          <w:sz w:val="30"/>
          <w:szCs w:val="30"/>
          <w:highlight w:val="none"/>
        </w:rPr>
      </w:pPr>
      <w:r>
        <w:rPr>
          <w:rFonts w:ascii="黑体" w:hAnsi="黑体" w:eastAsia="黑体"/>
          <w:color w:val="auto"/>
          <w:sz w:val="30"/>
          <w:szCs w:val="30"/>
          <w:highlight w:val="none"/>
        </w:rPr>
        <w:br w:type="page" w:clear="all"/>
      </w:r>
      <w:r>
        <w:rPr>
          <w:rFonts w:hint="eastAsia" w:ascii="黑体" w:hAnsi="黑体" w:eastAsia="黑体"/>
          <w:color w:val="auto"/>
          <w:sz w:val="30"/>
          <w:szCs w:val="30"/>
          <w:highlight w:val="none"/>
        </w:rPr>
        <w:t>七、残疾人福利性单位声明函格式</w:t>
      </w:r>
    </w:p>
    <w:p w14:paraId="685C5E68">
      <w:pPr>
        <w:pageBreakBefore w:val="0"/>
        <w:kinsoku/>
        <w:wordWrap/>
        <w:overflowPunct/>
        <w:topLinePunct w:val="0"/>
        <w:autoSpaceDE/>
        <w:autoSpaceDN/>
        <w:bidi w:val="0"/>
        <w:adjustRightInd/>
        <w:snapToGrid/>
        <w:spacing w:beforeAutospacing="0" w:afterAutospacing="0" w:line="440" w:lineRule="exact"/>
        <w:ind w:left="0" w:right="0" w:firstLine="602" w:firstLineChars="200"/>
        <w:jc w:val="center"/>
        <w:textAlignment w:val="auto"/>
        <w:rPr>
          <w:rFonts w:hint="eastAsia" w:ascii="宋体" w:hAnsi="宋体" w:cs="宋体"/>
          <w:b/>
          <w:color w:val="auto"/>
          <w:sz w:val="30"/>
          <w:szCs w:val="30"/>
          <w:highlight w:val="none"/>
        </w:rPr>
      </w:pPr>
      <w:r>
        <w:rPr>
          <w:rFonts w:hint="eastAsia" w:ascii="宋体" w:hAnsi="宋体" w:cs="宋体"/>
          <w:b/>
          <w:color w:val="auto"/>
          <w:sz w:val="30"/>
          <w:szCs w:val="30"/>
          <w:highlight w:val="none"/>
        </w:rPr>
        <w:t>（投标人为联合体时，残疾人福利性单位成员提供）</w:t>
      </w:r>
    </w:p>
    <w:p w14:paraId="4AE7E441">
      <w:pPr>
        <w:pStyle w:val="36"/>
      </w:pPr>
    </w:p>
    <w:p w14:paraId="460580EB">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w:t>
      </w:r>
      <w:r>
        <w:rPr>
          <w:rFonts w:hint="eastAsia" w:ascii="宋体" w:hAnsi="宋体" w:cs="宋体"/>
          <w:color w:val="auto"/>
          <w:spacing w:val="6"/>
          <w:sz w:val="24"/>
          <w:szCs w:val="24"/>
          <w:highlight w:val="none"/>
          <w:lang w:eastAsia="zh-CN"/>
        </w:rPr>
        <w:t>徐州市耕地保护和利用专项规划</w:t>
      </w:r>
      <w:r>
        <w:rPr>
          <w:rFonts w:hint="eastAsia" w:ascii="宋体" w:hAnsi="宋体" w:eastAsia="宋体" w:cs="宋体"/>
          <w:color w:val="auto"/>
          <w:spacing w:val="6"/>
          <w:sz w:val="24"/>
          <w:szCs w:val="24"/>
          <w:highlight w:val="none"/>
        </w:rPr>
        <w:t xml:space="preserve"> </w:t>
      </w:r>
    </w:p>
    <w:p w14:paraId="006358EA">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项目编号：</w:t>
      </w:r>
      <w:r>
        <w:rPr>
          <w:rFonts w:hint="eastAsia" w:ascii="宋体" w:hAnsi="宋体" w:cs="宋体"/>
          <w:color w:val="auto"/>
          <w:spacing w:val="6"/>
          <w:sz w:val="24"/>
          <w:szCs w:val="24"/>
          <w:highlight w:val="none"/>
          <w:lang w:eastAsia="zh-CN"/>
        </w:rPr>
        <w:t>JSZC-320300-HMGL-G2025-0002</w:t>
      </w:r>
    </w:p>
    <w:p w14:paraId="3ADEFC6E">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p>
    <w:p w14:paraId="3C35950F">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本单位郑重声明，根据《财政部 民政部 中国残疾人联合会关于促进残疾人就业政府采购政策的通知》（财库</w:t>
      </w:r>
      <w:r>
        <w:rPr>
          <w:rFonts w:hint="eastAsia" w:ascii="宋体" w:hAnsi="宋体" w:eastAsia="宋体" w:cs="宋体"/>
          <w:color w:val="auto"/>
          <w:sz w:val="24"/>
          <w:szCs w:val="24"/>
          <w:highlight w:val="none"/>
        </w:rPr>
        <w:t>〔2017〕 141</w:t>
      </w:r>
      <w:r>
        <w:rPr>
          <w:rFonts w:hint="eastAsia" w:ascii="宋体" w:hAnsi="宋体" w:eastAsia="宋体" w:cs="宋体"/>
          <w:color w:val="auto"/>
          <w:spacing w:val="6"/>
          <w:sz w:val="24"/>
          <w:szCs w:val="24"/>
          <w:highlight w:val="none"/>
        </w:rPr>
        <w:t>号）的规定，本单位为符合条件的残疾人福利性单位，且本单位参加</w:t>
      </w:r>
      <w:r>
        <w:rPr>
          <w:rFonts w:hint="eastAsia" w:ascii="宋体" w:hAnsi="宋体" w:eastAsia="宋体" w:cs="宋体"/>
          <w:color w:val="auto"/>
          <w:sz w:val="24"/>
          <w:szCs w:val="24"/>
          <w:highlight w:val="none"/>
        </w:rPr>
        <w:t>______</w:t>
      </w:r>
      <w:r>
        <w:rPr>
          <w:rFonts w:hint="eastAsia" w:ascii="宋体" w:hAnsi="宋体" w:eastAsia="宋体" w:cs="宋体"/>
          <w:color w:val="auto"/>
          <w:spacing w:val="6"/>
          <w:sz w:val="24"/>
          <w:szCs w:val="24"/>
          <w:highlight w:val="none"/>
        </w:rPr>
        <w:t>单位的</w:t>
      </w:r>
      <w:r>
        <w:rPr>
          <w:rFonts w:hint="eastAsia" w:ascii="宋体" w:hAnsi="宋体" w:eastAsia="宋体" w:cs="宋体"/>
          <w:color w:val="auto"/>
          <w:sz w:val="24"/>
          <w:szCs w:val="24"/>
          <w:highlight w:val="none"/>
        </w:rPr>
        <w:t>______</w:t>
      </w:r>
      <w:r>
        <w:rPr>
          <w:rFonts w:hint="eastAsia" w:ascii="宋体" w:hAnsi="宋体" w:eastAsia="宋体" w:cs="宋体"/>
          <w:color w:val="auto"/>
          <w:spacing w:val="6"/>
          <w:sz w:val="24"/>
          <w:szCs w:val="24"/>
          <w:highlight w:val="none"/>
        </w:rPr>
        <w:t>项目采购活动提供本单位制造的货物（由本单位承担工程/提供服务），或者提供其他残疾人福利性单位制造的货物（不包括使用非残疾人福利性单位注册商标的货物）。</w:t>
      </w:r>
    </w:p>
    <w:p w14:paraId="36B3CF25">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本单位对上述声明的真实性负责。如有虚假，将依法承担相应责任。</w:t>
      </w:r>
    </w:p>
    <w:p w14:paraId="779C7CD8">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p>
    <w:p w14:paraId="1B612873">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p>
    <w:p w14:paraId="0FE8C64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（盖单位电子签章）  </w:t>
      </w:r>
    </w:p>
    <w:p w14:paraId="0A2CEF98">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1C96B28D">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70F439D6">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1A20B966">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黑体" w:hAnsi="黑体" w:eastAsia="黑体"/>
          <w:color w:val="auto"/>
          <w:sz w:val="30"/>
          <w:szCs w:val="30"/>
          <w:highlight w:val="none"/>
        </w:rPr>
      </w:pPr>
    </w:p>
    <w:p w14:paraId="0FAA4F35">
      <w:pPr>
        <w:pageBreakBefore w:val="0"/>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ascii="黑体" w:hAnsi="黑体" w:eastAsia="黑体"/>
          <w:color w:val="auto"/>
          <w:sz w:val="30"/>
          <w:szCs w:val="30"/>
          <w:highlight w:val="none"/>
        </w:rPr>
      </w:pPr>
      <w:r>
        <w:rPr>
          <w:rFonts w:ascii="黑体" w:hAnsi="黑体" w:eastAsia="黑体"/>
          <w:color w:val="auto"/>
          <w:sz w:val="30"/>
          <w:szCs w:val="30"/>
          <w:highlight w:val="none"/>
        </w:rPr>
        <w:br w:type="page" w:clear="all"/>
      </w:r>
      <w:r>
        <w:rPr>
          <w:rFonts w:hint="eastAsia" w:ascii="黑体" w:hAnsi="黑体" w:eastAsia="黑体"/>
          <w:color w:val="auto"/>
          <w:sz w:val="30"/>
          <w:szCs w:val="30"/>
          <w:highlight w:val="none"/>
        </w:rPr>
        <w:t>八、投标人参加政府采购活动前3年内在经营活动中没有重大违法记录的书面声明格式</w:t>
      </w:r>
    </w:p>
    <w:p w14:paraId="1CA2B62B">
      <w:pPr>
        <w:pageBreakBefore w:val="0"/>
        <w:kinsoku/>
        <w:wordWrap/>
        <w:overflowPunct/>
        <w:topLinePunct w:val="0"/>
        <w:autoSpaceDE/>
        <w:autoSpaceDN/>
        <w:bidi w:val="0"/>
        <w:adjustRightInd/>
        <w:snapToGrid/>
        <w:spacing w:beforeAutospacing="0" w:afterAutospacing="0" w:line="440" w:lineRule="exact"/>
        <w:ind w:left="0" w:right="0" w:firstLine="600" w:firstLineChars="200"/>
        <w:textAlignment w:val="auto"/>
        <w:rPr>
          <w:rFonts w:ascii="仿宋_GB2312" w:hAnsi="宋体" w:eastAsia="仿宋_GB2312"/>
          <w:color w:val="auto"/>
          <w:sz w:val="30"/>
          <w:szCs w:val="30"/>
          <w:highlight w:val="none"/>
        </w:rPr>
      </w:pPr>
    </w:p>
    <w:p w14:paraId="37A9A70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我单位在参加</w:t>
      </w:r>
      <w:r>
        <w:rPr>
          <w:rFonts w:hint="eastAsia" w:ascii="宋体" w:hAnsi="宋体" w:cs="宋体"/>
          <w:color w:val="auto"/>
          <w:sz w:val="24"/>
          <w:szCs w:val="24"/>
          <w:highlight w:val="none"/>
          <w:lang w:eastAsia="zh-CN"/>
        </w:rPr>
        <w:t>徐州市耕地保护和利用专项规划</w:t>
      </w:r>
      <w:r>
        <w:rPr>
          <w:rFonts w:hint="eastAsia" w:ascii="宋体" w:hAnsi="宋体" w:eastAsia="宋体" w:cs="宋体"/>
          <w:color w:val="auto"/>
          <w:sz w:val="24"/>
          <w:szCs w:val="24"/>
          <w:highlight w:val="none"/>
        </w:rPr>
        <w:t>项目（项目编号：</w:t>
      </w:r>
      <w:r>
        <w:rPr>
          <w:rFonts w:hint="eastAsia" w:ascii="宋体" w:hAnsi="宋体" w:cs="宋体"/>
          <w:color w:val="auto"/>
          <w:sz w:val="24"/>
          <w:szCs w:val="24"/>
          <w:highlight w:val="none"/>
          <w:lang w:eastAsia="zh-CN"/>
        </w:rPr>
        <w:t>JSZC-320300-HMGL-G2025-0002</w:t>
      </w:r>
      <w:r>
        <w:rPr>
          <w:rFonts w:hint="eastAsia" w:ascii="宋体" w:hAnsi="宋体" w:eastAsia="宋体" w:cs="宋体"/>
          <w:color w:val="auto"/>
          <w:sz w:val="24"/>
          <w:szCs w:val="24"/>
          <w:highlight w:val="none"/>
        </w:rPr>
        <w:t>）政府采购活动前3年内，在经营活动中没有重大违法记录。重大违法记录是指因违法经营受到刑事处罚或者责令停产停业、吊销许可证或者执照、较大数额罚款等行政处罚。</w:t>
      </w:r>
    </w:p>
    <w:p w14:paraId="6677131C">
      <w:pPr>
        <w:pStyle w:val="229"/>
        <w:pageBreakBefore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我单位对上述声明的真实性负责。如有虚假，将依法承担相应责任。</w:t>
      </w:r>
    </w:p>
    <w:p w14:paraId="1EA2E0D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1384571E">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02CF56BC">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投标人：</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 xml:space="preserve">（盖单位电子签章）  </w:t>
      </w:r>
    </w:p>
    <w:p w14:paraId="3B7FB4E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p>
    <w:p w14:paraId="39CC9464">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日期：   年  月  日</w:t>
      </w:r>
    </w:p>
    <w:p w14:paraId="4170901A">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rFonts w:eastAsia="仿宋"/>
          <w:color w:val="auto"/>
          <w:highlight w:val="none"/>
        </w:rPr>
      </w:pPr>
    </w:p>
    <w:p w14:paraId="4C623970">
      <w:pPr>
        <w:pStyle w:val="213"/>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6F24A640">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47706D43">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rFonts w:eastAsia="仿宋"/>
          <w:color w:val="auto"/>
          <w:highlight w:val="none"/>
        </w:rPr>
      </w:pPr>
    </w:p>
    <w:p w14:paraId="13C8A0AD">
      <w:pPr>
        <w:pStyle w:val="213"/>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6F6C9A5E">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4ED7DA83">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rFonts w:eastAsia="仿宋"/>
          <w:color w:val="auto"/>
          <w:highlight w:val="none"/>
        </w:rPr>
      </w:pPr>
    </w:p>
    <w:p w14:paraId="3A6E7787">
      <w:pPr>
        <w:pStyle w:val="213"/>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165E102B">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71CAC307">
      <w:pPr>
        <w:spacing w:line="480" w:lineRule="exact"/>
        <w:rPr>
          <w:rFonts w:ascii="宋体" w:hAnsi="宋体" w:cs="宋体"/>
          <w:b/>
          <w:color w:val="auto"/>
          <w:sz w:val="30"/>
          <w:szCs w:val="30"/>
          <w:highlight w:val="none"/>
        </w:rPr>
      </w:pPr>
      <w:r>
        <w:rPr>
          <w:rFonts w:hint="eastAsia" w:ascii="宋体" w:hAnsi="宋体" w:cs="宋体"/>
          <w:b/>
          <w:color w:val="auto"/>
          <w:sz w:val="30"/>
          <w:szCs w:val="30"/>
          <w:highlight w:val="none"/>
        </w:rPr>
        <w:t>注：如果投标人是联合体，则牵头方和成员均需分别提供</w:t>
      </w:r>
    </w:p>
    <w:p w14:paraId="543619E6">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rFonts w:eastAsia="仿宋"/>
          <w:color w:val="auto"/>
          <w:highlight w:val="none"/>
        </w:rPr>
      </w:pPr>
    </w:p>
    <w:p w14:paraId="1614E3F7">
      <w:pPr>
        <w:pStyle w:val="213"/>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5221EC48">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224E2B3F">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rFonts w:eastAsia="仿宋"/>
          <w:color w:val="auto"/>
          <w:highlight w:val="none"/>
        </w:rPr>
      </w:pPr>
    </w:p>
    <w:p w14:paraId="105054A9">
      <w:pPr>
        <w:pStyle w:val="213"/>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2B9AEBE6">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762FA7F0">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rFonts w:eastAsia="仿宋"/>
          <w:color w:val="auto"/>
          <w:highlight w:val="none"/>
        </w:rPr>
      </w:pPr>
    </w:p>
    <w:p w14:paraId="107559E5">
      <w:pPr>
        <w:pStyle w:val="213"/>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62732A18">
      <w:pPr>
        <w:pageBreakBefore w:val="0"/>
        <w:kinsoku/>
        <w:wordWrap/>
        <w:overflowPunct/>
        <w:topLinePunct w:val="0"/>
        <w:autoSpaceDE/>
        <w:autoSpaceDN/>
        <w:bidi w:val="0"/>
        <w:adjustRightInd/>
        <w:snapToGrid/>
        <w:spacing w:beforeAutospacing="0" w:afterAutospacing="0" w:line="440" w:lineRule="exact"/>
        <w:ind w:left="0" w:right="0" w:firstLine="420" w:firstLineChars="200"/>
        <w:textAlignment w:val="auto"/>
        <w:rPr>
          <w:color w:val="auto"/>
          <w:highlight w:val="none"/>
        </w:rPr>
      </w:pPr>
    </w:p>
    <w:p w14:paraId="1E6AC96C">
      <w:pPr>
        <w:pageBreakBefore w:val="0"/>
        <w:kinsoku/>
        <w:wordWrap/>
        <w:overflowPunct/>
        <w:topLinePunct w:val="0"/>
        <w:autoSpaceDE/>
        <w:autoSpaceDN/>
        <w:bidi w:val="0"/>
        <w:adjustRightInd/>
        <w:snapToGrid/>
        <w:spacing w:beforeAutospacing="0" w:afterAutospacing="0" w:line="440" w:lineRule="exact"/>
        <w:ind w:left="0" w:right="0" w:firstLine="562" w:firstLineChars="200"/>
        <w:jc w:val="center"/>
        <w:textAlignment w:val="auto"/>
        <w:rPr>
          <w:rFonts w:hint="eastAsia" w:ascii="宋体" w:hAnsi="宋体"/>
          <w:b/>
          <w:color w:val="auto"/>
          <w:sz w:val="28"/>
          <w:szCs w:val="28"/>
          <w:highlight w:val="none"/>
        </w:rPr>
      </w:pPr>
      <w:r>
        <w:rPr>
          <w:rFonts w:hint="eastAsia" w:ascii="宋体" w:hAnsi="宋体"/>
          <w:b/>
          <w:color w:val="auto"/>
          <w:sz w:val="28"/>
          <w:szCs w:val="28"/>
          <w:highlight w:val="none"/>
        </w:rPr>
        <w:t>九</w:t>
      </w:r>
      <w:r>
        <w:rPr>
          <w:rFonts w:hint="eastAsia" w:ascii="黑体" w:hAnsi="黑体" w:eastAsia="黑体"/>
          <w:color w:val="auto"/>
          <w:sz w:val="30"/>
          <w:szCs w:val="30"/>
          <w:highlight w:val="none"/>
        </w:rPr>
        <w:t>、预付款保函支付条款模板</w:t>
      </w:r>
    </w:p>
    <w:p w14:paraId="01E87EFF">
      <w:pPr>
        <w:pStyle w:val="227"/>
        <w:pageBreakBefore w:val="0"/>
        <w:kinsoku/>
        <w:wordWrap/>
        <w:overflowPunct/>
        <w:topLinePunct w:val="0"/>
        <w:autoSpaceDE/>
        <w:autoSpaceDN/>
        <w:bidi w:val="0"/>
        <w:adjustRightInd/>
        <w:snapToGrid/>
        <w:spacing w:beforeAutospacing="0" w:afterAutospacing="0" w:line="440" w:lineRule="exact"/>
        <w:ind w:left="0" w:right="0" w:firstLine="360" w:firstLineChars="200"/>
        <w:textAlignment w:val="auto"/>
        <w:rPr>
          <w:color w:val="auto"/>
          <w:highlight w:val="none"/>
        </w:rPr>
      </w:pPr>
    </w:p>
    <w:p w14:paraId="2FB1CE43">
      <w:pPr>
        <w:pageBreakBefore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符合条件一：提交预付款保函的</w:t>
      </w:r>
    </w:p>
    <w:p w14:paraId="2A01F81A">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（1）合同签订且乙方向甲方出具预付款保函后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个工作日内，甲方应支付合同价款的百分之</w:t>
      </w:r>
      <w:r>
        <w:rPr>
          <w:rFonts w:hint="eastAsia" w:ascii="宋体" w:hAnsi="宋体" w:eastAsia="宋体" w:cs="宋体"/>
          <w:color w:val="auto"/>
          <w:sz w:val="24"/>
          <w:szCs w:val="24"/>
          <w:highlight w:val="none"/>
          <w:u w:val="single"/>
        </w:rPr>
        <w:t xml:space="preserve">        XX（    XX%），</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6ECC605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乙方需提交的支付文件：乙方出具的全额正式发票。</w:t>
      </w:r>
    </w:p>
    <w:p w14:paraId="129FC531">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（2）验收合格后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个工作日内，甲方应支付合同价款的百分之</w:t>
      </w:r>
      <w:r>
        <w:rPr>
          <w:rFonts w:hint="eastAsia" w:ascii="宋体" w:hAnsi="宋体" w:eastAsia="宋体" w:cs="宋体"/>
          <w:color w:val="auto"/>
          <w:sz w:val="24"/>
          <w:szCs w:val="24"/>
          <w:highlight w:val="none"/>
          <w:u w:val="single"/>
        </w:rPr>
        <w:t>XX（    XX%），</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3C0277DC">
      <w:pPr>
        <w:pageBreakBefore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p w14:paraId="1FB4EEAE">
      <w:pPr>
        <w:pageBreakBefore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符合条件二：不提交预付款保函的</w:t>
      </w:r>
    </w:p>
    <w:p w14:paraId="739B9E2F">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（1）合同签订后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个工作日内，甲方应支付合同价款的百分之</w:t>
      </w:r>
      <w:r>
        <w:rPr>
          <w:rFonts w:hint="eastAsia" w:ascii="宋体" w:hAnsi="宋体" w:eastAsia="宋体" w:cs="宋体"/>
          <w:color w:val="auto"/>
          <w:sz w:val="24"/>
          <w:szCs w:val="24"/>
          <w:highlight w:val="none"/>
          <w:u w:val="single"/>
        </w:rPr>
        <w:t>XX（    XX%），</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9136A23">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乙方需提交的支付文件：乙方出具的全额正式发票。</w:t>
      </w:r>
    </w:p>
    <w:p w14:paraId="6FF4F845">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（2）验收合格后</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个工作日内，甲方应支付合同价款的百分之</w:t>
      </w:r>
      <w:r>
        <w:rPr>
          <w:rFonts w:hint="eastAsia" w:ascii="宋体" w:hAnsi="宋体" w:eastAsia="宋体" w:cs="宋体"/>
          <w:color w:val="auto"/>
          <w:sz w:val="24"/>
          <w:szCs w:val="24"/>
          <w:highlight w:val="none"/>
          <w:u w:val="single"/>
        </w:rPr>
        <w:t>XX（    XX%），</w:t>
      </w:r>
      <w:r>
        <w:rPr>
          <w:rFonts w:hint="eastAsia" w:ascii="宋体" w:hAnsi="宋体" w:eastAsia="宋体" w:cs="宋体"/>
          <w:color w:val="auto"/>
          <w:sz w:val="24"/>
          <w:szCs w:val="24"/>
          <w:highlight w:val="none"/>
        </w:rPr>
        <w:t>小写￥</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大写：人民币</w:t>
      </w:r>
      <w:r>
        <w:rPr>
          <w:rFonts w:hint="eastAsia" w:ascii="宋体" w:hAnsi="宋体" w:eastAsia="宋体" w:cs="宋体"/>
          <w:color w:val="auto"/>
          <w:sz w:val="24"/>
          <w:szCs w:val="24"/>
          <w:highlight w:val="none"/>
          <w:u w:val="single"/>
        </w:rPr>
        <w:t xml:space="preserve">          </w:t>
      </w:r>
      <w:r>
        <w:rPr>
          <w:rFonts w:hint="eastAsia" w:ascii="宋体" w:hAnsi="宋体" w:eastAsia="宋体" w:cs="宋体"/>
          <w:color w:val="auto"/>
          <w:sz w:val="24"/>
          <w:szCs w:val="24"/>
          <w:highlight w:val="none"/>
        </w:rPr>
        <w:t>。</w:t>
      </w:r>
    </w:p>
    <w:p w14:paraId="5AF65641">
      <w:pPr>
        <w:pageBreakBefore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w:t>
      </w:r>
    </w:p>
    <w:p w14:paraId="66FE53A2">
      <w:pPr>
        <w:pageBreakBefore w:val="0"/>
        <w:kinsoku/>
        <w:wordWrap/>
        <w:overflowPunct/>
        <w:topLinePunct w:val="0"/>
        <w:autoSpaceDE/>
        <w:autoSpaceDN/>
        <w:bidi w:val="0"/>
        <w:adjustRightInd/>
        <w:snapToGrid/>
        <w:spacing w:beforeAutospacing="0" w:afterAutospacing="0" w:line="440" w:lineRule="exact"/>
        <w:ind w:left="0" w:right="0" w:firstLine="482" w:firstLineChars="200"/>
        <w:textAlignment w:val="auto"/>
        <w:rPr>
          <w:rFonts w:hint="eastAsia" w:ascii="宋体" w:hAnsi="宋体" w:eastAsia="宋体" w:cs="宋体"/>
          <w:b/>
          <w:color w:val="auto"/>
          <w:sz w:val="24"/>
          <w:szCs w:val="24"/>
          <w:highlight w:val="none"/>
        </w:rPr>
      </w:pPr>
      <w:r>
        <w:rPr>
          <w:rFonts w:hint="eastAsia" w:ascii="宋体" w:hAnsi="宋体" w:eastAsia="宋体" w:cs="宋体"/>
          <w:b/>
          <w:color w:val="auto"/>
          <w:sz w:val="24"/>
          <w:szCs w:val="24"/>
          <w:highlight w:val="none"/>
        </w:rPr>
        <w:t>注:</w:t>
      </w:r>
    </w:p>
    <w:p w14:paraId="78E80FB6">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1、付款条件一中，出具预付款保函后支付的合同款应当与保函金额一致。</w:t>
      </w:r>
    </w:p>
    <w:p w14:paraId="59900447">
      <w:pPr>
        <w:pageBreakBefore w:val="0"/>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2、付款条件二中，预付款比例设定应符合《关于做好政府采购支持企业发展有关事项的通知》(苏财购〔2020〕52号)要求。</w:t>
      </w:r>
    </w:p>
    <w:p w14:paraId="6AFDD12E">
      <w:pPr>
        <w:pageBreakBefore w:val="0"/>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hint="eastAsia" w:ascii="仿宋" w:hAnsi="仿宋" w:eastAsia="仿宋"/>
          <w:color w:val="auto"/>
          <w:sz w:val="30"/>
          <w:szCs w:val="30"/>
          <w:highlight w:val="none"/>
        </w:rPr>
        <w:sectPr>
          <w:pgSz w:w="11906" w:h="16838"/>
          <w:pgMar w:top="851" w:right="1702" w:bottom="851" w:left="1804" w:header="851" w:footer="992" w:gutter="0"/>
          <w:pgNumType w:fmt="decimal"/>
          <w:cols w:space="720" w:num="1"/>
          <w:docGrid w:linePitch="360" w:charSpace="0"/>
        </w:sectPr>
      </w:pPr>
    </w:p>
    <w:p w14:paraId="43D68225">
      <w:pPr>
        <w:pageBreakBefore w:val="0"/>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hint="eastAsia" w:ascii="黑体" w:hAnsi="黑体" w:eastAsia="黑体"/>
          <w:color w:val="auto"/>
          <w:sz w:val="30"/>
          <w:szCs w:val="30"/>
          <w:highlight w:val="none"/>
          <w:lang w:val="en-US" w:eastAsia="zh-CN"/>
        </w:rPr>
      </w:pPr>
      <w:r>
        <w:rPr>
          <w:rFonts w:hint="eastAsia" w:ascii="黑体" w:hAnsi="黑体" w:eastAsia="黑体"/>
          <w:color w:val="auto"/>
          <w:sz w:val="30"/>
          <w:szCs w:val="30"/>
          <w:highlight w:val="none"/>
          <w:lang w:val="en-US" w:eastAsia="zh-CN"/>
        </w:rPr>
        <w:t>十、具备履行合同所必需的设备和专业技术能力的</w:t>
      </w:r>
    </w:p>
    <w:p w14:paraId="64EE6A2E">
      <w:pPr>
        <w:pageBreakBefore w:val="0"/>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hint="eastAsia" w:ascii="黑体" w:hAnsi="黑体" w:eastAsia="黑体"/>
          <w:color w:val="auto"/>
          <w:sz w:val="30"/>
          <w:szCs w:val="30"/>
          <w:highlight w:val="none"/>
          <w:lang w:val="en-US" w:eastAsia="zh-CN"/>
        </w:rPr>
      </w:pPr>
      <w:r>
        <w:rPr>
          <w:rFonts w:hint="eastAsia" w:ascii="黑体" w:hAnsi="黑体" w:eastAsia="黑体"/>
          <w:color w:val="auto"/>
          <w:sz w:val="30"/>
          <w:szCs w:val="30"/>
          <w:highlight w:val="none"/>
          <w:lang w:val="en-US" w:eastAsia="zh-CN"/>
        </w:rPr>
        <w:t>书面声明</w:t>
      </w:r>
    </w:p>
    <w:p w14:paraId="37A5D016">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jc w:val="center"/>
        <w:textAlignment w:val="auto"/>
        <w:rPr>
          <w:rFonts w:hint="eastAsia" w:ascii="宋体" w:hAnsi="宋体" w:eastAsia="宋体" w:cs="Times New Roman"/>
          <w:bCs/>
          <w:color w:val="auto"/>
          <w:sz w:val="24"/>
          <w:szCs w:val="24"/>
          <w:highlight w:val="none"/>
        </w:rPr>
      </w:pPr>
      <w:r>
        <w:rPr>
          <w:rFonts w:hint="eastAsia" w:ascii="宋体" w:hAnsi="宋体" w:eastAsia="宋体" w:cs="Times New Roman"/>
          <w:bCs/>
          <w:color w:val="auto"/>
          <w:sz w:val="24"/>
          <w:szCs w:val="24"/>
          <w:highlight w:val="none"/>
        </w:rPr>
        <w:t>（附证明材料原件扫描件）</w:t>
      </w:r>
    </w:p>
    <w:p w14:paraId="3B29433C">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rPr>
      </w:pPr>
      <w:r>
        <w:rPr>
          <w:rFonts w:hint="eastAsia" w:ascii="宋体" w:hAnsi="宋体" w:eastAsia="宋体" w:cs="宋体"/>
          <w:color w:val="auto"/>
          <w:spacing w:val="6"/>
          <w:sz w:val="24"/>
          <w:szCs w:val="24"/>
          <w:highlight w:val="none"/>
        </w:rPr>
        <w:t>项目名称：</w:t>
      </w:r>
      <w:r>
        <w:rPr>
          <w:rFonts w:hint="eastAsia" w:ascii="宋体" w:hAnsi="宋体" w:cs="宋体"/>
          <w:color w:val="auto"/>
          <w:spacing w:val="6"/>
          <w:sz w:val="24"/>
          <w:szCs w:val="24"/>
          <w:highlight w:val="none"/>
          <w:lang w:eastAsia="zh-CN"/>
        </w:rPr>
        <w:t>徐州市耕地保护和利用专项规划</w:t>
      </w:r>
      <w:r>
        <w:rPr>
          <w:rFonts w:hint="eastAsia" w:ascii="宋体" w:hAnsi="宋体" w:eastAsia="宋体" w:cs="宋体"/>
          <w:color w:val="auto"/>
          <w:spacing w:val="6"/>
          <w:sz w:val="24"/>
          <w:szCs w:val="24"/>
          <w:highlight w:val="none"/>
        </w:rPr>
        <w:t xml:space="preserve"> </w:t>
      </w:r>
    </w:p>
    <w:p w14:paraId="4B5B2989">
      <w:pPr>
        <w:pageBreakBefore w:val="0"/>
        <w:kinsoku/>
        <w:wordWrap/>
        <w:overflowPunct/>
        <w:topLinePunct w:val="0"/>
        <w:autoSpaceDE/>
        <w:autoSpaceDN/>
        <w:bidi w:val="0"/>
        <w:adjustRightInd/>
        <w:snapToGrid/>
        <w:spacing w:beforeAutospacing="0" w:afterAutospacing="0" w:line="440" w:lineRule="exact"/>
        <w:ind w:left="0" w:right="0" w:firstLine="504" w:firstLineChars="200"/>
        <w:textAlignment w:val="auto"/>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rPr>
        <w:t>项目编号：</w:t>
      </w:r>
      <w:r>
        <w:rPr>
          <w:rFonts w:hint="eastAsia" w:ascii="宋体" w:hAnsi="宋体" w:cs="宋体"/>
          <w:color w:val="auto"/>
          <w:spacing w:val="6"/>
          <w:sz w:val="24"/>
          <w:szCs w:val="24"/>
          <w:highlight w:val="none"/>
          <w:lang w:eastAsia="zh-CN"/>
        </w:rPr>
        <w:t>JSZC-320300-HMGL-G2025-0002</w:t>
      </w:r>
    </w:p>
    <w:p w14:paraId="6876A08D">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rPr>
      </w:pPr>
    </w:p>
    <w:p w14:paraId="1D5FAAFC">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投标人郑重声明：投标人具备履行合同（项目名称： ，项目编号： ）所必需的设备和专业技术能力，具体为：</w:t>
      </w:r>
    </w:p>
    <w:p w14:paraId="1D2B02C4">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p>
    <w:p w14:paraId="2760F212">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设备：</w:t>
      </w:r>
    </w:p>
    <w:p w14:paraId="7AEF29E7">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1.                           （证明材料原件的扫描件附后）</w:t>
      </w:r>
    </w:p>
    <w:p w14:paraId="646EC518">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2.                           （证明材料原件的扫描件附后）</w:t>
      </w:r>
    </w:p>
    <w:p w14:paraId="4EAE48B7">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3.                           （证明材料原件的扫描件附后）</w:t>
      </w:r>
    </w:p>
    <w:p w14:paraId="03EFBB64">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w:t>
      </w:r>
    </w:p>
    <w:p w14:paraId="47A864C8">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p>
    <w:p w14:paraId="3042C174">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专业技术能力：</w:t>
      </w:r>
    </w:p>
    <w:p w14:paraId="15D56073">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1.                           （证明材料原件的扫描件附后）</w:t>
      </w:r>
    </w:p>
    <w:p w14:paraId="799C060E">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2.                           （证明材料原件的扫描件附后）</w:t>
      </w:r>
    </w:p>
    <w:p w14:paraId="601520D2">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3.                           （证明材料原件的扫描件附后）</w:t>
      </w:r>
    </w:p>
    <w:p w14:paraId="4C97476E">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w:t>
      </w:r>
    </w:p>
    <w:p w14:paraId="729A844A">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p>
    <w:p w14:paraId="458B5F59">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特此声明。</w:t>
      </w:r>
    </w:p>
    <w:p w14:paraId="44B1795A">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投标人对上述声明的真实性负责。如有虚假，将依法承担相应责任。</w:t>
      </w:r>
    </w:p>
    <w:p w14:paraId="28AF66FA">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p>
    <w:p w14:paraId="1BE5C73D">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p>
    <w:p w14:paraId="6A7A1989">
      <w:pPr>
        <w:pStyle w:val="3"/>
        <w:keepNext w:val="0"/>
        <w:keepLines w:val="0"/>
        <w:pageBreakBefore w:val="0"/>
        <w:widowControl/>
        <w:kinsoku/>
        <w:wordWrap/>
        <w:overflowPunct/>
        <w:topLinePunct w:val="0"/>
        <w:autoSpaceDE/>
        <w:autoSpaceDN/>
        <w:bidi w:val="0"/>
        <w:adjustRightInd/>
        <w:snapToGrid/>
        <w:spacing w:beforeAutospacing="0" w:afterAutospacing="0" w:line="440" w:lineRule="exact"/>
        <w:ind w:left="0" w:right="0" w:firstLine="480" w:firstLineChars="200"/>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 xml:space="preserve">投标人：                  （电子签章） </w:t>
      </w:r>
    </w:p>
    <w:p w14:paraId="06962B83">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Times New Roman"/>
          <w:bCs/>
          <w:color w:val="auto"/>
          <w:sz w:val="24"/>
          <w:szCs w:val="24"/>
          <w:highlight w:val="none"/>
          <w:lang w:eastAsia="zh-CN"/>
        </w:rPr>
      </w:pPr>
      <w:r>
        <w:rPr>
          <w:rFonts w:hint="eastAsia" w:ascii="宋体" w:hAnsi="宋体" w:eastAsia="宋体" w:cs="Times New Roman"/>
          <w:bCs/>
          <w:color w:val="auto"/>
          <w:sz w:val="24"/>
          <w:szCs w:val="24"/>
          <w:highlight w:val="none"/>
          <w:lang w:eastAsia="zh-CN"/>
        </w:rPr>
        <w:t>日期：   年  月  日</w:t>
      </w:r>
    </w:p>
    <w:p w14:paraId="552F08AA">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Times New Roman"/>
          <w:bCs/>
          <w:color w:val="auto"/>
          <w:sz w:val="24"/>
          <w:szCs w:val="24"/>
          <w:highlight w:val="none"/>
          <w:lang w:eastAsia="zh-CN"/>
        </w:rPr>
      </w:pPr>
    </w:p>
    <w:p w14:paraId="0079FD03">
      <w:pPr>
        <w:pageBreakBefore w:val="0"/>
        <w:kinsoku/>
        <w:wordWrap/>
        <w:overflowPunct/>
        <w:topLinePunct w:val="0"/>
        <w:autoSpaceDE/>
        <w:autoSpaceDN/>
        <w:bidi w:val="0"/>
        <w:adjustRightInd/>
        <w:snapToGrid/>
        <w:spacing w:beforeAutospacing="0" w:afterAutospacing="0" w:line="440" w:lineRule="exact"/>
        <w:ind w:left="0" w:right="0" w:firstLine="480" w:firstLineChars="200"/>
        <w:jc w:val="left"/>
        <w:textAlignment w:val="auto"/>
        <w:rPr>
          <w:rFonts w:hint="eastAsia" w:ascii="宋体" w:hAnsi="宋体" w:eastAsia="宋体" w:cs="Times New Roman"/>
          <w:bCs/>
          <w:color w:val="auto"/>
          <w:sz w:val="24"/>
          <w:szCs w:val="24"/>
          <w:highlight w:val="none"/>
          <w:lang w:eastAsia="zh-CN"/>
        </w:rPr>
      </w:pPr>
    </w:p>
    <w:p w14:paraId="443F19B7">
      <w:pPr>
        <w:spacing w:line="480" w:lineRule="exact"/>
        <w:rPr>
          <w:rFonts w:ascii="宋体" w:hAnsi="宋体" w:cs="宋体"/>
          <w:b/>
          <w:color w:val="auto"/>
          <w:sz w:val="30"/>
          <w:szCs w:val="30"/>
          <w:highlight w:val="none"/>
        </w:rPr>
      </w:pPr>
      <w:r>
        <w:rPr>
          <w:rFonts w:hint="eastAsia" w:ascii="宋体" w:hAnsi="宋体" w:cs="宋体"/>
          <w:b/>
          <w:color w:val="auto"/>
          <w:sz w:val="30"/>
          <w:szCs w:val="30"/>
          <w:highlight w:val="none"/>
        </w:rPr>
        <w:t>注：如果投标人是联合体，则牵头方和成员均需分别提供</w:t>
      </w:r>
    </w:p>
    <w:p w14:paraId="19444C41">
      <w:pPr>
        <w:pageBreakBefore w:val="0"/>
        <w:numPr>
          <w:ilvl w:val="0"/>
          <w:numId w:val="3"/>
        </w:numPr>
        <w:kinsoku/>
        <w:wordWrap/>
        <w:overflowPunct/>
        <w:topLinePunct w:val="0"/>
        <w:autoSpaceDE/>
        <w:autoSpaceDN/>
        <w:bidi w:val="0"/>
        <w:adjustRightInd/>
        <w:snapToGrid/>
        <w:spacing w:beforeAutospacing="0" w:afterAutospacing="0" w:line="440" w:lineRule="exact"/>
        <w:ind w:left="0" w:right="0" w:firstLine="600" w:firstLineChars="200"/>
        <w:jc w:val="center"/>
        <w:textAlignment w:val="auto"/>
        <w:rPr>
          <w:rFonts w:hint="eastAsia" w:ascii="黑体" w:hAnsi="黑体" w:eastAsia="黑体"/>
          <w:bCs/>
          <w:color w:val="auto"/>
          <w:sz w:val="30"/>
          <w:szCs w:val="30"/>
          <w:highlight w:val="none"/>
        </w:rPr>
      </w:pPr>
      <w:r>
        <w:rPr>
          <w:rFonts w:hint="eastAsia" w:ascii="仿宋" w:hAnsi="仿宋" w:eastAsia="仿宋"/>
          <w:color w:val="auto"/>
          <w:sz w:val="30"/>
          <w:szCs w:val="30"/>
          <w:highlight w:val="none"/>
        </w:rPr>
        <w:br w:type="page" w:clear="all"/>
      </w:r>
      <w:r>
        <w:rPr>
          <w:rFonts w:hint="eastAsia" w:ascii="黑体" w:hAnsi="黑体" w:eastAsia="黑体"/>
          <w:bCs/>
          <w:color w:val="auto"/>
          <w:sz w:val="30"/>
          <w:szCs w:val="30"/>
          <w:highlight w:val="none"/>
        </w:rPr>
        <w:t>联合体协议书</w:t>
      </w:r>
    </w:p>
    <w:p w14:paraId="0E7F53D1">
      <w:pPr>
        <w:pageBreakBefore w:val="0"/>
        <w:numPr>
          <w:ilvl w:val="0"/>
          <w:numId w:val="0"/>
        </w:numPr>
        <w:kinsoku/>
        <w:wordWrap/>
        <w:overflowPunct/>
        <w:topLinePunct w:val="0"/>
        <w:autoSpaceDE/>
        <w:autoSpaceDN/>
        <w:bidi w:val="0"/>
        <w:adjustRightInd/>
        <w:snapToGrid/>
        <w:spacing w:beforeAutospacing="0" w:afterAutospacing="0" w:line="440" w:lineRule="exact"/>
        <w:ind w:leftChars="200" w:right="0" w:rightChars="0"/>
        <w:jc w:val="both"/>
        <w:textAlignment w:val="auto"/>
        <w:rPr>
          <w:rFonts w:hint="eastAsia" w:ascii="黑体" w:hAnsi="黑体" w:eastAsia="黑体"/>
          <w:bCs/>
          <w:color w:val="auto"/>
          <w:sz w:val="30"/>
          <w:szCs w:val="30"/>
          <w:highlight w:val="none"/>
        </w:rPr>
      </w:pPr>
    </w:p>
    <w:p w14:paraId="66D946AF">
      <w:pPr>
        <w:spacing w:line="360" w:lineRule="auto"/>
        <w:ind w:firstLine="600"/>
        <w:jc w:val="left"/>
        <w:rPr>
          <w:rFonts w:hint="eastAsia" w:ascii="宋体" w:hAnsi="宋体" w:eastAsia="宋体" w:cs="宋体"/>
          <w:sz w:val="24"/>
          <w:szCs w:val="24"/>
          <w:highlight w:val="none"/>
        </w:rPr>
      </w:pPr>
      <w:r>
        <w:rPr>
          <w:rFonts w:hint="eastAsia" w:ascii="宋体" w:hAnsi="宋体" w:eastAsia="宋体" w:cs="宋体"/>
          <w:sz w:val="24"/>
          <w:szCs w:val="24"/>
          <w:highlight w:val="none"/>
          <w:lang w:val="en-US" w:eastAsia="zh-CN"/>
        </w:rPr>
        <w:t>致：</w:t>
      </w:r>
      <w:r>
        <w:rPr>
          <w:rFonts w:hint="eastAsia" w:ascii="宋体" w:hAnsi="宋体" w:eastAsia="宋体" w:cs="宋体"/>
          <w:sz w:val="24"/>
          <w:szCs w:val="24"/>
          <w:highlight w:val="none"/>
        </w:rPr>
        <w:t>徐州市自然资源和规划局</w:t>
      </w:r>
    </w:p>
    <w:p w14:paraId="45275CB4">
      <w:pPr>
        <w:numPr>
          <w:ilvl w:val="0"/>
          <w:numId w:val="4"/>
        </w:numPr>
        <w:spacing w:line="360" w:lineRule="auto"/>
        <w:ind w:firstLine="600"/>
        <w:rPr>
          <w:rFonts w:hint="eastAsia" w:ascii="宋体" w:hAnsi="宋体" w:eastAsia="宋体" w:cs="宋体"/>
          <w:sz w:val="24"/>
          <w:szCs w:val="24"/>
          <w:highlight w:val="none"/>
        </w:rPr>
      </w:pPr>
      <w:r>
        <w:rPr>
          <w:rFonts w:hint="eastAsia" w:ascii="宋体" w:hAnsi="宋体" w:eastAsia="宋体" w:cs="宋体"/>
          <w:sz w:val="24"/>
          <w:szCs w:val="24"/>
          <w:highlight w:val="none"/>
          <w:u w:val="single"/>
          <w:lang w:val="en-US" w:eastAsia="zh-CN"/>
        </w:rPr>
        <w:t xml:space="preserve">                                  </w:t>
      </w:r>
      <w:r>
        <w:rPr>
          <w:rFonts w:hint="eastAsia" w:ascii="宋体" w:hAnsi="宋体" w:eastAsia="宋体" w:cs="宋体"/>
          <w:sz w:val="24"/>
          <w:szCs w:val="24"/>
          <w:highlight w:val="none"/>
          <w:u w:val="none"/>
          <w:lang w:val="en-US" w:eastAsia="zh-CN"/>
        </w:rPr>
        <w:t>（全部组员单位名称）</w:t>
      </w:r>
      <w:r>
        <w:rPr>
          <w:rFonts w:hint="eastAsia" w:ascii="宋体" w:hAnsi="宋体" w:eastAsia="宋体" w:cs="宋体"/>
          <w:sz w:val="24"/>
          <w:szCs w:val="24"/>
          <w:highlight w:val="none"/>
        </w:rPr>
        <w:t>自愿组成联合体，</w:t>
      </w:r>
      <w:r>
        <w:rPr>
          <w:rFonts w:hint="eastAsia" w:ascii="宋体" w:hAnsi="宋体" w:eastAsia="宋体" w:cs="宋体"/>
          <w:color w:val="auto"/>
          <w:sz w:val="24"/>
          <w:szCs w:val="24"/>
          <w:highlight w:val="none"/>
        </w:rPr>
        <w:t>以联合体形式参加</w:t>
      </w: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lang w:eastAsia="zh-CN"/>
        </w:rPr>
        <w:t>（</w:t>
      </w:r>
      <w:r>
        <w:rPr>
          <w:rFonts w:hint="eastAsia" w:ascii="宋体" w:hAnsi="宋体" w:eastAsia="宋体" w:cs="宋体"/>
          <w:sz w:val="24"/>
          <w:szCs w:val="24"/>
          <w:highlight w:val="none"/>
        </w:rPr>
        <w:t>项目名称）</w:t>
      </w:r>
      <w:r>
        <w:rPr>
          <w:rFonts w:hint="eastAsia" w:ascii="宋体" w:hAnsi="宋体" w:eastAsia="宋体" w:cs="宋体"/>
          <w:color w:val="auto"/>
          <w:sz w:val="24"/>
          <w:szCs w:val="24"/>
          <w:highlight w:val="none"/>
        </w:rPr>
        <w:t>投标。现就联合体投标事宜订立如下协议。</w:t>
      </w:r>
    </w:p>
    <w:p w14:paraId="7CFA7B9D">
      <w:pPr>
        <w:numPr>
          <w:ilvl w:val="0"/>
          <w:numId w:val="5"/>
        </w:num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(牵头方名称)为联合体的牵头方。</w:t>
      </w:r>
    </w:p>
    <w:p w14:paraId="294932B5">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(二)联合体牵头方合法代表联合体各成员负责本招标项目</w:t>
      </w:r>
      <w:r>
        <w:rPr>
          <w:rFonts w:hint="eastAsia" w:ascii="宋体" w:hAnsi="宋体" w:eastAsia="宋体" w:cs="宋体"/>
          <w:color w:val="auto"/>
          <w:sz w:val="24"/>
          <w:szCs w:val="24"/>
          <w:highlight w:val="none"/>
          <w:lang w:val="en-US" w:eastAsia="zh-CN"/>
        </w:rPr>
        <w:t>投标</w:t>
      </w:r>
      <w:r>
        <w:rPr>
          <w:rFonts w:hint="eastAsia" w:ascii="宋体" w:hAnsi="宋体" w:eastAsia="宋体" w:cs="宋体"/>
          <w:color w:val="auto"/>
          <w:sz w:val="24"/>
          <w:szCs w:val="24"/>
          <w:highlight w:val="none"/>
        </w:rPr>
        <w:t>文件编制和合同</w:t>
      </w:r>
      <w:r>
        <w:rPr>
          <w:rFonts w:hint="eastAsia" w:ascii="宋体" w:hAnsi="宋体" w:eastAsia="宋体" w:cs="宋体"/>
          <w:color w:val="auto"/>
          <w:sz w:val="24"/>
          <w:szCs w:val="24"/>
          <w:highlight w:val="none"/>
          <w:lang w:val="en-US" w:eastAsia="zh-CN"/>
        </w:rPr>
        <w:t>签订</w:t>
      </w:r>
      <w:r>
        <w:rPr>
          <w:rFonts w:hint="eastAsia" w:ascii="宋体" w:hAnsi="宋体" w:eastAsia="宋体" w:cs="宋体"/>
          <w:color w:val="auto"/>
          <w:sz w:val="24"/>
          <w:szCs w:val="24"/>
          <w:highlight w:val="none"/>
        </w:rPr>
        <w:t>活动，并代表联合体提交和接收相关资料、信息及指示，并处理与之有关的一切事务，负责合同实施阶段的主办、组织和协调工作；同时代表联合体各成员接受、承担采购人相关指令后，各联合体成员均应无条件予以执行。</w:t>
      </w:r>
    </w:p>
    <w:p w14:paraId="709C7E0C">
      <w:pPr>
        <w:spacing w:line="520" w:lineRule="exac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lang w:val="en-US" w:eastAsia="zh-CN"/>
        </w:rPr>
        <w:t xml:space="preserve">   </w:t>
      </w:r>
      <w:r>
        <w:rPr>
          <w:rFonts w:hint="eastAsia" w:ascii="宋体" w:hAnsi="宋体" w:eastAsia="宋体" w:cs="宋体"/>
          <w:color w:val="auto"/>
          <w:sz w:val="24"/>
          <w:szCs w:val="24"/>
          <w:highlight w:val="none"/>
        </w:rPr>
        <w:t>(三)联合体各方承诺将严格按照招标文件及各类附件等的约定承担相应的责任及义务，并对外承担连带责任。</w:t>
      </w:r>
    </w:p>
    <w:p w14:paraId="113800F0">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(四)联合体各方在联合体内部的职责分工(须明确各自的具体职责)：</w:t>
      </w:r>
    </w:p>
    <w:p w14:paraId="6DFC2286">
      <w:pPr>
        <w:spacing w:line="360" w:lineRule="auto"/>
        <w:ind w:firstLine="600"/>
        <w:jc w:val="left"/>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3341BB08">
      <w:pPr>
        <w:spacing w:line="360" w:lineRule="auto"/>
        <w:ind w:firstLine="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（联合体牵头单位）工作内容：</w:t>
      </w:r>
    </w:p>
    <w:p w14:paraId="682014D9">
      <w:pPr>
        <w:spacing w:line="360" w:lineRule="auto"/>
        <w:ind w:firstLine="600"/>
        <w:jc w:val="left"/>
        <w:rPr>
          <w:rFonts w:hint="eastAsia" w:ascii="宋体" w:hAnsi="宋体" w:eastAsia="宋体" w:cs="宋体"/>
          <w:sz w:val="28"/>
          <w:szCs w:val="28"/>
          <w:highlight w:val="none"/>
        </w:rPr>
      </w:pPr>
    </w:p>
    <w:p w14:paraId="09F0387B">
      <w:pPr>
        <w:spacing w:line="360" w:lineRule="auto"/>
        <w:ind w:firstLine="600"/>
        <w:jc w:val="left"/>
        <w:rPr>
          <w:rFonts w:hint="eastAsia" w:ascii="宋体" w:hAnsi="宋体" w:eastAsia="宋体" w:cs="宋体"/>
          <w:sz w:val="28"/>
          <w:szCs w:val="28"/>
          <w:highlight w:val="none"/>
        </w:rPr>
      </w:pPr>
      <w:r>
        <w:rPr>
          <w:rFonts w:hint="eastAsia" w:ascii="宋体" w:hAnsi="宋体" w:eastAsia="宋体" w:cs="宋体"/>
          <w:sz w:val="28"/>
          <w:szCs w:val="28"/>
          <w:highlight w:val="none"/>
        </w:rPr>
        <w:t>（联合体成员单位）工作内容：</w:t>
      </w:r>
    </w:p>
    <w:p w14:paraId="2C44A16E">
      <w:pPr>
        <w:spacing w:line="520" w:lineRule="exact"/>
        <w:ind w:firstLine="480"/>
        <w:rPr>
          <w:rFonts w:hint="eastAsia" w:ascii="宋体" w:hAnsi="宋体" w:eastAsia="宋体" w:cs="宋体"/>
          <w:color w:val="auto"/>
          <w:sz w:val="24"/>
          <w:szCs w:val="24"/>
          <w:highlight w:val="none"/>
        </w:rPr>
      </w:pPr>
    </w:p>
    <w:p w14:paraId="19580B9D">
      <w:pPr>
        <w:pStyle w:val="16"/>
        <w:rPr>
          <w:rFonts w:hint="eastAsia" w:ascii="宋体" w:hAnsi="宋体" w:eastAsia="宋体" w:cs="宋体"/>
          <w:color w:val="auto"/>
          <w:sz w:val="24"/>
          <w:szCs w:val="24"/>
          <w:highlight w:val="none"/>
        </w:rPr>
      </w:pPr>
    </w:p>
    <w:p w14:paraId="521C2AC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（五）若联合体各方因自身原因在项目进行过程中产生的纠纷，由联合体各方协商解决，采购人对此不承担任何责任。由此造成采购人损失的，联合体各方应承担相应的连带责任。</w:t>
      </w:r>
    </w:p>
    <w:p w14:paraId="3315221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（六）其中（小型、微型企业/残疾人福利性单位/监狱企业全称）为（小型、微型企业/残疾人福利性单位/监狱企业）企业，且我们约定该公司/单位所承担的合同金额将占本项目合同总金额的</w:t>
      </w:r>
      <w:r>
        <w:rPr>
          <w:rFonts w:hint="eastAsia" w:ascii="宋体" w:hAnsi="宋体" w:cs="宋体"/>
          <w:color w:val="auto"/>
          <w:sz w:val="24"/>
          <w:szCs w:val="24"/>
          <w:highlight w:val="none"/>
          <w:u w:val="single"/>
          <w:lang w:val="en-US" w:eastAsia="zh-CN"/>
        </w:rPr>
        <w:t xml:space="preserve">    </w:t>
      </w:r>
      <w:r>
        <w:rPr>
          <w:rFonts w:hint="eastAsia" w:ascii="宋体" w:hAnsi="宋体" w:eastAsia="宋体" w:cs="宋体"/>
          <w:color w:val="auto"/>
          <w:sz w:val="24"/>
          <w:szCs w:val="24"/>
          <w:highlight w:val="none"/>
        </w:rPr>
        <w:t>%。（如有）</w:t>
      </w:r>
    </w:p>
    <w:p w14:paraId="303A442F">
      <w:pPr>
        <w:pStyle w:val="16"/>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（七）联合体其他成员做出的报告，牵头单位盖章确认。</w:t>
      </w:r>
    </w:p>
    <w:p w14:paraId="5AA15BCE">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（八）联合体各方应当共同与采购人签订采购合同，就采购合同约定的事项对采购人承担连带责任。</w:t>
      </w:r>
    </w:p>
    <w:p w14:paraId="60AFF145">
      <w:pPr>
        <w:spacing w:line="360" w:lineRule="auto"/>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（九）本协议书自签署之日起生效。</w:t>
      </w:r>
    </w:p>
    <w:p w14:paraId="535B1211">
      <w:pPr>
        <w:spacing w:line="520" w:lineRule="exact"/>
        <w:ind w:firstLine="60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（十）本协议书联合体各方和采购人各执一份。</w:t>
      </w:r>
    </w:p>
    <w:p w14:paraId="3770E0FD">
      <w:pPr>
        <w:spacing w:line="520" w:lineRule="exact"/>
        <w:ind w:firstLine="480"/>
        <w:rPr>
          <w:rFonts w:hint="eastAsia" w:ascii="宋体" w:hAnsi="宋体" w:eastAsia="宋体" w:cs="宋体"/>
          <w:color w:val="auto"/>
          <w:sz w:val="24"/>
          <w:szCs w:val="24"/>
          <w:highlight w:val="none"/>
        </w:rPr>
      </w:pPr>
    </w:p>
    <w:p w14:paraId="14DFF48B">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联合体牵头方法定代表人签名或盖章： </w:t>
      </w:r>
    </w:p>
    <w:p w14:paraId="107DEB94">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07B689C3">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4C32DC88">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联合体成员法定代表人签名或盖章：</w:t>
      </w:r>
    </w:p>
    <w:p w14:paraId="71000F70">
      <w:pPr>
        <w:spacing w:line="520" w:lineRule="exact"/>
        <w:ind w:firstLine="480"/>
        <w:rPr>
          <w:rFonts w:hint="eastAsia" w:ascii="宋体" w:hAnsi="宋体" w:eastAsia="宋体" w:cs="宋体"/>
          <w:color w:val="auto"/>
          <w:sz w:val="24"/>
          <w:szCs w:val="24"/>
          <w:highlight w:val="none"/>
        </w:rPr>
      </w:pPr>
    </w:p>
    <w:p w14:paraId="21AAB2D0">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          </w:t>
      </w:r>
    </w:p>
    <w:p w14:paraId="17AC6191">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联合体牵头方(盖单位电子签章)：            </w:t>
      </w:r>
    </w:p>
    <w:p w14:paraId="063E71B4">
      <w:pPr>
        <w:pStyle w:val="16"/>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签   字   日   期：</w:t>
      </w:r>
    </w:p>
    <w:p w14:paraId="3C33309E">
      <w:pPr>
        <w:rPr>
          <w:rFonts w:hint="eastAsia" w:ascii="宋体" w:hAnsi="宋体" w:eastAsia="宋体" w:cs="宋体"/>
          <w:color w:val="auto"/>
          <w:sz w:val="24"/>
          <w:szCs w:val="24"/>
          <w:highlight w:val="none"/>
        </w:rPr>
      </w:pPr>
    </w:p>
    <w:p w14:paraId="69E41BF2">
      <w:pPr>
        <w:rPr>
          <w:rFonts w:hint="eastAsia" w:ascii="宋体" w:hAnsi="宋体" w:eastAsia="宋体" w:cs="宋体"/>
          <w:color w:val="auto"/>
          <w:sz w:val="24"/>
          <w:szCs w:val="24"/>
          <w:highlight w:val="none"/>
        </w:rPr>
      </w:pPr>
    </w:p>
    <w:p w14:paraId="6B518511">
      <w:pPr>
        <w:spacing w:line="520" w:lineRule="exact"/>
        <w:ind w:firstLine="480"/>
        <w:rPr>
          <w:rFonts w:hint="eastAsia" w:ascii="宋体" w:hAnsi="宋体" w:eastAsia="宋体" w:cs="宋体"/>
          <w:color w:val="auto"/>
          <w:sz w:val="24"/>
          <w:szCs w:val="24"/>
          <w:highlight w:val="none"/>
        </w:rPr>
      </w:pPr>
    </w:p>
    <w:p w14:paraId="36678FB7">
      <w:pPr>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联合体成员(盖单位电子签章)：              </w:t>
      </w:r>
    </w:p>
    <w:p w14:paraId="5FAACFE8">
      <w:pPr>
        <w:pStyle w:val="16"/>
        <w:spacing w:line="520" w:lineRule="exact"/>
        <w:ind w:firstLine="480"/>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 xml:space="preserve">签   字   日   期：                 </w:t>
      </w:r>
    </w:p>
    <w:p w14:paraId="3D3D438C">
      <w:pPr>
        <w:pStyle w:val="53"/>
        <w:pageBreakBefore w:val="0"/>
        <w:kinsoku/>
        <w:wordWrap/>
        <w:overflowPunct/>
        <w:topLinePunct w:val="0"/>
        <w:autoSpaceDE/>
        <w:autoSpaceDN/>
        <w:bidi w:val="0"/>
        <w:adjustRightInd/>
        <w:snapToGrid/>
        <w:spacing w:beforeAutospacing="0" w:after="0" w:afterAutospacing="0" w:line="440" w:lineRule="exact"/>
        <w:ind w:left="0" w:right="0" w:firstLine="480" w:firstLineChars="200"/>
        <w:textAlignment w:val="auto"/>
        <w:rPr>
          <w:rFonts w:hint="eastAsia" w:ascii="宋体" w:hAnsi="宋体" w:eastAsia="宋体" w:cs="宋体"/>
          <w:color w:val="auto"/>
          <w:sz w:val="24"/>
          <w:szCs w:val="24"/>
          <w:highlight w:val="none"/>
        </w:rPr>
      </w:pPr>
    </w:p>
    <w:sectPr>
      <w:pgSz w:w="11906" w:h="16838"/>
      <w:pgMar w:top="851" w:right="1702" w:bottom="851" w:left="1804" w:header="851" w:footer="992" w:gutter="0"/>
      <w:pgNumType w:fmt="decimal"/>
      <w:cols w:space="720" w:num="1"/>
      <w:docGrid w:linePitch="36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楷体_GB2312">
    <w:altName w:val="楷体"/>
    <w:panose1 w:val="02010609060101010101"/>
    <w:charset w:val="00"/>
    <w:family w:val="auto"/>
    <w:pitch w:val="default"/>
    <w:sig w:usb0="00000000" w:usb1="00000000" w:usb2="00000000" w:usb3="00000000" w:csb0="00000000"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60101010101"/>
    <w:charset w:val="00"/>
    <w:family w:val="auto"/>
    <w:pitch w:val="default"/>
    <w:sig w:usb0="00000000" w:usb1="00000000" w:usb2="00000000" w:usb3="00000000" w:csb0="00000000" w:csb1="00000000"/>
  </w:font>
  <w:font w:name="仿宋">
    <w:panose1 w:val="02010609060101010101"/>
    <w:charset w:val="86"/>
    <w:family w:val="auto"/>
    <w:pitch w:val="default"/>
    <w:sig w:usb0="800002BF" w:usb1="38CF7CFA" w:usb2="00000016" w:usb3="00000000" w:csb0="00040001" w:csb1="00000000"/>
  </w:font>
  <w:font w:name="新宋体">
    <w:panose1 w:val="02010609030101010101"/>
    <w:charset w:val="86"/>
    <w:family w:val="auto"/>
    <w:pitch w:val="default"/>
    <w:sig w:usb0="00000283" w:usb1="288F0000" w:usb2="00000006" w:usb3="00000000" w:csb0="00040001" w:csb1="00000000"/>
  </w:font>
  <w:font w:name="Tahoma">
    <w:panose1 w:val="020B0604030504040204"/>
    <w:charset w:val="00"/>
    <w:family w:val="auto"/>
    <w:pitch w:val="default"/>
    <w:sig w:usb0="E1002EFF" w:usb1="C000605B" w:usb2="00000029" w:usb3="00000000" w:csb0="200101FF" w:csb1="20280000"/>
  </w:font>
  <w:font w:name="微软雅黑">
    <w:panose1 w:val="020B0503020204020204"/>
    <w:charset w:val="86"/>
    <w:family w:val="auto"/>
    <w:pitch w:val="default"/>
    <w:sig w:usb0="80000287" w:usb1="2ACF3C50" w:usb2="00000016" w:usb3="00000000" w:csb0="0004001F" w:csb1="00000000"/>
  </w:font>
  <w:font w:name="Calibri Light">
    <w:panose1 w:val="020F03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Arial Unicode MS">
    <w:altName w:val="Arial"/>
    <w:panose1 w:val="020B0604020202020204"/>
    <w:charset w:val="00"/>
    <w:family w:val="auto"/>
    <w:pitch w:val="default"/>
    <w:sig w:usb0="00000000" w:usb1="00000000" w:usb2="00000000" w:usb3="00000000" w:csb0="00000000" w:csb1="00000000"/>
  </w:font>
  <w:font w:name="华文中宋">
    <w:altName w:val="宋体"/>
    <w:panose1 w:val="02010600040101010101"/>
    <w:charset w:val="00"/>
    <w:family w:val="auto"/>
    <w:pitch w:val="default"/>
    <w:sig w:usb0="00000000" w:usb1="00000000" w:usb2="00000000" w:usb3="00000000" w:csb0="00000000" w:csb1="00000000"/>
  </w:font>
  <w:font w:name="Arial">
    <w:panose1 w:val="020B0604020202020204"/>
    <w:charset w:val="00"/>
    <w:family w:val="auto"/>
    <w:pitch w:val="default"/>
    <w:sig w:usb0="E0002EFF" w:usb1="C000785B" w:usb2="00000009" w:usb3="00000000" w:csb0="400001FF" w:csb1="F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B2365E">
    <w:pPr>
      <w:pStyle w:val="24"/>
      <w:tabs>
        <w:tab w:val="center" w:pos="4153"/>
        <w:tab w:val="right" w:pos="8306"/>
        <w:tab w:val="clear" w:pos="7143"/>
        <w:tab w:val="clear" w:pos="14287"/>
      </w:tabs>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C6D2E37">
    <w:pPr>
      <w:pStyle w:val="224"/>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283E99">
    <w:pPr>
      <w:pStyle w:val="22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ED85473">
                          <w:pPr>
                            <w:pStyle w:val="24"/>
                          </w:pPr>
                          <w:r>
                            <w:fldChar w:fldCharType="begin"/>
                          </w:r>
                          <w:r>
                            <w:instrText xml:space="preserve"> PAGE  \* MERGEFORMAT </w:instrText>
                          </w:r>
                          <w:r>
                            <w:fldChar w:fldCharType="separate"/>
                          </w:r>
                          <w:r>
                            <w:t>3</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3ED85473">
                    <w:pPr>
                      <w:pStyle w:val="24"/>
                    </w:pPr>
                    <w:r>
                      <w:fldChar w:fldCharType="begin"/>
                    </w:r>
                    <w:r>
                      <w:instrText xml:space="preserve"> PAGE  \* MERGEFORMAT </w:instrText>
                    </w:r>
                    <w:r>
                      <w:fldChar w:fldCharType="separate"/>
                    </w:r>
                    <w:r>
                      <w:t>3</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59F2D06">
    <w:pPr>
      <w:pStyle w:val="224"/>
    </w:pPr>
    <w:r>
      <w:rPr>
        <w:sz w:val="18"/>
      </w:rPr>
      <mc:AlternateContent>
        <mc:Choice Requires="wps">
          <w:drawing>
            <wp:anchor distT="0" distB="0" distL="114300" distR="114300" simplePos="0" relativeHeight="251660288" behindDoc="0" locked="0" layoutInCell="1" allowOverlap="1">
              <wp:simplePos x="0" y="0"/>
              <wp:positionH relativeFrom="margin">
                <wp:align>center</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7A77648">
                          <w:pPr>
                            <w:pStyle w:val="24"/>
                          </w:pPr>
                          <w:r>
                            <w:fldChar w:fldCharType="begin"/>
                          </w:r>
                          <w:r>
                            <w:instrText xml:space="preserve"> PAGE  \* MERGEFORMAT </w:instrText>
                          </w:r>
                          <w:r>
                            <w:fldChar w:fldCharType="separate"/>
                          </w:r>
                          <w:r>
                            <w:t>28</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14:paraId="77A77648">
                    <w:pPr>
                      <w:pStyle w:val="24"/>
                    </w:pPr>
                    <w:r>
                      <w:fldChar w:fldCharType="begin"/>
                    </w:r>
                    <w:r>
                      <w:instrText xml:space="preserve"> PAGE  \* MERGEFORMAT </w:instrText>
                    </w:r>
                    <w:r>
                      <w:fldChar w:fldCharType="separate"/>
                    </w:r>
                    <w:r>
                      <w:t>28</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D6E1F62">
    <w:pPr>
      <w:spacing w:line="400" w:lineRule="exact"/>
      <w:ind w:firstLine="480"/>
      <w:jc w:val="center"/>
      <w:rPr>
        <w:i/>
        <w:iCs/>
        <w:sz w:val="18"/>
        <w:u w:val="single"/>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BC7E1D">
    <w:pPr>
      <w:pStyle w:val="226"/>
      <w:pBdr>
        <w:bottom w:val="none" w:color="000000" w:sz="0" w:space="0"/>
      </w:pBd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5E306ED"/>
    <w:multiLevelType w:val="multilevel"/>
    <w:tmpl w:val="B5E306ED"/>
    <w:lvl w:ilvl="0" w:tentative="0">
      <w:start w:val="1"/>
      <w:numFmt w:val="decimal"/>
      <w:suff w:val="nothing"/>
      <w:lvlText w:val="%1、"/>
      <w:lvlJc w:val="left"/>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1">
    <w:nsid w:val="CF092B84"/>
    <w:multiLevelType w:val="multilevel"/>
    <w:tmpl w:val="CF092B84"/>
    <w:lvl w:ilvl="0" w:tentative="0">
      <w:start w:val="1"/>
      <w:numFmt w:val="japaneseCounting"/>
      <w:lvlText w:val="第%1条"/>
      <w:lvlJc w:val="left"/>
      <w:pPr>
        <w:ind w:left="1552" w:hanging="990"/>
      </w:pPr>
    </w:lvl>
    <w:lvl w:ilvl="1" w:tentative="0">
      <w:start w:val="1"/>
      <w:numFmt w:val="lowerLetter"/>
      <w:lvlText w:val="%2)"/>
      <w:lvlJc w:val="left"/>
      <w:pPr>
        <w:ind w:left="1402" w:hanging="420"/>
      </w:pPr>
    </w:lvl>
    <w:lvl w:ilvl="2" w:tentative="0">
      <w:start w:val="1"/>
      <w:numFmt w:val="lowerRoman"/>
      <w:lvlText w:val="%3."/>
      <w:lvlJc w:val="right"/>
      <w:pPr>
        <w:ind w:left="1822" w:hanging="420"/>
      </w:pPr>
    </w:lvl>
    <w:lvl w:ilvl="3" w:tentative="0">
      <w:start w:val="1"/>
      <w:numFmt w:val="decimal"/>
      <w:lvlText w:val="%4."/>
      <w:lvlJc w:val="left"/>
      <w:pPr>
        <w:ind w:left="2242" w:hanging="420"/>
      </w:pPr>
    </w:lvl>
    <w:lvl w:ilvl="4" w:tentative="0">
      <w:start w:val="1"/>
      <w:numFmt w:val="lowerLetter"/>
      <w:lvlText w:val="%5)"/>
      <w:lvlJc w:val="left"/>
      <w:pPr>
        <w:ind w:left="2662" w:hanging="420"/>
      </w:pPr>
    </w:lvl>
    <w:lvl w:ilvl="5" w:tentative="0">
      <w:start w:val="1"/>
      <w:numFmt w:val="lowerRoman"/>
      <w:lvlText w:val="%6."/>
      <w:lvlJc w:val="right"/>
      <w:pPr>
        <w:ind w:left="3082" w:hanging="420"/>
      </w:pPr>
    </w:lvl>
    <w:lvl w:ilvl="6" w:tentative="0">
      <w:start w:val="1"/>
      <w:numFmt w:val="decimal"/>
      <w:lvlText w:val="%7."/>
      <w:lvlJc w:val="left"/>
      <w:pPr>
        <w:ind w:left="3502" w:hanging="420"/>
      </w:pPr>
    </w:lvl>
    <w:lvl w:ilvl="7" w:tentative="0">
      <w:start w:val="1"/>
      <w:numFmt w:val="lowerLetter"/>
      <w:lvlText w:val="%8)"/>
      <w:lvlJc w:val="left"/>
      <w:pPr>
        <w:ind w:left="3922" w:hanging="420"/>
      </w:pPr>
    </w:lvl>
    <w:lvl w:ilvl="8" w:tentative="0">
      <w:start w:val="1"/>
      <w:numFmt w:val="lowerRoman"/>
      <w:lvlText w:val="%9."/>
      <w:lvlJc w:val="right"/>
      <w:pPr>
        <w:ind w:left="4342" w:hanging="420"/>
      </w:pPr>
    </w:lvl>
  </w:abstractNum>
  <w:abstractNum w:abstractNumId="2">
    <w:nsid w:val="F55C16E4"/>
    <w:multiLevelType w:val="singleLevel"/>
    <w:tmpl w:val="F55C16E4"/>
    <w:lvl w:ilvl="0" w:tentative="0">
      <w:start w:val="11"/>
      <w:numFmt w:val="chineseCounting"/>
      <w:suff w:val="nothing"/>
      <w:lvlText w:val="%1、"/>
      <w:lvlJc w:val="left"/>
      <w:rPr>
        <w:rFonts w:hint="eastAsia"/>
      </w:rPr>
    </w:lvl>
  </w:abstractNum>
  <w:abstractNum w:abstractNumId="3">
    <w:nsid w:val="03D62ECE"/>
    <w:multiLevelType w:val="multilevel"/>
    <w:tmpl w:val="03D62ECE"/>
    <w:lvl w:ilvl="0" w:tentative="0">
      <w:start w:val="1"/>
      <w:numFmt w:val="chineseCounting"/>
      <w:suff w:val="space"/>
      <w:lvlText w:val="(%1)"/>
      <w:lvlJc w:val="left"/>
      <w:rPr>
        <w:rFonts w:hint="eastAsia"/>
      </w:rPr>
    </w:lvl>
    <w:lvl w:ilvl="1" w:tentative="0">
      <w:start w:val="1"/>
      <w:numFmt w:val="bullet"/>
      <w:lvlText w:val="o"/>
      <w:lvlJc w:val="left"/>
      <w:pPr>
        <w:ind w:left="1440" w:hanging="360"/>
      </w:pPr>
      <w:rPr>
        <w:rFonts w:hint="default" w:ascii="Courier New" w:hAnsi="Courier New" w:eastAsia="Courier New" w:cs="Courier New"/>
      </w:rPr>
    </w:lvl>
    <w:lvl w:ilvl="2" w:tentative="0">
      <w:start w:val="1"/>
      <w:numFmt w:val="bullet"/>
      <w:lvlText w:val="§"/>
      <w:lvlJc w:val="left"/>
      <w:pPr>
        <w:ind w:left="2160" w:hanging="360"/>
      </w:pPr>
      <w:rPr>
        <w:rFonts w:hint="default" w:ascii="Wingdings" w:hAnsi="Wingdings" w:eastAsia="Wingdings" w:cs="Wingdings"/>
      </w:rPr>
    </w:lvl>
    <w:lvl w:ilvl="3" w:tentative="0">
      <w:start w:val="1"/>
      <w:numFmt w:val="bullet"/>
      <w:lvlText w:val="·"/>
      <w:lvlJc w:val="left"/>
      <w:pPr>
        <w:ind w:left="2880" w:hanging="360"/>
      </w:pPr>
      <w:rPr>
        <w:rFonts w:hint="default" w:ascii="Symbol" w:hAnsi="Symbol" w:eastAsia="Symbol" w:cs="Symbol"/>
      </w:rPr>
    </w:lvl>
    <w:lvl w:ilvl="4" w:tentative="0">
      <w:start w:val="1"/>
      <w:numFmt w:val="bullet"/>
      <w:lvlText w:val="o"/>
      <w:lvlJc w:val="left"/>
      <w:pPr>
        <w:ind w:left="3600" w:hanging="360"/>
      </w:pPr>
      <w:rPr>
        <w:rFonts w:hint="default" w:ascii="Courier New" w:hAnsi="Courier New" w:eastAsia="Courier New" w:cs="Courier New"/>
      </w:rPr>
    </w:lvl>
    <w:lvl w:ilvl="5" w:tentative="0">
      <w:start w:val="1"/>
      <w:numFmt w:val="bullet"/>
      <w:lvlText w:val="§"/>
      <w:lvlJc w:val="left"/>
      <w:pPr>
        <w:ind w:left="4320" w:hanging="360"/>
      </w:pPr>
      <w:rPr>
        <w:rFonts w:hint="default" w:ascii="Wingdings" w:hAnsi="Wingdings" w:eastAsia="Wingdings" w:cs="Wingdings"/>
      </w:rPr>
    </w:lvl>
    <w:lvl w:ilvl="6" w:tentative="0">
      <w:start w:val="1"/>
      <w:numFmt w:val="bullet"/>
      <w:lvlText w:val="·"/>
      <w:lvlJc w:val="left"/>
      <w:pPr>
        <w:ind w:left="5040" w:hanging="360"/>
      </w:pPr>
      <w:rPr>
        <w:rFonts w:hint="default" w:ascii="Symbol" w:hAnsi="Symbol" w:eastAsia="Symbol" w:cs="Symbol"/>
      </w:rPr>
    </w:lvl>
    <w:lvl w:ilvl="7" w:tentative="0">
      <w:start w:val="1"/>
      <w:numFmt w:val="bullet"/>
      <w:lvlText w:val="o"/>
      <w:lvlJc w:val="left"/>
      <w:pPr>
        <w:ind w:left="5760" w:hanging="360"/>
      </w:pPr>
      <w:rPr>
        <w:rFonts w:hint="default" w:ascii="Courier New" w:hAnsi="Courier New" w:eastAsia="Courier New" w:cs="Courier New"/>
      </w:rPr>
    </w:lvl>
    <w:lvl w:ilvl="8" w:tentative="0">
      <w:start w:val="1"/>
      <w:numFmt w:val="bullet"/>
      <w:lvlText w:val="§"/>
      <w:lvlJc w:val="left"/>
      <w:pPr>
        <w:ind w:left="6480" w:hanging="360"/>
      </w:pPr>
      <w:rPr>
        <w:rFonts w:hint="default" w:ascii="Wingdings" w:hAnsi="Wingdings" w:eastAsia="Wingdings" w:cs="Wingdings"/>
      </w:rPr>
    </w:lvl>
  </w:abstractNum>
  <w:abstractNum w:abstractNumId="4">
    <w:nsid w:val="06BB7C19"/>
    <w:multiLevelType w:val="singleLevel"/>
    <w:tmpl w:val="06BB7C19"/>
    <w:lvl w:ilvl="0" w:tentative="0">
      <w:start w:val="5"/>
      <w:numFmt w:val="chineseCounting"/>
      <w:suff w:val="space"/>
      <w:lvlText w:val="第%1章"/>
      <w:lvlJc w:val="left"/>
      <w:rPr>
        <w:rFonts w:hint="eastAsia"/>
      </w:rPr>
    </w:lvl>
  </w:abstractNum>
  <w:num w:numId="1">
    <w:abstractNumId w:val="4"/>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2"/>
  </w:num>
  <w:num w:numId="4">
    <w:abstractNumId w:val="0"/>
  </w:num>
  <w:num w:numId="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cumentProtection w:enforcement="0"/>
  <w:defaultTabStop w:val="420"/>
  <w:characterSpacingControl w:val="doNotCompress"/>
  <w:compat>
    <w:balanceSingleByteDoubleByteWidth/>
    <w:ulTrailSpac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08E3B54"/>
    <w:rsid w:val="013C06BC"/>
    <w:rsid w:val="167E7BCE"/>
    <w:rsid w:val="31D81589"/>
    <w:rsid w:val="327B5357"/>
    <w:rsid w:val="342619EB"/>
    <w:rsid w:val="38170D4F"/>
    <w:rsid w:val="3DA80FBB"/>
    <w:rsid w:val="48863F3C"/>
    <w:rsid w:val="5A912378"/>
    <w:rsid w:val="5B3A48B6"/>
    <w:rsid w:val="5C6D42B9"/>
    <w:rsid w:val="67640144"/>
    <w:rsid w:val="67716372"/>
    <w:rsid w:val="77C83101"/>
    <w:rsid w:val="7D6D1AD1"/>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9" w:name="heading 2"/>
    <w:lsdException w:qFormat="1" w:uiPriority="9" w:semiHidden="0" w:name="heading 3"/>
    <w:lsdException w:qFormat="1" w:uiPriority="9" w:semiHidden="0" w:name="heading 4"/>
    <w:lsdException w:qFormat="1" w:uiPriority="9" w:semiHidden="0" w:name="heading 5"/>
    <w:lsdException w:qFormat="1" w:uiPriority="9" w:semiHidden="0" w:name="heading 6"/>
    <w:lsdException w:qFormat="1" w:uiPriority="9" w:semiHidden="0" w:name="heading 7"/>
    <w:lsdException w:qFormat="1" w:uiPriority="9" w:semiHidden="0" w:name="heading 8"/>
    <w:lsdException w:qFormat="1" w:uiPriority="9" w:semiHidden="0"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iPriority="39" w:semiHidden="0" w:name="toc 3"/>
    <w:lsdException w:qFormat="1" w:uiPriority="39" w:semiHidden="0" w:name="toc 4"/>
    <w:lsdException w:qFormat="1" w:uiPriority="39" w:semiHidden="0" w:name="toc 5"/>
    <w:lsdException w:qFormat="1" w:uiPriority="39" w:semiHidden="0" w:name="toc 6"/>
    <w:lsdException w:qFormat="1" w:uiPriority="39" w:semiHidden="0" w:name="toc 7"/>
    <w:lsdException w:qFormat="1" w:uiPriority="39" w:semiHidden="0" w:name="toc 8"/>
    <w:lsdException w:qFormat="1" w:uiPriority="39" w:semiHidden="0" w:name="toc 9"/>
    <w:lsdException w:qFormat="1" w:unhideWhenUsed="0" w:uiPriority="0" w:semiHidden="0" w:name="Normal Indent"/>
    <w:lsdException w:qFormat="1"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qFormat="1" w:uiPriority="99" w:semiHidden="0" w:name="table of figures"/>
    <w:lsdException w:uiPriority="99" w:name="envelope address"/>
    <w:lsdException w:qFormat="1" w:unhideWhenUsed="0" w:uiPriority="99" w:semiHidden="0" w:name="envelope return"/>
    <w:lsdException w:qFormat="1" w:uiPriority="99" w:semiHidden="0" w:name="footnote reference"/>
    <w:lsdException w:uiPriority="99" w:name="annotation reference"/>
    <w:lsdException w:uiPriority="99" w:name="line number"/>
    <w:lsdException w:uiPriority="99" w:name="page number"/>
    <w:lsdException w:qFormat="1" w:uiPriority="99" w:name="endnote reference"/>
    <w:lsdException w:qFormat="1"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qFormat="1" w:unhideWhenUsed="0" w:uiPriority="0" w:semiHidden="0" w:name="Body Text First Indent"/>
    <w:lsdException w:qFormat="1" w:unhideWhenUsed="0" w:uiPriority="0"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qFormat="1" w:uiPriority="99" w:semiHidden="0"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nhideWhenUsed="0" w:uiPriority="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link w:val="249"/>
    <w:qFormat/>
    <w:uiPriority w:val="0"/>
    <w:pPr>
      <w:widowControl w:val="0"/>
      <w:jc w:val="both"/>
    </w:pPr>
    <w:rPr>
      <w:rFonts w:hint="default" w:ascii="Calibri" w:hAnsi="Calibri" w:eastAsia="宋体" w:cs="Times New Roman"/>
      <w:sz w:val="21"/>
      <w:szCs w:val="24"/>
      <w:lang w:val="en-US" w:eastAsia="zh-CN" w:bidi="ar-SA"/>
    </w:rPr>
  </w:style>
  <w:style w:type="paragraph" w:styleId="5">
    <w:name w:val="heading 1"/>
    <w:basedOn w:val="1"/>
    <w:next w:val="1"/>
    <w:link w:val="264"/>
    <w:qFormat/>
    <w:uiPriority w:val="0"/>
    <w:pPr>
      <w:keepNext/>
      <w:keepLines/>
      <w:spacing w:before="340" w:beforeAutospacing="0" w:after="330" w:afterAutospacing="0" w:line="576" w:lineRule="auto"/>
      <w:outlineLvl w:val="0"/>
    </w:pPr>
    <w:rPr>
      <w:b/>
      <w:sz w:val="44"/>
    </w:rPr>
  </w:style>
  <w:style w:type="paragraph" w:styleId="6">
    <w:name w:val="heading 3"/>
    <w:basedOn w:val="1"/>
    <w:next w:val="1"/>
    <w:link w:val="56"/>
    <w:unhideWhenUsed/>
    <w:qFormat/>
    <w:uiPriority w:val="9"/>
    <w:pPr>
      <w:keepNext/>
      <w:keepLines/>
      <w:spacing w:before="320" w:after="200"/>
      <w:outlineLvl w:val="2"/>
    </w:pPr>
    <w:rPr>
      <w:rFonts w:ascii="Arial" w:hAnsi="Arial" w:eastAsia="Arial" w:cs="Arial"/>
      <w:sz w:val="30"/>
      <w:szCs w:val="30"/>
    </w:rPr>
  </w:style>
  <w:style w:type="paragraph" w:styleId="7">
    <w:name w:val="heading 4"/>
    <w:basedOn w:val="1"/>
    <w:next w:val="1"/>
    <w:link w:val="57"/>
    <w:unhideWhenUsed/>
    <w:qFormat/>
    <w:uiPriority w:val="9"/>
    <w:pPr>
      <w:keepNext/>
      <w:keepLines/>
      <w:spacing w:before="320" w:after="200"/>
      <w:outlineLvl w:val="3"/>
    </w:pPr>
    <w:rPr>
      <w:rFonts w:ascii="Arial" w:hAnsi="Arial" w:eastAsia="Arial" w:cs="Arial"/>
      <w:b/>
      <w:bCs/>
      <w:sz w:val="26"/>
      <w:szCs w:val="26"/>
    </w:rPr>
  </w:style>
  <w:style w:type="paragraph" w:styleId="8">
    <w:name w:val="heading 5"/>
    <w:basedOn w:val="1"/>
    <w:next w:val="1"/>
    <w:link w:val="58"/>
    <w:unhideWhenUsed/>
    <w:qFormat/>
    <w:uiPriority w:val="9"/>
    <w:pPr>
      <w:keepNext/>
      <w:keepLines/>
      <w:spacing w:before="320" w:after="200"/>
      <w:outlineLvl w:val="4"/>
    </w:pPr>
    <w:rPr>
      <w:rFonts w:ascii="Arial" w:hAnsi="Arial" w:eastAsia="Arial" w:cs="Arial"/>
      <w:b/>
      <w:bCs/>
      <w:sz w:val="24"/>
      <w:szCs w:val="24"/>
    </w:rPr>
  </w:style>
  <w:style w:type="paragraph" w:styleId="9">
    <w:name w:val="heading 6"/>
    <w:basedOn w:val="1"/>
    <w:next w:val="1"/>
    <w:link w:val="59"/>
    <w:unhideWhenUsed/>
    <w:qFormat/>
    <w:uiPriority w:val="9"/>
    <w:pPr>
      <w:keepNext/>
      <w:keepLines/>
      <w:spacing w:before="320" w:after="200"/>
      <w:outlineLvl w:val="5"/>
    </w:pPr>
    <w:rPr>
      <w:rFonts w:ascii="Arial" w:hAnsi="Arial" w:eastAsia="Arial" w:cs="Arial"/>
      <w:b/>
      <w:bCs/>
      <w:sz w:val="22"/>
      <w:szCs w:val="22"/>
    </w:rPr>
  </w:style>
  <w:style w:type="paragraph" w:styleId="10">
    <w:name w:val="heading 7"/>
    <w:basedOn w:val="1"/>
    <w:next w:val="1"/>
    <w:link w:val="60"/>
    <w:unhideWhenUsed/>
    <w:qFormat/>
    <w:uiPriority w:val="9"/>
    <w:pPr>
      <w:keepNext/>
      <w:keepLines/>
      <w:spacing w:before="320" w:after="200"/>
      <w:outlineLvl w:val="6"/>
    </w:pPr>
    <w:rPr>
      <w:rFonts w:ascii="Arial" w:hAnsi="Arial" w:eastAsia="Arial" w:cs="Arial"/>
      <w:b/>
      <w:bCs/>
      <w:i/>
      <w:iCs/>
      <w:sz w:val="22"/>
      <w:szCs w:val="22"/>
    </w:rPr>
  </w:style>
  <w:style w:type="paragraph" w:styleId="11">
    <w:name w:val="heading 8"/>
    <w:basedOn w:val="1"/>
    <w:next w:val="1"/>
    <w:link w:val="61"/>
    <w:unhideWhenUsed/>
    <w:qFormat/>
    <w:uiPriority w:val="9"/>
    <w:pPr>
      <w:keepNext/>
      <w:keepLines/>
      <w:spacing w:before="320" w:after="200"/>
      <w:outlineLvl w:val="7"/>
    </w:pPr>
    <w:rPr>
      <w:rFonts w:ascii="Arial" w:hAnsi="Arial" w:eastAsia="Arial" w:cs="Arial"/>
      <w:i/>
      <w:iCs/>
      <w:sz w:val="22"/>
      <w:szCs w:val="22"/>
    </w:rPr>
  </w:style>
  <w:style w:type="paragraph" w:styleId="12">
    <w:name w:val="heading 9"/>
    <w:basedOn w:val="1"/>
    <w:next w:val="1"/>
    <w:link w:val="62"/>
    <w:unhideWhenUsed/>
    <w:qFormat/>
    <w:uiPriority w:val="9"/>
    <w:pPr>
      <w:keepNext/>
      <w:keepLines/>
      <w:spacing w:before="320" w:after="200"/>
      <w:outlineLvl w:val="8"/>
    </w:pPr>
    <w:rPr>
      <w:rFonts w:ascii="Arial" w:hAnsi="Arial" w:eastAsia="Arial" w:cs="Arial"/>
      <w:i/>
      <w:iCs/>
      <w:sz w:val="21"/>
      <w:szCs w:val="21"/>
    </w:rPr>
  </w:style>
  <w:style w:type="character" w:default="1" w:styleId="39">
    <w:name w:val="Default Paragraph Font"/>
    <w:semiHidden/>
    <w:qFormat/>
    <w:uiPriority w:val="0"/>
  </w:style>
  <w:style w:type="table" w:default="1" w:styleId="37">
    <w:name w:val="Normal Table"/>
    <w:semiHidden/>
    <w:qFormat/>
    <w:uiPriority w:val="0"/>
    <w:tblPr>
      <w:tblCellMar>
        <w:top w:w="0" w:type="dxa"/>
        <w:left w:w="108" w:type="dxa"/>
        <w:bottom w:w="0" w:type="dxa"/>
        <w:right w:w="108" w:type="dxa"/>
      </w:tblCellMar>
    </w:tblPr>
  </w:style>
  <w:style w:type="paragraph" w:customStyle="1" w:styleId="2">
    <w:name w:val="目录 111"/>
    <w:basedOn w:val="3"/>
    <w:next w:val="1"/>
    <w:qFormat/>
    <w:uiPriority w:val="0"/>
  </w:style>
  <w:style w:type="paragraph" w:customStyle="1" w:styleId="3">
    <w:name w:val="正文12"/>
    <w:next w:val="4"/>
    <w:qFormat/>
    <w:uiPriority w:val="0"/>
    <w:pPr>
      <w:widowControl w:val="0"/>
      <w:jc w:val="both"/>
    </w:pPr>
    <w:rPr>
      <w:rFonts w:hint="default" w:ascii="Calibri" w:hAnsi="Calibri" w:eastAsia="宋体" w:cs="Times New Roman"/>
      <w:sz w:val="21"/>
      <w:szCs w:val="24"/>
      <w:lang w:val="en-US" w:eastAsia="zh-CN" w:bidi="ar-SA"/>
    </w:rPr>
  </w:style>
  <w:style w:type="paragraph" w:customStyle="1" w:styleId="4">
    <w:name w:val="正文文本111"/>
    <w:basedOn w:val="1"/>
    <w:next w:val="3"/>
    <w:qFormat/>
    <w:uiPriority w:val="0"/>
    <w:rPr>
      <w:rFonts w:ascii="楷体_GB2312" w:hAnsi="Arial" w:eastAsia="楷体_GB2312"/>
      <w:sz w:val="28"/>
      <w:szCs w:val="28"/>
      <w:lang w:eastAsia="en-US"/>
    </w:rPr>
  </w:style>
  <w:style w:type="paragraph" w:styleId="13">
    <w:name w:val="toc 7"/>
    <w:basedOn w:val="1"/>
    <w:next w:val="1"/>
    <w:unhideWhenUsed/>
    <w:qFormat/>
    <w:uiPriority w:val="39"/>
    <w:pPr>
      <w:spacing w:after="57"/>
      <w:ind w:left="1701" w:right="0" w:firstLine="0"/>
    </w:pPr>
  </w:style>
  <w:style w:type="paragraph" w:styleId="14">
    <w:name w:val="Normal Indent"/>
    <w:basedOn w:val="1"/>
    <w:qFormat/>
    <w:uiPriority w:val="0"/>
    <w:pPr>
      <w:ind w:firstLine="420"/>
    </w:pPr>
  </w:style>
  <w:style w:type="paragraph" w:styleId="15">
    <w:name w:val="caption"/>
    <w:basedOn w:val="1"/>
    <w:next w:val="1"/>
    <w:semiHidden/>
    <w:unhideWhenUsed/>
    <w:qFormat/>
    <w:uiPriority w:val="35"/>
    <w:pPr>
      <w:spacing w:line="276" w:lineRule="auto"/>
    </w:pPr>
    <w:rPr>
      <w:b/>
      <w:bCs/>
      <w:color w:val="4F81BD" w:themeColor="accent1"/>
      <w:sz w:val="18"/>
      <w:szCs w:val="18"/>
      <w14:textFill>
        <w14:solidFill>
          <w14:schemeClr w14:val="accent1"/>
        </w14:solidFill>
      </w14:textFill>
    </w:rPr>
  </w:style>
  <w:style w:type="paragraph" w:styleId="16">
    <w:name w:val="Body Text"/>
    <w:basedOn w:val="1"/>
    <w:qFormat/>
    <w:uiPriority w:val="0"/>
    <w:rPr>
      <w:rFonts w:ascii="Times New Roman" w:hAnsi="Times New Roman" w:eastAsia="宋体" w:cs="Times New Roman"/>
      <w:sz w:val="32"/>
      <w:szCs w:val="20"/>
    </w:rPr>
  </w:style>
  <w:style w:type="paragraph" w:styleId="17">
    <w:name w:val="Body Text Indent"/>
    <w:basedOn w:val="1"/>
    <w:next w:val="18"/>
    <w:qFormat/>
    <w:uiPriority w:val="0"/>
    <w:pPr>
      <w:spacing w:after="120"/>
      <w:ind w:left="420"/>
    </w:pPr>
    <w:rPr>
      <w:rFonts w:ascii="Times New Roman" w:hAnsi="Times New Roman" w:eastAsia="宋体" w:cs="Times New Roman"/>
    </w:rPr>
  </w:style>
  <w:style w:type="paragraph" w:styleId="18">
    <w:name w:val="envelope return"/>
    <w:basedOn w:val="1"/>
    <w:qFormat/>
    <w:uiPriority w:val="99"/>
    <w:rPr>
      <w:rFonts w:ascii="Arial" w:hAnsi="Arial"/>
    </w:rPr>
  </w:style>
  <w:style w:type="paragraph" w:styleId="19">
    <w:name w:val="Block Text"/>
    <w:basedOn w:val="1"/>
    <w:unhideWhenUsed/>
    <w:qFormat/>
    <w:uiPriority w:val="99"/>
    <w:pPr>
      <w:spacing w:after="120"/>
      <w:ind w:left="1440" w:right="1440"/>
    </w:pPr>
  </w:style>
  <w:style w:type="paragraph" w:styleId="20">
    <w:name w:val="toc 5"/>
    <w:basedOn w:val="1"/>
    <w:next w:val="1"/>
    <w:unhideWhenUsed/>
    <w:qFormat/>
    <w:uiPriority w:val="39"/>
    <w:pPr>
      <w:spacing w:after="57"/>
      <w:ind w:left="1134" w:right="0" w:firstLine="0"/>
    </w:pPr>
  </w:style>
  <w:style w:type="paragraph" w:styleId="21">
    <w:name w:val="toc 3"/>
    <w:basedOn w:val="1"/>
    <w:next w:val="1"/>
    <w:unhideWhenUsed/>
    <w:qFormat/>
    <w:uiPriority w:val="39"/>
    <w:pPr>
      <w:spacing w:after="57"/>
      <w:ind w:left="567" w:right="0" w:firstLine="0"/>
    </w:pPr>
  </w:style>
  <w:style w:type="paragraph" w:styleId="22">
    <w:name w:val="toc 8"/>
    <w:basedOn w:val="1"/>
    <w:next w:val="1"/>
    <w:unhideWhenUsed/>
    <w:qFormat/>
    <w:uiPriority w:val="39"/>
    <w:pPr>
      <w:spacing w:after="57"/>
      <w:ind w:left="1984" w:right="0" w:firstLine="0"/>
    </w:pPr>
  </w:style>
  <w:style w:type="paragraph" w:styleId="23">
    <w:name w:val="endnote text"/>
    <w:basedOn w:val="1"/>
    <w:link w:val="200"/>
    <w:semiHidden/>
    <w:unhideWhenUsed/>
    <w:qFormat/>
    <w:uiPriority w:val="99"/>
    <w:pPr>
      <w:spacing w:after="0" w:line="240" w:lineRule="auto"/>
    </w:pPr>
    <w:rPr>
      <w:sz w:val="20"/>
    </w:rPr>
  </w:style>
  <w:style w:type="paragraph" w:styleId="24">
    <w:name w:val="footer"/>
    <w:basedOn w:val="1"/>
    <w:link w:val="73"/>
    <w:unhideWhenUsed/>
    <w:qFormat/>
    <w:uiPriority w:val="99"/>
    <w:pPr>
      <w:tabs>
        <w:tab w:val="center" w:pos="7143"/>
        <w:tab w:val="right" w:pos="14287"/>
      </w:tabs>
      <w:spacing w:after="0" w:line="240" w:lineRule="auto"/>
    </w:pPr>
  </w:style>
  <w:style w:type="paragraph" w:styleId="25">
    <w:name w:val="header"/>
    <w:basedOn w:val="1"/>
    <w:link w:val="71"/>
    <w:unhideWhenUsed/>
    <w:qFormat/>
    <w:uiPriority w:val="99"/>
    <w:pPr>
      <w:tabs>
        <w:tab w:val="center" w:pos="7143"/>
        <w:tab w:val="right" w:pos="14287"/>
      </w:tabs>
      <w:spacing w:after="0" w:line="240" w:lineRule="auto"/>
    </w:pPr>
  </w:style>
  <w:style w:type="paragraph" w:styleId="26">
    <w:name w:val="toc 1"/>
    <w:basedOn w:val="1"/>
    <w:next w:val="1"/>
    <w:qFormat/>
    <w:uiPriority w:val="0"/>
  </w:style>
  <w:style w:type="paragraph" w:styleId="27">
    <w:name w:val="toc 4"/>
    <w:basedOn w:val="1"/>
    <w:next w:val="1"/>
    <w:unhideWhenUsed/>
    <w:qFormat/>
    <w:uiPriority w:val="39"/>
    <w:pPr>
      <w:spacing w:after="57"/>
      <w:ind w:left="850" w:right="0" w:firstLine="0"/>
    </w:pPr>
  </w:style>
  <w:style w:type="paragraph" w:styleId="28">
    <w:name w:val="Subtitle"/>
    <w:basedOn w:val="1"/>
    <w:next w:val="1"/>
    <w:link w:val="66"/>
    <w:qFormat/>
    <w:uiPriority w:val="11"/>
    <w:pPr>
      <w:spacing w:before="200" w:after="200"/>
    </w:pPr>
    <w:rPr>
      <w:sz w:val="24"/>
      <w:szCs w:val="24"/>
    </w:rPr>
  </w:style>
  <w:style w:type="paragraph" w:styleId="29">
    <w:name w:val="footnote text"/>
    <w:basedOn w:val="1"/>
    <w:next w:val="30"/>
    <w:link w:val="199"/>
    <w:semiHidden/>
    <w:unhideWhenUsed/>
    <w:qFormat/>
    <w:uiPriority w:val="99"/>
    <w:pPr>
      <w:spacing w:after="40" w:line="240" w:lineRule="auto"/>
    </w:pPr>
    <w:rPr>
      <w:sz w:val="18"/>
    </w:rPr>
  </w:style>
  <w:style w:type="paragraph" w:styleId="30">
    <w:name w:val="Body Text First Indent 2"/>
    <w:basedOn w:val="17"/>
    <w:next w:val="1"/>
    <w:qFormat/>
    <w:uiPriority w:val="0"/>
    <w:pPr>
      <w:ind w:firstLine="420"/>
    </w:pPr>
    <w:rPr>
      <w:rFonts w:ascii="Times New Roman" w:hAnsi="Times New Roman" w:eastAsia="宋体" w:cs="Times New Roman"/>
    </w:rPr>
  </w:style>
  <w:style w:type="paragraph" w:styleId="31">
    <w:name w:val="toc 6"/>
    <w:basedOn w:val="1"/>
    <w:next w:val="1"/>
    <w:unhideWhenUsed/>
    <w:qFormat/>
    <w:uiPriority w:val="39"/>
    <w:pPr>
      <w:spacing w:after="57"/>
      <w:ind w:left="1417" w:right="0" w:firstLine="0"/>
    </w:pPr>
  </w:style>
  <w:style w:type="paragraph" w:styleId="32">
    <w:name w:val="table of figures"/>
    <w:basedOn w:val="1"/>
    <w:next w:val="1"/>
    <w:unhideWhenUsed/>
    <w:qFormat/>
    <w:uiPriority w:val="99"/>
    <w:pPr>
      <w:spacing w:after="0" w:afterAutospacing="0"/>
    </w:pPr>
  </w:style>
  <w:style w:type="paragraph" w:styleId="33">
    <w:name w:val="toc 2"/>
    <w:basedOn w:val="1"/>
    <w:next w:val="1"/>
    <w:qFormat/>
    <w:uiPriority w:val="0"/>
    <w:pPr>
      <w:ind w:left="420"/>
    </w:pPr>
  </w:style>
  <w:style w:type="paragraph" w:styleId="34">
    <w:name w:val="toc 9"/>
    <w:basedOn w:val="1"/>
    <w:next w:val="1"/>
    <w:unhideWhenUsed/>
    <w:qFormat/>
    <w:uiPriority w:val="39"/>
    <w:pPr>
      <w:spacing w:after="57"/>
      <w:ind w:left="2268" w:right="0" w:firstLine="0"/>
    </w:pPr>
  </w:style>
  <w:style w:type="paragraph" w:styleId="35">
    <w:name w:val="Title"/>
    <w:basedOn w:val="1"/>
    <w:next w:val="1"/>
    <w:link w:val="65"/>
    <w:qFormat/>
    <w:uiPriority w:val="10"/>
    <w:pPr>
      <w:spacing w:before="300" w:after="200"/>
      <w:contextualSpacing/>
    </w:pPr>
    <w:rPr>
      <w:sz w:val="48"/>
      <w:szCs w:val="48"/>
    </w:rPr>
  </w:style>
  <w:style w:type="paragraph" w:styleId="36">
    <w:name w:val="Body Text First Indent"/>
    <w:basedOn w:val="16"/>
    <w:qFormat/>
    <w:uiPriority w:val="0"/>
    <w:pPr>
      <w:ind w:firstLine="420"/>
    </w:pPr>
    <w:rPr>
      <w:rFonts w:ascii="仿宋_GB2312" w:hAnsi="Times New Roman" w:eastAsia="仿宋_GB2312"/>
      <w:sz w:val="30"/>
      <w:szCs w:val="30"/>
    </w:rPr>
  </w:style>
  <w:style w:type="table" w:styleId="38">
    <w:name w:val="Table Grid"/>
    <w:basedOn w:val="37"/>
    <w:qFormat/>
    <w:uiPriority w:val="59"/>
    <w:pPr>
      <w:spacing w:after="0" w:line="240" w:lineRule="auto"/>
    </w:p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40">
    <w:name w:val="endnote reference"/>
    <w:basedOn w:val="39"/>
    <w:semiHidden/>
    <w:unhideWhenUsed/>
    <w:qFormat/>
    <w:uiPriority w:val="99"/>
    <w:rPr>
      <w:vertAlign w:val="superscript"/>
    </w:rPr>
  </w:style>
  <w:style w:type="character" w:styleId="41">
    <w:name w:val="Hyperlink"/>
    <w:unhideWhenUsed/>
    <w:qFormat/>
    <w:uiPriority w:val="99"/>
    <w:rPr>
      <w:color w:val="0000FF" w:themeColor="hyperlink"/>
      <w:u w:val="single"/>
      <w14:textFill>
        <w14:solidFill>
          <w14:schemeClr w14:val="hlink"/>
        </w14:solidFill>
      </w14:textFill>
    </w:rPr>
  </w:style>
  <w:style w:type="character" w:styleId="42">
    <w:name w:val="footnote reference"/>
    <w:basedOn w:val="39"/>
    <w:unhideWhenUsed/>
    <w:qFormat/>
    <w:uiPriority w:val="99"/>
    <w:rPr>
      <w:vertAlign w:val="superscript"/>
    </w:rPr>
  </w:style>
  <w:style w:type="paragraph" w:customStyle="1" w:styleId="43">
    <w:name w:val="一级条标题"/>
    <w:basedOn w:val="44"/>
    <w:next w:val="52"/>
    <w:qFormat/>
    <w:uiPriority w:val="0"/>
    <w:pPr>
      <w:tabs>
        <w:tab w:val="left" w:pos="810"/>
        <w:tab w:val="left" w:pos="907"/>
        <w:tab w:val="left" w:pos="1265"/>
      </w:tabs>
      <w:spacing w:before="0" w:after="0"/>
      <w:ind w:left="907" w:hanging="907"/>
      <w:outlineLvl w:val="2"/>
    </w:pPr>
    <w:rPr>
      <w:rFonts w:hAnsi="宋体"/>
      <w:sz w:val="20"/>
      <w:szCs w:val="20"/>
    </w:rPr>
  </w:style>
  <w:style w:type="paragraph" w:customStyle="1" w:styleId="44">
    <w:name w:val="章标题"/>
    <w:basedOn w:val="45"/>
    <w:next w:val="1"/>
    <w:qFormat/>
    <w:uiPriority w:val="0"/>
    <w:pPr>
      <w:widowControl/>
      <w:spacing w:before="158" w:after="153" w:line="1292" w:lineRule="atLeast"/>
      <w:jc w:val="center"/>
    </w:pPr>
    <w:rPr>
      <w:rFonts w:ascii="Arial" w:hAnsi="Calibri" w:eastAsia="黑体"/>
      <w:sz w:val="31"/>
      <w:szCs w:val="22"/>
      <w:lang w:eastAsia="en-US" w:bidi="en-US"/>
    </w:rPr>
  </w:style>
  <w:style w:type="paragraph" w:customStyle="1" w:styleId="45">
    <w:name w:val="正文1"/>
    <w:basedOn w:val="46"/>
    <w:next w:val="47"/>
    <w:qFormat/>
    <w:uiPriority w:val="0"/>
    <w:pPr>
      <w:widowControl w:val="0"/>
      <w:jc w:val="both"/>
    </w:pPr>
    <w:rPr>
      <w:rFonts w:hint="default" w:ascii="Calibri" w:hAnsi="Calibri" w:eastAsia="宋体" w:cs="Times New Roman"/>
      <w:sz w:val="21"/>
      <w:szCs w:val="24"/>
      <w:lang w:val="en-US" w:eastAsia="zh-CN" w:bidi="ar-SA"/>
    </w:rPr>
  </w:style>
  <w:style w:type="paragraph" w:customStyle="1" w:styleId="46">
    <w:name w:val="正文111"/>
    <w:next w:val="2"/>
    <w:qFormat/>
    <w:uiPriority w:val="0"/>
    <w:pPr>
      <w:widowControl w:val="0"/>
      <w:jc w:val="both"/>
    </w:pPr>
    <w:rPr>
      <w:rFonts w:hint="default" w:ascii="Calibri" w:hAnsi="Calibri" w:eastAsia="宋体" w:cs="Times New Roman"/>
      <w:sz w:val="21"/>
      <w:szCs w:val="24"/>
      <w:lang w:val="en-US" w:eastAsia="zh-CN" w:bidi="ar-SA"/>
    </w:rPr>
  </w:style>
  <w:style w:type="paragraph" w:customStyle="1" w:styleId="47">
    <w:name w:val="目录 11"/>
    <w:basedOn w:val="48"/>
    <w:next w:val="3"/>
    <w:qFormat/>
    <w:uiPriority w:val="0"/>
    <w:pPr>
      <w:widowControl/>
      <w:spacing w:after="100" w:line="259" w:lineRule="auto"/>
      <w:jc w:val="left"/>
    </w:pPr>
    <w:rPr>
      <w:rFonts w:ascii="Calibri" w:hAnsi="Calibri"/>
      <w:sz w:val="22"/>
      <w:szCs w:val="22"/>
    </w:rPr>
  </w:style>
  <w:style w:type="paragraph" w:customStyle="1" w:styleId="48">
    <w:name w:val="正文11"/>
    <w:next w:val="49"/>
    <w:link w:val="238"/>
    <w:qFormat/>
    <w:uiPriority w:val="0"/>
    <w:pPr>
      <w:widowControl w:val="0"/>
      <w:jc w:val="both"/>
    </w:pPr>
    <w:rPr>
      <w:rFonts w:hint="default" w:ascii="Calibri" w:hAnsi="Calibri" w:eastAsia="宋体" w:cs="Times New Roman"/>
      <w:sz w:val="21"/>
      <w:szCs w:val="24"/>
      <w:lang w:val="en-US" w:eastAsia="zh-CN" w:bidi="ar-SA"/>
    </w:rPr>
  </w:style>
  <w:style w:type="paragraph" w:customStyle="1" w:styleId="49">
    <w:name w:val="正文首行缩进 21"/>
    <w:basedOn w:val="50"/>
    <w:next w:val="1"/>
    <w:qFormat/>
    <w:uiPriority w:val="0"/>
    <w:pPr>
      <w:ind w:firstLine="420"/>
    </w:pPr>
    <w:rPr>
      <w:rFonts w:ascii="Times New Roman" w:hAnsi="Times New Roman"/>
    </w:rPr>
  </w:style>
  <w:style w:type="paragraph" w:customStyle="1" w:styleId="50">
    <w:name w:val="正文文本缩进1"/>
    <w:basedOn w:val="3"/>
    <w:next w:val="51"/>
    <w:qFormat/>
    <w:uiPriority w:val="0"/>
    <w:pPr>
      <w:spacing w:after="120"/>
      <w:ind w:left="420"/>
    </w:pPr>
    <w:rPr>
      <w:rFonts w:ascii="Calibri" w:hAnsi="Calibri"/>
    </w:rPr>
  </w:style>
  <w:style w:type="paragraph" w:customStyle="1" w:styleId="51">
    <w:name w:val="寄信人地址1"/>
    <w:basedOn w:val="1"/>
    <w:qFormat/>
    <w:uiPriority w:val="0"/>
    <w:rPr>
      <w:rFonts w:ascii="Arial" w:hAnsi="Arial"/>
    </w:rPr>
  </w:style>
  <w:style w:type="paragraph" w:customStyle="1" w:styleId="52">
    <w:name w:val="段"/>
    <w:basedOn w:val="45"/>
    <w:next w:val="1"/>
    <w:qFormat/>
    <w:uiPriority w:val="0"/>
    <w:pPr>
      <w:widowControl/>
      <w:ind w:firstLine="200"/>
    </w:pPr>
    <w:rPr>
      <w:rFonts w:hint="eastAsia" w:ascii="宋体"/>
    </w:rPr>
  </w:style>
  <w:style w:type="paragraph" w:customStyle="1" w:styleId="53">
    <w:name w:val="文本块11"/>
    <w:basedOn w:val="1"/>
    <w:qFormat/>
    <w:uiPriority w:val="0"/>
    <w:pPr>
      <w:spacing w:after="120"/>
      <w:ind w:left="1440" w:right="1440"/>
    </w:pPr>
  </w:style>
  <w:style w:type="character" w:customStyle="1" w:styleId="54">
    <w:name w:val="Heading 1 Char"/>
    <w:basedOn w:val="39"/>
    <w:qFormat/>
    <w:uiPriority w:val="9"/>
    <w:rPr>
      <w:rFonts w:ascii="Arial" w:hAnsi="Arial" w:eastAsia="Arial" w:cs="Arial"/>
      <w:sz w:val="40"/>
      <w:szCs w:val="40"/>
    </w:rPr>
  </w:style>
  <w:style w:type="character" w:customStyle="1" w:styleId="55">
    <w:name w:val="Heading 2 Char"/>
    <w:basedOn w:val="39"/>
    <w:qFormat/>
    <w:uiPriority w:val="9"/>
    <w:rPr>
      <w:rFonts w:ascii="Arial" w:hAnsi="Arial" w:eastAsia="Arial" w:cs="Arial"/>
      <w:sz w:val="34"/>
    </w:rPr>
  </w:style>
  <w:style w:type="character" w:customStyle="1" w:styleId="56">
    <w:name w:val="Heading 3 Char"/>
    <w:basedOn w:val="39"/>
    <w:link w:val="6"/>
    <w:qFormat/>
    <w:uiPriority w:val="9"/>
    <w:rPr>
      <w:rFonts w:ascii="Arial" w:hAnsi="Arial" w:eastAsia="Arial" w:cs="Arial"/>
      <w:sz w:val="30"/>
      <w:szCs w:val="30"/>
    </w:rPr>
  </w:style>
  <w:style w:type="character" w:customStyle="1" w:styleId="57">
    <w:name w:val="Heading 4 Char"/>
    <w:basedOn w:val="39"/>
    <w:link w:val="7"/>
    <w:qFormat/>
    <w:uiPriority w:val="9"/>
    <w:rPr>
      <w:rFonts w:ascii="Arial" w:hAnsi="Arial" w:eastAsia="Arial" w:cs="Arial"/>
      <w:b/>
      <w:bCs/>
      <w:sz w:val="26"/>
      <w:szCs w:val="26"/>
    </w:rPr>
  </w:style>
  <w:style w:type="character" w:customStyle="1" w:styleId="58">
    <w:name w:val="Heading 5 Char"/>
    <w:basedOn w:val="39"/>
    <w:link w:val="8"/>
    <w:qFormat/>
    <w:uiPriority w:val="9"/>
    <w:rPr>
      <w:rFonts w:ascii="Arial" w:hAnsi="Arial" w:eastAsia="Arial" w:cs="Arial"/>
      <w:b/>
      <w:bCs/>
      <w:sz w:val="24"/>
      <w:szCs w:val="24"/>
    </w:rPr>
  </w:style>
  <w:style w:type="character" w:customStyle="1" w:styleId="59">
    <w:name w:val="Heading 6 Char"/>
    <w:basedOn w:val="39"/>
    <w:link w:val="9"/>
    <w:qFormat/>
    <w:uiPriority w:val="9"/>
    <w:rPr>
      <w:rFonts w:ascii="Arial" w:hAnsi="Arial" w:eastAsia="Arial" w:cs="Arial"/>
      <w:b/>
      <w:bCs/>
      <w:sz w:val="22"/>
      <w:szCs w:val="22"/>
    </w:rPr>
  </w:style>
  <w:style w:type="character" w:customStyle="1" w:styleId="60">
    <w:name w:val="Heading 7 Char"/>
    <w:basedOn w:val="39"/>
    <w:link w:val="10"/>
    <w:qFormat/>
    <w:uiPriority w:val="9"/>
    <w:rPr>
      <w:rFonts w:ascii="Arial" w:hAnsi="Arial" w:eastAsia="Arial" w:cs="Arial"/>
      <w:b/>
      <w:bCs/>
      <w:i/>
      <w:iCs/>
      <w:sz w:val="22"/>
      <w:szCs w:val="22"/>
    </w:rPr>
  </w:style>
  <w:style w:type="character" w:customStyle="1" w:styleId="61">
    <w:name w:val="Heading 8 Char"/>
    <w:basedOn w:val="39"/>
    <w:link w:val="11"/>
    <w:qFormat/>
    <w:uiPriority w:val="9"/>
    <w:rPr>
      <w:rFonts w:ascii="Arial" w:hAnsi="Arial" w:eastAsia="Arial" w:cs="Arial"/>
      <w:i/>
      <w:iCs/>
      <w:sz w:val="22"/>
      <w:szCs w:val="22"/>
    </w:rPr>
  </w:style>
  <w:style w:type="character" w:customStyle="1" w:styleId="62">
    <w:name w:val="Heading 9 Char"/>
    <w:basedOn w:val="39"/>
    <w:link w:val="12"/>
    <w:qFormat/>
    <w:uiPriority w:val="9"/>
    <w:rPr>
      <w:rFonts w:ascii="Arial" w:hAnsi="Arial" w:eastAsia="Arial" w:cs="Arial"/>
      <w:i/>
      <w:iCs/>
      <w:sz w:val="21"/>
      <w:szCs w:val="21"/>
    </w:rPr>
  </w:style>
  <w:style w:type="paragraph" w:styleId="63">
    <w:name w:val="List Paragraph"/>
    <w:basedOn w:val="1"/>
    <w:qFormat/>
    <w:uiPriority w:val="34"/>
    <w:pPr>
      <w:ind w:left="720"/>
      <w:contextualSpacing/>
    </w:pPr>
  </w:style>
  <w:style w:type="paragraph" w:styleId="64">
    <w:name w:val="No Spacing"/>
    <w:qFormat/>
    <w:uiPriority w:val="1"/>
    <w:pPr>
      <w:spacing w:before="0" w:after="0" w:line="240" w:lineRule="auto"/>
    </w:pPr>
    <w:rPr>
      <w:rFonts w:hint="default" w:ascii="Calibri" w:hAnsi="Calibri" w:eastAsia="宋体" w:cs="Times New Roman"/>
    </w:rPr>
  </w:style>
  <w:style w:type="character" w:customStyle="1" w:styleId="65">
    <w:name w:val="Title Char"/>
    <w:basedOn w:val="39"/>
    <w:link w:val="35"/>
    <w:qFormat/>
    <w:uiPriority w:val="10"/>
    <w:rPr>
      <w:sz w:val="48"/>
      <w:szCs w:val="48"/>
    </w:rPr>
  </w:style>
  <w:style w:type="character" w:customStyle="1" w:styleId="66">
    <w:name w:val="Subtitle Char"/>
    <w:basedOn w:val="39"/>
    <w:link w:val="28"/>
    <w:qFormat/>
    <w:uiPriority w:val="11"/>
    <w:rPr>
      <w:sz w:val="24"/>
      <w:szCs w:val="24"/>
    </w:rPr>
  </w:style>
  <w:style w:type="paragraph" w:styleId="67">
    <w:name w:val="Quote"/>
    <w:basedOn w:val="1"/>
    <w:next w:val="1"/>
    <w:link w:val="68"/>
    <w:qFormat/>
    <w:uiPriority w:val="29"/>
    <w:pPr>
      <w:ind w:left="720" w:right="720"/>
    </w:pPr>
    <w:rPr>
      <w:i/>
    </w:rPr>
  </w:style>
  <w:style w:type="character" w:customStyle="1" w:styleId="68">
    <w:name w:val="Quote Char"/>
    <w:link w:val="67"/>
    <w:qFormat/>
    <w:uiPriority w:val="29"/>
    <w:rPr>
      <w:i/>
    </w:rPr>
  </w:style>
  <w:style w:type="paragraph" w:styleId="69">
    <w:name w:val="Intense Quote"/>
    <w:basedOn w:val="1"/>
    <w:next w:val="1"/>
    <w:link w:val="70"/>
    <w:qFormat/>
    <w:uiPriority w:val="30"/>
    <w:pPr>
      <w:pBdr>
        <w:top w:val="single" w:color="FFFFFF" w:sz="4" w:space="5"/>
        <w:left w:val="single" w:color="FFFFFF" w:sz="4" w:space="10"/>
        <w:bottom w:val="single" w:color="FFFFFF" w:sz="4" w:space="5"/>
        <w:right w:val="single" w:color="FFFFFF" w:sz="4" w:space="10"/>
      </w:pBdr>
      <w:shd w:val="clear" w:color="auto" w:fill="F2F2F2"/>
      <w:ind w:left="720" w:right="720"/>
      <w:contextualSpacing w:val="0"/>
    </w:pPr>
    <w:rPr>
      <w:i/>
    </w:rPr>
  </w:style>
  <w:style w:type="character" w:customStyle="1" w:styleId="70">
    <w:name w:val="Intense Quote Char"/>
    <w:link w:val="69"/>
    <w:qFormat/>
    <w:uiPriority w:val="30"/>
    <w:rPr>
      <w:i/>
    </w:rPr>
  </w:style>
  <w:style w:type="character" w:customStyle="1" w:styleId="71">
    <w:name w:val="Header Char"/>
    <w:basedOn w:val="39"/>
    <w:link w:val="25"/>
    <w:qFormat/>
    <w:uiPriority w:val="99"/>
  </w:style>
  <w:style w:type="character" w:customStyle="1" w:styleId="72">
    <w:name w:val="Footer Char"/>
    <w:basedOn w:val="39"/>
    <w:link w:val="24"/>
    <w:qFormat/>
    <w:uiPriority w:val="99"/>
  </w:style>
  <w:style w:type="character" w:customStyle="1" w:styleId="73">
    <w:name w:val="Caption Char"/>
    <w:link w:val="24"/>
    <w:qFormat/>
    <w:uiPriority w:val="99"/>
  </w:style>
  <w:style w:type="table" w:customStyle="1" w:styleId="74">
    <w:name w:val="Table Grid Light"/>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style>
  <w:style w:type="table" w:customStyle="1" w:styleId="75">
    <w:name w:val="Plain Table 1"/>
    <w:basedOn w:val="37"/>
    <w:qFormat/>
    <w:uiPriority w:val="59"/>
    <w:pPr>
      <w:spacing w:after="0" w:line="240" w:lineRule="auto"/>
    </w:pPr>
    <w:tblPr>
      <w:tblBorders>
        <w:top w:val="single" w:color="AEAEAE" w:themeColor="text1" w:themeTint="50" w:sz="4" w:space="0"/>
        <w:left w:val="single" w:color="AEAEAE" w:themeColor="text1" w:themeTint="50" w:sz="4" w:space="0"/>
        <w:bottom w:val="single" w:color="AEAEAE" w:themeColor="text1" w:themeTint="50" w:sz="4" w:space="0"/>
        <w:right w:val="single" w:color="AEAEAE" w:themeColor="text1" w:themeTint="50" w:sz="4" w:space="0"/>
        <w:insideH w:val="single" w:color="AEAEAE" w:themeColor="text1" w:themeTint="50" w:sz="4" w:space="0"/>
        <w:insideV w:val="single" w:color="AEAEAE" w:themeColor="text1" w:themeTint="50" w:sz="4" w:space="0"/>
      </w:tblBorders>
      <w:tblCellMar>
        <w:top w:w="0" w:type="dxa"/>
        <w:left w:w="108" w:type="dxa"/>
        <w:bottom w:w="0" w:type="dxa"/>
        <w:right w:w="108" w:type="dxa"/>
      </w:tblCellMar>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shd w:val="clear" w:color="F1F1F1" w:themeColor="text1" w:themeTint="0D" w:fill="F1F1F1" w:themeFill="text1" w:themeFillTint="0D"/>
      </w:tcPr>
    </w:tblStylePr>
    <w:tblStylePr w:type="band1Horz">
      <w:tcPr>
        <w:shd w:val="clear" w:color="F1F1F1" w:themeColor="text1" w:themeTint="0D" w:fill="F1F1F1" w:themeFill="text1" w:themeFillTint="0D"/>
      </w:tcPr>
    </w:tblStylePr>
  </w:style>
  <w:style w:type="table" w:customStyle="1" w:styleId="76">
    <w:name w:val="Plain Table 2"/>
    <w:basedOn w:val="37"/>
    <w:qFormat/>
    <w:uiPriority w:val="59"/>
    <w:pPr>
      <w:spacing w:after="0" w:line="240" w:lineRule="auto"/>
    </w:pPr>
    <w:tblPr>
      <w:tblBorders>
        <w:top w:val="single" w:color="000000" w:themeColor="text1" w:sz="4" w:space="0"/>
        <w:left w:val="none" w:color="000000" w:themeColor="text1" w:sz="4" w:space="0"/>
        <w:bottom w:val="single" w:color="000000" w:themeColor="text1" w:sz="4" w:space="0"/>
        <w:right w:val="none" w:color="000000" w:themeColor="text1" w:sz="4" w:space="0"/>
      </w:tblBorders>
      <w:tblCellMar>
        <w:top w:w="0" w:type="dxa"/>
        <w:left w:w="108" w:type="dxa"/>
        <w:bottom w:w="0" w:type="dxa"/>
        <w:right w:w="108" w:type="dxa"/>
      </w:tblCellMar>
    </w:tblPr>
    <w:tblStylePr w:type="firstRow">
      <w:rPr>
        <w:rFonts w:ascii="Arial" w:hAnsi="Arial"/>
        <w:b/>
        <w:color w:val="404040"/>
        <w:sz w:val="22"/>
      </w:rPr>
      <w:tcPr>
        <w:tcBorders>
          <w:top w:val="single" w:color="000000" w:themeColor="text1" w:sz="4" w:space="0"/>
          <w:bottom w:val="single" w:color="000000" w:themeColor="text1" w:sz="4" w:space="0"/>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cPr>
        <w:tcBorders>
          <w:left w:val="single" w:color="000000" w:themeColor="text1" w:sz="4" w:space="0"/>
          <w:right w:val="single" w:color="000000" w:themeColor="text1" w:sz="4" w:space="0"/>
        </w:tcBorders>
      </w:tcPr>
    </w:tblStylePr>
    <w:tblStylePr w:type="band2Vert">
      <w:tcPr>
        <w:tcBorders>
          <w:left w:val="single" w:color="000000" w:themeColor="text1" w:sz="4" w:space="0"/>
          <w:right w:val="single" w:color="000000" w:themeColor="text1" w:sz="4" w:space="0"/>
        </w:tcBorders>
      </w:tcPr>
    </w:tblStylePr>
    <w:tblStylePr w:type="band1Horz">
      <w:tcPr>
        <w:tcBorders>
          <w:top w:val="single" w:color="000000" w:themeColor="text1" w:sz="4" w:space="0"/>
          <w:bottom w:val="single" w:color="000000" w:themeColor="text1" w:sz="4" w:space="0"/>
        </w:tcBorders>
      </w:tcPr>
    </w:tblStylePr>
  </w:style>
  <w:style w:type="table" w:customStyle="1" w:styleId="77">
    <w:name w:val="Plain Table 3"/>
    <w:basedOn w:val="37"/>
    <w:qFormat/>
    <w:uiPriority w:val="99"/>
    <w:pPr>
      <w:spacing w:after="0" w:line="240" w:lineRule="auto"/>
    </w:pPr>
    <w:tblStylePr w:type="firstRow">
      <w:rPr>
        <w:b/>
        <w:caps/>
        <w:color w:val="404040"/>
      </w:rPr>
      <w:tcPr>
        <w:tcBorders>
          <w:top w:val="nil"/>
          <w:left w:val="nil"/>
          <w:bottom w:val="single" w:color="404040" w:sz="4" w:space="0"/>
          <w:right w:val="nil"/>
        </w:tcBorders>
      </w:tcPr>
    </w:tblStylePr>
    <w:tblStylePr w:type="lastRow">
      <w:rPr>
        <w:b/>
        <w:caps/>
        <w:color w:val="404040"/>
      </w:rPr>
    </w:tblStylePr>
    <w:tblStylePr w:type="firstCol">
      <w:rPr>
        <w:b/>
        <w:caps/>
        <w:color w:val="404040"/>
      </w:rPr>
      <w:tcPr>
        <w:tcBorders>
          <w:top w:val="nil"/>
          <w:left w:val="nil"/>
          <w:bottom w:val="nil"/>
          <w:right w:val="single" w:color="404040" w:sz="4" w:space="0"/>
        </w:tcBorders>
      </w:tcPr>
    </w:tblStylePr>
    <w:tblStylePr w:type="lastCol">
      <w:rPr>
        <w:b/>
        <w:caps/>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8">
    <w:name w:val="Plain Table 4"/>
    <w:basedOn w:val="37"/>
    <w:qFormat/>
    <w:uiPriority w:val="99"/>
    <w:pPr>
      <w:spacing w:after="0" w:line="240" w:lineRule="auto"/>
    </w:p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79">
    <w:name w:val="Plain Table 5"/>
    <w:basedOn w:val="37"/>
    <w:qFormat/>
    <w:uiPriority w:val="99"/>
    <w:pPr>
      <w:spacing w:after="0" w:line="240" w:lineRule="auto"/>
    </w:pPr>
    <w:tblStylePr w:type="firstRow">
      <w:rPr>
        <w:i/>
        <w:color w:val="404040"/>
      </w:rPr>
      <w:tcPr>
        <w:tcBorders>
          <w:left w:val="nil"/>
          <w:bottom w:val="single" w:color="404040" w:sz="4" w:space="0"/>
          <w:right w:val="nil"/>
        </w:tcBorders>
        <w:shd w:val="clear" w:color="FFFFFF" w:fill="auto"/>
      </w:tcPr>
    </w:tblStylePr>
    <w:tblStylePr w:type="lastRow">
      <w:rPr>
        <w:i/>
        <w:color w:val="404040"/>
      </w:rPr>
      <w:tcPr>
        <w:tcBorders>
          <w:top w:val="single" w:color="404040" w:sz="4" w:space="0"/>
          <w:left w:val="nil"/>
          <w:right w:val="nil"/>
        </w:tcBorders>
        <w:shd w:val="clear" w:color="FFFFFF" w:fill="auto"/>
      </w:tcPr>
    </w:tblStylePr>
    <w:tblStylePr w:type="firstCol">
      <w:pPr>
        <w:jc w:val="right"/>
      </w:pPr>
      <w:rPr>
        <w:i/>
        <w:color w:val="404040"/>
      </w:rPr>
      <w:tcPr>
        <w:tcBorders>
          <w:right w:val="single" w:color="404040" w:sz="4" w:space="0"/>
        </w:tcBorders>
        <w:shd w:val="clear" w:color="FFFFFF" w:fill="auto"/>
      </w:tcPr>
    </w:tblStylePr>
    <w:tblStylePr w:type="lastCol">
      <w:rPr>
        <w:i/>
        <w:color w:val="404040"/>
      </w:rPr>
      <w:tcPr>
        <w:tcBorders>
          <w:left w:val="single" w:color="404040" w:sz="4" w:space="0"/>
        </w:tcBorders>
        <w:shd w:val="clear" w:color="FFFFFF" w:fill="auto"/>
      </w:tcPr>
    </w:tblStylePr>
    <w:tblStylePr w:type="band1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cPr>
        <w:shd w:val="clear" w:color="F1F1F1" w:themeColor="text1" w:themeTint="0D" w:fill="F1F1F1" w:themeFill="text1" w:themeFillTint="0D"/>
      </w:tcPr>
    </w:tblStylePr>
  </w:style>
  <w:style w:type="table" w:customStyle="1" w:styleId="80">
    <w:name w:val="Grid Table 1 Light"/>
    <w:basedOn w:val="37"/>
    <w:qFormat/>
    <w:uiPriority w:val="99"/>
    <w:pPr>
      <w:spacing w:after="0" w:line="240" w:lineRule="auto"/>
    </w:pPr>
    <w:tblPr>
      <w:tbl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insideH w:val="single" w:color="979797" w:themeColor="text1" w:themeTint="67" w:sz="4" w:space="0"/>
        <w:insideV w:val="single" w:color="979797" w:themeColor="text1" w:themeTint="67" w:sz="4" w:space="0"/>
      </w:tblBorders>
    </w:tblPr>
    <w:tblStylePr w:type="firstRow">
      <w:rPr>
        <w:b/>
        <w:color w:val="404040"/>
      </w:rPr>
      <w:tcPr>
        <w:tcBorders>
          <w:bottom w:val="single" w:color="696969" w:themeColor="tex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979797" w:themeColor="text1" w:themeTint="67" w:sz="4" w:space="0"/>
          <w:left w:val="single" w:color="979797" w:themeColor="text1" w:themeTint="67" w:sz="4" w:space="0"/>
          <w:bottom w:val="single" w:color="979797" w:themeColor="text1" w:themeTint="67" w:sz="4" w:space="0"/>
          <w:right w:val="single" w:color="979797" w:themeColor="text1" w:themeTint="67" w:sz="4" w:space="0"/>
        </w:tcBorders>
      </w:tcPr>
    </w:tblStylePr>
  </w:style>
  <w:style w:type="table" w:customStyle="1" w:styleId="81">
    <w:name w:val="Grid Table 1 Light - Accent 1"/>
    <w:basedOn w:val="3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b/>
        <w:color w:val="404040"/>
      </w:rPr>
      <w:tcPr>
        <w:tcBorders>
          <w:bottom w:val="single" w:color="98B5D8" w:themeColor="accent1"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82">
    <w:name w:val="Grid Table 1 Light - Accent 2"/>
    <w:basedOn w:val="3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b/>
        <w:color w:val="404040"/>
      </w:rPr>
      <w:tcPr>
        <w:tcBorders>
          <w:bottom w:val="single" w:color="DA9896" w:themeColor="accent2"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83">
    <w:name w:val="Grid Table 1 Light - Accent 3"/>
    <w:basedOn w:val="3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b/>
        <w:color w:val="404040"/>
      </w:rPr>
      <w:tcPr>
        <w:tcBorders>
          <w:bottom w:val="single" w:color="C4D79E" w:themeColor="accent3"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84">
    <w:name w:val="Grid Table 1 Light - Accent 4"/>
    <w:basedOn w:val="3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b/>
        <w:color w:val="404040"/>
      </w:rPr>
      <w:tcPr>
        <w:tcBorders>
          <w:bottom w:val="single" w:color="B4A4C8" w:themeColor="accent4"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85">
    <w:name w:val="Grid Table 1 Light - Accent 5"/>
    <w:basedOn w:val="3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b/>
        <w:color w:val="404040"/>
      </w:rPr>
      <w:tcPr>
        <w:tcBorders>
          <w:bottom w:val="single" w:color="95CEDD" w:themeColor="accent5"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86">
    <w:name w:val="Grid Table 1 Light - Accent 6"/>
    <w:basedOn w:val="3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b/>
        <w:color w:val="404040"/>
      </w:rPr>
      <w:tcPr>
        <w:tcBorders>
          <w:bottom w:val="single" w:color="FAC192" w:themeColor="accent6" w:themeTint="95" w:sz="12" w:space="0"/>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table" w:customStyle="1" w:styleId="87">
    <w:name w:val="Grid Table 2"/>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single" w:color="696969" w:themeColor="text1" w:themeTint="95" w:sz="12" w:space="0"/>
          <w:right w:val="nil"/>
        </w:tcBorders>
        <w:shd w:val="clear" w:color="FFFFFF" w:fill="auto"/>
      </w:tcPr>
    </w:tblStylePr>
    <w:tblStylePr w:type="lastRow">
      <w:rPr>
        <w:b/>
        <w:color w:val="404040"/>
      </w:rPr>
      <w:tcPr>
        <w:tcBorders>
          <w:top w:val="single" w:color="696969" w:themeColor="text1" w:themeTint="9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88">
    <w:name w:val="Grid Table 2 - Accent 1"/>
    <w:basedOn w:val="3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single" w:color="5D8BC2" w:themeColor="accent1" w:themeTint="EA" w:sz="12" w:space="0"/>
          <w:right w:val="nil"/>
        </w:tcBorders>
        <w:shd w:val="clear" w:color="FFFFFF" w:fill="auto"/>
      </w:tcPr>
    </w:tblStylePr>
    <w:tblStylePr w:type="lastRow">
      <w:rPr>
        <w:b/>
        <w:color w:val="404040"/>
      </w:rPr>
      <w:tcPr>
        <w:tcBorders>
          <w:top w:val="single" w:color="5D8BC2" w:themeColor="accent1" w:themeTint="E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89">
    <w:name w:val="Grid Table 2 - Accent 2"/>
    <w:basedOn w:val="3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single" w:color="D99795" w:themeColor="accent2" w:themeTint="97" w:sz="12" w:space="0"/>
          <w:right w:val="nil"/>
        </w:tcBorders>
        <w:shd w:val="clear" w:color="FFFFFF" w:fill="auto"/>
      </w:tcPr>
    </w:tblStylePr>
    <w:tblStylePr w:type="lastRow">
      <w:rPr>
        <w:b/>
        <w:color w:val="404040"/>
      </w:rPr>
      <w:tcPr>
        <w:tcBorders>
          <w:top w:val="single" w:color="D99795" w:themeColor="accent2" w:themeTint="97"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0">
    <w:name w:val="Grid Table 2 - Accent 3"/>
    <w:basedOn w:val="3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single" w:color="9BBB59" w:themeColor="accent3" w:themeTint="FE" w:sz="12" w:space="0"/>
          <w:right w:val="nil"/>
        </w:tcBorders>
        <w:shd w:val="clear" w:color="FFFFFF" w:fill="auto"/>
      </w:tcPr>
    </w:tblStylePr>
    <w:tblStylePr w:type="lastRow">
      <w:rPr>
        <w:b/>
        <w:color w:val="404040"/>
      </w:rPr>
      <w:tcPr>
        <w:tcBorders>
          <w:top w:val="single" w:color="9BBB59" w:themeColor="accent3" w:themeTint="FE"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1">
    <w:name w:val="Grid Table 2 - Accent 4"/>
    <w:basedOn w:val="3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single" w:color="B2A1C6" w:themeColor="accent4" w:themeTint="9A" w:sz="12" w:space="0"/>
          <w:right w:val="nil"/>
        </w:tcBorders>
        <w:shd w:val="clear" w:color="FFFFFF" w:fill="auto"/>
      </w:tcPr>
    </w:tblStylePr>
    <w:tblStylePr w:type="lastRow">
      <w:rPr>
        <w:b/>
        <w:color w:val="404040"/>
      </w:rPr>
      <w:tcPr>
        <w:tcBorders>
          <w:top w:val="single" w:color="B2A1C6" w:themeColor="accent4" w:themeTint="9A"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2">
    <w:name w:val="Grid Table 2 - Accent 5"/>
    <w:basedOn w:val="3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single" w:color="4BACC6" w:themeColor="accent5" w:sz="12" w:space="0"/>
          <w:right w:val="nil"/>
        </w:tcBorders>
        <w:shd w:val="clear" w:color="FFFFFF" w:fill="auto"/>
      </w:tcPr>
    </w:tblStylePr>
    <w:tblStylePr w:type="lastRow">
      <w:rPr>
        <w:b/>
        <w:color w:val="404040"/>
      </w:rPr>
      <w:tcPr>
        <w:tcBorders>
          <w:top w:val="single" w:color="4BACC6" w:themeColor="accent5"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93">
    <w:name w:val="Grid Table 2 - Accent 6"/>
    <w:basedOn w:val="3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single" w:color="F79646" w:themeColor="accent6" w:sz="12" w:space="0"/>
          <w:right w:val="nil"/>
        </w:tcBorders>
        <w:shd w:val="clear" w:color="FFFFFF" w:fill="auto"/>
      </w:tcPr>
    </w:tblStylePr>
    <w:tblStylePr w:type="lastRow">
      <w:rPr>
        <w:b/>
        <w:color w:val="404040"/>
      </w:rPr>
      <w:tcPr>
        <w:tcBorders>
          <w:top w:val="single" w:color="F79646" w:themeColor="accent6" w:sz="4" w:space="0"/>
          <w:left w:val="nil"/>
          <w:bottom w:val="nil"/>
          <w:right w:val="nil"/>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94">
    <w:name w:val="Grid Table 3"/>
    <w:basedOn w:val="37"/>
    <w:qFormat/>
    <w:uiPriority w:val="99"/>
    <w:pPr>
      <w:spacing w:after="0" w:line="240" w:lineRule="auto"/>
    </w:pPr>
    <w:tblPr>
      <w:tblBorders>
        <w:bottom w:val="single" w:color="696969" w:themeColor="text1" w:themeTint="95" w:sz="4" w:space="0"/>
        <w:insideH w:val="single" w:color="696969" w:themeColor="text1" w:themeTint="95" w:sz="4" w:space="0"/>
        <w:insideV w:val="single" w:color="696969" w:themeColor="text1" w:themeTint="9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95">
    <w:name w:val="Grid Table 3 - Accent 1"/>
    <w:basedOn w:val="37"/>
    <w:qFormat/>
    <w:uiPriority w:val="99"/>
    <w:pPr>
      <w:spacing w:after="0" w:line="240" w:lineRule="auto"/>
    </w:pPr>
    <w:tblPr>
      <w:tblBorders>
        <w:bottom w:val="single" w:color="5D8BC2" w:themeColor="accent1" w:themeTint="EA" w:sz="4" w:space="0"/>
        <w:insideH w:val="single" w:color="5D8BC2" w:themeColor="accent1" w:themeTint="EA" w:sz="4" w:space="0"/>
        <w:insideV w:val="single" w:color="5D8BC2" w:themeColor="accent1" w:themeTint="E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BE5F1" w:themeColor="accent1" w:themeTint="34" w:fill="DBE5F1" w:themeFill="accent1" w:themeFillTint="34"/>
      </w:tcPr>
    </w:tblStylePr>
    <w:tblStylePr w:type="band1Horz">
      <w:rPr>
        <w:rFonts w:ascii="Arial" w:hAnsi="Arial"/>
        <w:color w:val="404040"/>
        <w:sz w:val="22"/>
      </w:rPr>
      <w:tcPr>
        <w:shd w:val="clear" w:color="DBE5F1" w:themeColor="accent1" w:themeTint="34" w:fill="DBE5F1" w:themeFill="accent1" w:themeFillTint="34"/>
      </w:tcPr>
    </w:tblStylePr>
  </w:style>
  <w:style w:type="table" w:customStyle="1" w:styleId="96">
    <w:name w:val="Grid Table 3 - Accent 2"/>
    <w:basedOn w:val="37"/>
    <w:qFormat/>
    <w:uiPriority w:val="99"/>
    <w:pPr>
      <w:spacing w:after="0" w:line="240" w:lineRule="auto"/>
    </w:pPr>
    <w:tblPr>
      <w:tblBorders>
        <w:bottom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97">
    <w:name w:val="Grid Table 3 - Accent 3"/>
    <w:basedOn w:val="37"/>
    <w:qFormat/>
    <w:uiPriority w:val="99"/>
    <w:pPr>
      <w:spacing w:after="0" w:line="240" w:lineRule="auto"/>
    </w:pPr>
    <w:tblPr>
      <w:tblBorders>
        <w:bottom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98">
    <w:name w:val="Grid Table 3 - Accent 4"/>
    <w:basedOn w:val="37"/>
    <w:qFormat/>
    <w:uiPriority w:val="99"/>
    <w:pPr>
      <w:spacing w:after="0" w:line="240" w:lineRule="auto"/>
    </w:pPr>
    <w:tblPr>
      <w:tblBorders>
        <w:bottom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99">
    <w:name w:val="Grid Table 3 - Accent 5"/>
    <w:basedOn w:val="37"/>
    <w:qFormat/>
    <w:uiPriority w:val="99"/>
    <w:pPr>
      <w:spacing w:after="0" w:line="240" w:lineRule="auto"/>
    </w:pPr>
    <w:tblPr>
      <w:tblBorders>
        <w:bottom w:val="single" w:color="4BACC6" w:themeColor="accent5" w:sz="4" w:space="0"/>
        <w:insideH w:val="single" w:color="4BACC6" w:themeColor="accent5" w:sz="4" w:space="0"/>
        <w:insideV w:val="single" w:color="4BACC6" w:themeColor="accent5"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0">
    <w:name w:val="Grid Table 3 - Accent 6"/>
    <w:basedOn w:val="37"/>
    <w:qFormat/>
    <w:uiPriority w:val="99"/>
    <w:pPr>
      <w:spacing w:after="0" w:line="240" w:lineRule="auto"/>
    </w:pPr>
    <w:tblPr>
      <w:tblBorders>
        <w:bottom w:val="single" w:color="F79646" w:themeColor="accent6" w:sz="4" w:space="0"/>
        <w:insideH w:val="single" w:color="F79646" w:themeColor="accent6" w:sz="4" w:space="0"/>
        <w:insideV w:val="single" w:color="F79646" w:themeColor="accent6" w:sz="4" w:space="0"/>
      </w:tblBorders>
    </w:tblPr>
    <w:tblStylePr w:type="firstRow">
      <w:rPr>
        <w:b/>
        <w:color w:val="404040"/>
      </w:rPr>
      <w:tcPr>
        <w:tcBorders>
          <w:top w:val="nil"/>
          <w:left w:val="nil"/>
          <w:bottom w:val="nil"/>
          <w:right w:val="nil"/>
        </w:tcBorders>
        <w:shd w:val="clear" w:color="FFFFFF" w:fill="auto"/>
      </w:tcPr>
    </w:tblStylePr>
    <w:tblStylePr w:type="lastRow">
      <w:rPr>
        <w:b/>
        <w:color w:val="404040"/>
      </w:rPr>
      <w:tcPr>
        <w:tcBorders>
          <w:top w:val="nil"/>
          <w:left w:val="nil"/>
          <w:bottom w:val="nil"/>
          <w:right w:val="nil"/>
        </w:tcBorders>
        <w:shd w:val="clear" w:color="FFFFFF" w:fill="auto"/>
      </w:tcPr>
    </w:tblStylePr>
    <w:tblStylePr w:type="firstCol">
      <w:pPr>
        <w:jc w:val="right"/>
      </w:pPr>
      <w:rPr>
        <w:i/>
        <w:color w:val="404040"/>
      </w:rPr>
      <w:tcPr>
        <w:tcBorders>
          <w:top w:val="nil"/>
          <w:left w:val="nil"/>
          <w:bottom w:val="nil"/>
          <w:right w:val="nil"/>
        </w:tcBorders>
        <w:shd w:val="clear" w:color="FFFFFF" w:fill="auto"/>
      </w:tcPr>
    </w:tblStylePr>
    <w:tblStylePr w:type="lastCol">
      <w:rPr>
        <w:i/>
        <w:color w:val="404040"/>
      </w:rPr>
      <w:tcPr>
        <w:tcBorders>
          <w:top w:val="nil"/>
          <w:left w:val="nil"/>
          <w:bottom w:val="nil"/>
          <w:right w:val="nil"/>
        </w:tcBorders>
        <w:shd w:val="clear" w:color="FFFFFF" w:fill="auto"/>
      </w:tc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1">
    <w:name w:val="Grid Table 4"/>
    <w:basedOn w:val="37"/>
    <w:qFormat/>
    <w:uiPriority w:val="59"/>
    <w:pPr>
      <w:spacing w:after="0" w:line="240" w:lineRule="auto"/>
    </w:pPr>
    <w:tblPr>
      <w:tblBorders>
        <w:top w:val="single" w:color="6E6E6E" w:themeColor="text1" w:themeTint="90" w:sz="4" w:space="0"/>
        <w:left w:val="single" w:color="6E6E6E" w:themeColor="text1" w:themeTint="90" w:sz="4" w:space="0"/>
        <w:bottom w:val="single" w:color="6E6E6E" w:themeColor="text1" w:themeTint="90" w:sz="4" w:space="0"/>
        <w:right w:val="single" w:color="6E6E6E" w:themeColor="text1" w:themeTint="90" w:sz="4" w:space="0"/>
        <w:insideH w:val="single" w:color="6E6E6E" w:themeColor="text1" w:themeTint="90" w:sz="4" w:space="0"/>
        <w:insideV w:val="single" w:color="6E6E6E" w:themeColor="text1" w:themeTint="90" w:sz="4" w:space="0"/>
      </w:tblBorders>
    </w:tblPr>
    <w:tblStylePr w:type="firstRow">
      <w:rPr>
        <w:rFonts w:ascii="Arial" w:hAnsi="Arial"/>
        <w:b/>
        <w:color w:val="FFFFFF"/>
        <w:sz w:val="22"/>
      </w:rPr>
      <w:tcPr>
        <w:tcBorders>
          <w:top w:val="single" w:color="000000" w:themeColor="text1" w:sz="4" w:space="0"/>
          <w:left w:val="single" w:color="000000" w:themeColor="text1" w:sz="4" w:space="0"/>
          <w:bottom w:val="single" w:color="000000" w:themeColor="text1" w:sz="4" w:space="0"/>
          <w:right w:val="single" w:color="000000" w:themeColor="text1" w:sz="4" w:space="0"/>
        </w:tcBorders>
        <w:shd w:val="clear" w:color="000000" w:themeColor="text1" w:fill="000000" w:themeFill="text1"/>
      </w:tcPr>
    </w:tblStylePr>
    <w:tblStylePr w:type="lastRow">
      <w:rPr>
        <w:b/>
        <w:color w:val="404040"/>
      </w:rPr>
      <w:tcPr>
        <w:tcBorders>
          <w:top w:val="single" w:color="000000" w:themeColor="text1"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CACACA" w:themeColor="text1" w:themeTint="34" w:fill="CACACA" w:themeFill="text1" w:themeFillTint="34"/>
      </w:tcPr>
    </w:tblStylePr>
    <w:tblStylePr w:type="band1Horz">
      <w:rPr>
        <w:rFonts w:ascii="Arial" w:hAnsi="Arial"/>
        <w:color w:val="404040"/>
        <w:sz w:val="22"/>
      </w:rPr>
      <w:tcPr>
        <w:shd w:val="clear" w:color="CACACA" w:themeColor="text1" w:themeTint="34" w:fill="CACACA" w:themeFill="text1" w:themeFillTint="34"/>
      </w:tcPr>
    </w:tblStylePr>
  </w:style>
  <w:style w:type="table" w:customStyle="1" w:styleId="102">
    <w:name w:val="Grid Table 4 - Accent 1"/>
    <w:basedOn w:val="37"/>
    <w:qFormat/>
    <w:uiPriority w:val="5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insideV w:val="single" w:color="9BB7D9" w:themeColor="accent1" w:themeTint="90" w:sz="4" w:space="0"/>
      </w:tblBorders>
    </w:tblPr>
    <w:tblStylePr w:type="firstRow">
      <w:rPr>
        <w:rFonts w:ascii="Arial" w:hAnsi="Arial"/>
        <w:b/>
        <w:color w:val="FFFFFF"/>
        <w:sz w:val="22"/>
      </w:rPr>
      <w:tcPr>
        <w:tcBorders>
          <w:top w:val="single" w:color="5D8BC2" w:themeColor="accent1" w:themeTint="EA" w:sz="4" w:space="0"/>
          <w:left w:val="single" w:color="5D8BC2" w:themeColor="accent1" w:themeTint="EA" w:sz="4" w:space="0"/>
          <w:bottom w:val="single" w:color="5D8BC2" w:themeColor="accent1" w:themeTint="EA" w:sz="4" w:space="0"/>
          <w:right w:val="single" w:color="5D8BC2" w:themeColor="accent1" w:themeTint="EA" w:sz="4" w:space="0"/>
        </w:tcBorders>
        <w:shd w:val="clear" w:color="5D8BC2" w:themeColor="accent1" w:themeTint="EA" w:fill="5D8BC2" w:themeFill="accent1" w:themeFillTint="EA"/>
      </w:tcPr>
    </w:tblStylePr>
    <w:tblStylePr w:type="lastRow">
      <w:rPr>
        <w:b/>
        <w:color w:val="404040"/>
      </w:rPr>
      <w:tcPr>
        <w:tcBorders>
          <w:top w:val="single" w:color="5D8BC2" w:themeColor="accent1" w:themeTint="E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CE6F2" w:themeColor="accent1" w:themeTint="32" w:fill="DCE6F2" w:themeFill="accent1" w:themeFillTint="32"/>
      </w:tcPr>
    </w:tblStylePr>
    <w:tblStylePr w:type="band1Horz">
      <w:rPr>
        <w:rFonts w:ascii="Arial" w:hAnsi="Arial"/>
        <w:color w:val="404040"/>
        <w:sz w:val="22"/>
      </w:rPr>
      <w:tcPr>
        <w:shd w:val="clear" w:color="DCE6F2" w:themeColor="accent1" w:themeTint="32" w:fill="DCE6F2" w:themeFill="accent1" w:themeFillTint="32"/>
      </w:tcPr>
    </w:tblStylePr>
  </w:style>
  <w:style w:type="table" w:customStyle="1" w:styleId="103">
    <w:name w:val="Grid Table 4 - Accent 2"/>
    <w:basedOn w:val="37"/>
    <w:qFormat/>
    <w:uiPriority w:val="5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insideV w:val="single" w:color="DB9C9A" w:themeColor="accent2" w:themeTint="90" w:sz="4" w:space="0"/>
      </w:tblBorders>
    </w:tblPr>
    <w:tblStylePr w:type="firstRow">
      <w:rPr>
        <w:rFonts w:ascii="Arial" w:hAnsi="Arial"/>
        <w:b/>
        <w:color w:val="FFFFFF"/>
        <w:sz w:val="22"/>
      </w:rPr>
      <w:tcPr>
        <w:tc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cBorders>
        <w:shd w:val="clear" w:color="D99795" w:themeColor="accent2" w:themeTint="97" w:fill="D99795" w:themeFill="accent2" w:themeFillTint="97"/>
      </w:tcPr>
    </w:tblStylePr>
    <w:tblStylePr w:type="lastRow">
      <w:rPr>
        <w:b/>
        <w:color w:val="404040"/>
      </w:rPr>
      <w:tcPr>
        <w:tcBorders>
          <w:top w:val="single" w:color="D99795" w:themeColor="accent2" w:themeTint="97"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cPr>
        <w:shd w:val="clear" w:color="F2DCDC" w:themeColor="accent2" w:themeTint="32" w:fill="F2DCDC" w:themeFill="accent2" w:themeFillTint="32"/>
      </w:tcPr>
    </w:tblStylePr>
  </w:style>
  <w:style w:type="table" w:customStyle="1" w:styleId="104">
    <w:name w:val="Grid Table 4 - Accent 3"/>
    <w:basedOn w:val="37"/>
    <w:qFormat/>
    <w:uiPriority w:val="5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insideV w:val="single" w:color="C6D8A1" w:themeColor="accent3" w:themeTint="90" w:sz="4" w:space="0"/>
      </w:tblBorders>
    </w:tblPr>
    <w:tblStylePr w:type="firstRow">
      <w:rPr>
        <w:rFonts w:ascii="Arial" w:hAnsi="Arial"/>
        <w:b/>
        <w:color w:val="FFFFFF"/>
        <w:sz w:val="22"/>
      </w:rPr>
      <w:tcPr>
        <w:tc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tcBorders>
        <w:shd w:val="clear" w:color="9BBB59" w:themeColor="accent3" w:themeTint="FE" w:fill="9BBB59" w:themeFill="accent3" w:themeFillTint="FE"/>
      </w:tcPr>
    </w:tblStylePr>
    <w:tblStylePr w:type="lastRow">
      <w:rPr>
        <w:b/>
        <w:color w:val="404040"/>
      </w:rPr>
      <w:tcPr>
        <w:tcBorders>
          <w:top w:val="single" w:color="9BBB59" w:themeColor="accent3" w:themeTint="FE"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cPr>
        <w:shd w:val="clear" w:color="EAF1DD" w:themeColor="accent3" w:themeTint="34" w:fill="EAF1DD" w:themeFill="accent3" w:themeFillTint="34"/>
      </w:tcPr>
    </w:tblStylePr>
  </w:style>
  <w:style w:type="table" w:customStyle="1" w:styleId="105">
    <w:name w:val="Grid Table 4 - Accent 4"/>
    <w:basedOn w:val="37"/>
    <w:qFormat/>
    <w:uiPriority w:val="5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insideV w:val="single" w:color="B7A7CA" w:themeColor="accent4" w:themeTint="90" w:sz="4" w:space="0"/>
      </w:tblBorders>
    </w:tblPr>
    <w:tblStylePr w:type="firstRow">
      <w:rPr>
        <w:rFonts w:ascii="Arial" w:hAnsi="Arial"/>
        <w:b/>
        <w:color w:val="FFFFFF"/>
        <w:sz w:val="22"/>
      </w:rPr>
      <w:tcPr>
        <w:tc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cBorders>
        <w:shd w:val="clear" w:color="B2A1C6" w:themeColor="accent4" w:themeTint="9A" w:fill="B2A1C6" w:themeFill="accent4" w:themeFillTint="9A"/>
      </w:tcPr>
    </w:tblStylePr>
    <w:tblStylePr w:type="lastRow">
      <w:rPr>
        <w:b/>
        <w:color w:val="404040"/>
      </w:rPr>
      <w:tcPr>
        <w:tcBorders>
          <w:top w:val="single" w:color="B2A1C6" w:themeColor="accent4" w:themeTint="9A"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cPr>
        <w:shd w:val="clear" w:color="E5DFEC" w:themeColor="accent4" w:themeTint="34" w:fill="E5DFEC" w:themeFill="accent4" w:themeFillTint="34"/>
      </w:tcPr>
    </w:tblStylePr>
  </w:style>
  <w:style w:type="table" w:customStyle="1" w:styleId="106">
    <w:name w:val="Grid Table 4 - Accent 5"/>
    <w:basedOn w:val="37"/>
    <w:qFormat/>
    <w:uiPriority w:val="5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FFFFFF"/>
        <w:sz w:val="22"/>
      </w:rPr>
      <w:tcPr>
        <w:tcBorders>
          <w:top w:val="single" w:color="4BACC6" w:themeColor="accent5" w:sz="4" w:space="0"/>
          <w:left w:val="single" w:color="4BACC6" w:themeColor="accent5" w:sz="4" w:space="0"/>
          <w:bottom w:val="single" w:color="4BACC6" w:themeColor="accent5" w:sz="4" w:space="0"/>
          <w:right w:val="single" w:color="4BACC6" w:themeColor="accent5" w:sz="4" w:space="0"/>
        </w:tcBorders>
        <w:shd w:val="clear" w:color="4BACC6" w:themeColor="accent5" w:fill="4BACC6" w:themeFill="accent5"/>
      </w:tcPr>
    </w:tblStylePr>
    <w:tblStylePr w:type="lastRow">
      <w:rPr>
        <w:b/>
        <w:color w:val="404040"/>
      </w:rPr>
      <w:tcPr>
        <w:tcBorders>
          <w:top w:val="single" w:color="4BACC6" w:themeColor="accent5"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cPr>
        <w:shd w:val="clear" w:color="DAEEF3" w:themeColor="accent5" w:themeTint="34" w:fill="DAEEF3" w:themeFill="accent5" w:themeFillTint="34"/>
      </w:tcPr>
    </w:tblStylePr>
  </w:style>
  <w:style w:type="table" w:customStyle="1" w:styleId="107">
    <w:name w:val="Grid Table 4 - Accent 6"/>
    <w:basedOn w:val="37"/>
    <w:qFormat/>
    <w:uiPriority w:val="5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FFFFFF"/>
        <w:sz w:val="22"/>
      </w:rPr>
      <w:tcPr>
        <w:tcBorders>
          <w:top w:val="single" w:color="F79646" w:themeColor="accent6" w:sz="4" w:space="0"/>
          <w:left w:val="single" w:color="F79646" w:themeColor="accent6" w:sz="4" w:space="0"/>
          <w:bottom w:val="single" w:color="F79646" w:themeColor="accent6" w:sz="4" w:space="0"/>
          <w:right w:val="single" w:color="F79646" w:themeColor="accent6" w:sz="4" w:space="0"/>
        </w:tcBorders>
        <w:shd w:val="clear" w:color="F79646" w:themeColor="accent6" w:fill="F79646" w:themeFill="accent6"/>
      </w:tcPr>
    </w:tblStylePr>
    <w:tblStylePr w:type="lastRow">
      <w:rPr>
        <w:b/>
        <w:color w:val="404040"/>
      </w:rPr>
      <w:tcPr>
        <w:tcBorders>
          <w:top w:val="single" w:color="F79646" w:themeColor="accent6" w:sz="4" w:space="0"/>
        </w:tcBorders>
      </w:tcPr>
    </w:tblStylePr>
    <w:tblStylePr w:type="firstCol">
      <w:rPr>
        <w:b/>
        <w:color w:val="404040"/>
      </w:rPr>
    </w:tblStylePr>
    <w:tblStylePr w:type="lastCol">
      <w:rPr>
        <w:b/>
        <w:color w:val="404040"/>
      </w:rPr>
    </w:tblStylePr>
    <w:tblStylePr w:type="band1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cPr>
        <w:shd w:val="clear" w:color="FDE9D9" w:themeColor="accent6" w:themeTint="34" w:fill="FDE9D9" w:themeFill="accent6" w:themeFillTint="34"/>
      </w:tcPr>
    </w:tblStylePr>
  </w:style>
  <w:style w:type="table" w:customStyle="1" w:styleId="108">
    <w:name w:val="Grid Table 5 Dark"/>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000000" w:themeColor="text1" w:fill="000000" w:themeFill="text1"/>
      </w:tcPr>
    </w:tblStylePr>
    <w:tblStylePr w:type="lastRow">
      <w:rPr>
        <w:rFonts w:ascii="Arial" w:hAnsi="Arial"/>
        <w:b/>
        <w:color w:val="FFFFFF"/>
        <w:sz w:val="22"/>
      </w:rPr>
      <w:tcPr>
        <w:tcBorders>
          <w:top w:val="single" w:color="FFFFFF" w:themeColor="light1" w:sz="4" w:space="0"/>
        </w:tcBorders>
        <w:shd w:val="clear" w:color="000000" w:themeColor="text1" w:fill="000000" w:themeFill="text1"/>
      </w:tcPr>
    </w:tblStylePr>
    <w:tblStylePr w:type="firstCol">
      <w:rPr>
        <w:rFonts w:ascii="Arial" w:hAnsi="Arial"/>
        <w:b/>
        <w:color w:val="FFFFFF"/>
        <w:sz w:val="22"/>
      </w:rPr>
      <w:tcPr>
        <w:shd w:val="clear" w:color="000000" w:themeColor="text1" w:fill="000000" w:themeFill="text1"/>
      </w:tcPr>
    </w:tblStylePr>
    <w:tblStylePr w:type="lastCol">
      <w:rPr>
        <w:rFonts w:ascii="Arial" w:hAnsi="Arial"/>
        <w:b/>
        <w:color w:val="FFFFFF"/>
        <w:sz w:val="22"/>
      </w:rPr>
      <w:tcPr>
        <w:shd w:val="clear" w:color="000000" w:themeColor="text1" w:fill="000000" w:themeFill="text1"/>
      </w:tcPr>
    </w:tblStylePr>
    <w:tblStylePr w:type="band1Vert">
      <w:tcPr>
        <w:shd w:val="clear" w:color="898989" w:themeColor="text1" w:themeTint="75" w:fill="898989" w:themeFill="text1" w:themeFillTint="75"/>
      </w:tcPr>
    </w:tblStylePr>
    <w:tblStylePr w:type="band1Horz">
      <w:tcPr>
        <w:shd w:val="clear" w:color="898989" w:themeColor="text1" w:themeTint="75" w:fill="898989" w:themeFill="text1" w:themeFillTint="75"/>
      </w:tcPr>
    </w:tblStylePr>
  </w:style>
  <w:style w:type="table" w:customStyle="1" w:styleId="109">
    <w:name w:val="Grid Table 5 Dark- Accent 1"/>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F81BD" w:themeColor="accent1" w:fill="4F81BD" w:themeFill="accent1"/>
      </w:tcPr>
    </w:tblStylePr>
    <w:tblStylePr w:type="lastRow">
      <w:rPr>
        <w:rFonts w:ascii="Arial" w:hAnsi="Arial"/>
        <w:b/>
        <w:color w:val="FFFFFF"/>
        <w:sz w:val="22"/>
      </w:rPr>
      <w:tcPr>
        <w:tcBorders>
          <w:top w:val="single" w:color="FFFFFF" w:themeColor="light1" w:sz="4" w:space="0"/>
        </w:tcBorders>
        <w:shd w:val="clear" w:color="4F81BD" w:themeColor="accent1" w:fill="4F81BD" w:themeFill="accent1"/>
      </w:tcPr>
    </w:tblStylePr>
    <w:tblStylePr w:type="firstCol">
      <w:rPr>
        <w:rFonts w:ascii="Arial" w:hAnsi="Arial"/>
        <w:b/>
        <w:color w:val="FFFFFF"/>
        <w:sz w:val="22"/>
      </w:rPr>
      <w:tcPr>
        <w:shd w:val="clear" w:color="4F81BD" w:themeColor="accent1" w:fill="4F81BD" w:themeFill="accent1"/>
      </w:tcPr>
    </w:tblStylePr>
    <w:tblStylePr w:type="lastCol">
      <w:rPr>
        <w:rFonts w:ascii="Arial" w:hAnsi="Arial"/>
        <w:b/>
        <w:color w:val="FFFFFF"/>
        <w:sz w:val="22"/>
      </w:rPr>
      <w:tcPr>
        <w:shd w:val="clear" w:color="4F81BD" w:themeColor="accent1" w:fill="4F81BD" w:themeFill="accent1"/>
      </w:tcPr>
    </w:tblStylePr>
    <w:tblStylePr w:type="band1Vert">
      <w:tcPr>
        <w:shd w:val="clear" w:color="AEC5E0" w:themeColor="accent1" w:themeTint="75" w:fill="AEC5E0" w:themeFill="accent1" w:themeFillTint="75"/>
      </w:tcPr>
    </w:tblStylePr>
    <w:tblStylePr w:type="band1Horz">
      <w:tcPr>
        <w:shd w:val="clear" w:color="AEC5E0" w:themeColor="accent1" w:themeTint="75" w:fill="AEC5E0" w:themeFill="accent1" w:themeFillTint="75"/>
      </w:tcPr>
    </w:tblStylePr>
  </w:style>
  <w:style w:type="table" w:customStyle="1" w:styleId="110">
    <w:name w:val="Grid Table 5 Dark - Accent 2"/>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C0504D" w:themeColor="accent2" w:fill="C0504D" w:themeFill="accent2"/>
      </w:tcPr>
    </w:tblStylePr>
    <w:tblStylePr w:type="lastRow">
      <w:rPr>
        <w:rFonts w:ascii="Arial" w:hAnsi="Arial"/>
        <w:b/>
        <w:color w:val="FFFFFF"/>
        <w:sz w:val="22"/>
      </w:rPr>
      <w:tcPr>
        <w:tcBorders>
          <w:top w:val="single" w:color="FFFFFF" w:themeColor="light1" w:sz="4" w:space="0"/>
        </w:tcBorders>
        <w:shd w:val="clear" w:color="C0504D" w:themeColor="accent2" w:fill="C0504D" w:themeFill="accent2"/>
      </w:tcPr>
    </w:tblStylePr>
    <w:tblStylePr w:type="firstCol">
      <w:rPr>
        <w:rFonts w:ascii="Arial" w:hAnsi="Arial"/>
        <w:b/>
        <w:color w:val="FFFFFF"/>
        <w:sz w:val="22"/>
      </w:rPr>
      <w:tcPr>
        <w:shd w:val="clear" w:color="C0504D" w:themeColor="accent2" w:fill="C0504D" w:themeFill="accent2"/>
      </w:tcPr>
    </w:tblStylePr>
    <w:tblStylePr w:type="lastCol">
      <w:rPr>
        <w:rFonts w:ascii="Arial" w:hAnsi="Arial"/>
        <w:b/>
        <w:color w:val="FFFFFF"/>
        <w:sz w:val="22"/>
      </w:rPr>
      <w:tcPr>
        <w:shd w:val="clear" w:color="C0504D" w:themeColor="accent2" w:fill="C0504D" w:themeFill="accent2"/>
      </w:tcPr>
    </w:tblStylePr>
    <w:tblStylePr w:type="band1Vert">
      <w:tcPr>
        <w:shd w:val="clear" w:color="E2AEAD" w:themeColor="accent2" w:themeTint="75" w:fill="E2AEAD" w:themeFill="accent2" w:themeFillTint="75"/>
      </w:tcPr>
    </w:tblStylePr>
    <w:tblStylePr w:type="band1Horz">
      <w:tcPr>
        <w:shd w:val="clear" w:color="E2AEAD" w:themeColor="accent2" w:themeTint="75" w:fill="E2AEAD" w:themeFill="accent2" w:themeFillTint="75"/>
      </w:tcPr>
    </w:tblStylePr>
  </w:style>
  <w:style w:type="table" w:customStyle="1" w:styleId="111">
    <w:name w:val="Grid Table 5 Dark - Accent 3"/>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9BBB59" w:themeColor="accent3" w:fill="9BBB59" w:themeFill="accent3"/>
      </w:tcPr>
    </w:tblStylePr>
    <w:tblStylePr w:type="lastRow">
      <w:rPr>
        <w:rFonts w:ascii="Arial" w:hAnsi="Arial"/>
        <w:b/>
        <w:color w:val="FFFFFF"/>
        <w:sz w:val="22"/>
      </w:rPr>
      <w:tcPr>
        <w:tcBorders>
          <w:top w:val="single" w:color="FFFFFF" w:themeColor="light1" w:sz="4" w:space="0"/>
        </w:tcBorders>
        <w:shd w:val="clear" w:color="9BBB59" w:themeColor="accent3" w:fill="9BBB59" w:themeFill="accent3"/>
      </w:tcPr>
    </w:tblStylePr>
    <w:tblStylePr w:type="firstCol">
      <w:rPr>
        <w:rFonts w:ascii="Arial" w:hAnsi="Arial"/>
        <w:b/>
        <w:color w:val="FFFFFF"/>
        <w:sz w:val="22"/>
      </w:rPr>
      <w:tcPr>
        <w:shd w:val="clear" w:color="9BBB59" w:themeColor="accent3" w:fill="9BBB59" w:themeFill="accent3"/>
      </w:tcPr>
    </w:tblStylePr>
    <w:tblStylePr w:type="lastCol">
      <w:rPr>
        <w:rFonts w:ascii="Arial" w:hAnsi="Arial"/>
        <w:b/>
        <w:color w:val="FFFFFF"/>
        <w:sz w:val="22"/>
      </w:rPr>
      <w:tcPr>
        <w:shd w:val="clear" w:color="9BBB59" w:themeColor="accent3" w:fill="9BBB59" w:themeFill="accent3"/>
      </w:tcPr>
    </w:tblStylePr>
    <w:tblStylePr w:type="band1Vert">
      <w:tcPr>
        <w:shd w:val="clear" w:color="D1DFB2" w:themeColor="accent3" w:themeTint="75" w:fill="D1DFB2" w:themeFill="accent3" w:themeFillTint="75"/>
      </w:tcPr>
    </w:tblStylePr>
    <w:tblStylePr w:type="band1Horz">
      <w:tcPr>
        <w:shd w:val="clear" w:color="D1DFB2" w:themeColor="accent3" w:themeTint="75" w:fill="D1DFB2" w:themeFill="accent3" w:themeFillTint="75"/>
      </w:tcPr>
    </w:tblStylePr>
  </w:style>
  <w:style w:type="table" w:customStyle="1" w:styleId="112">
    <w:name w:val="Grid Table 5 Dark- Accent 4"/>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8064A2" w:themeColor="accent4" w:fill="8064A2" w:themeFill="accent4"/>
      </w:tcPr>
    </w:tblStylePr>
    <w:tblStylePr w:type="lastRow">
      <w:rPr>
        <w:rFonts w:ascii="Arial" w:hAnsi="Arial"/>
        <w:b/>
        <w:color w:val="FFFFFF"/>
        <w:sz w:val="22"/>
      </w:rPr>
      <w:tcPr>
        <w:tcBorders>
          <w:top w:val="single" w:color="FFFFFF" w:themeColor="light1" w:sz="4" w:space="0"/>
        </w:tcBorders>
        <w:shd w:val="clear" w:color="8064A2" w:themeColor="accent4" w:fill="8064A2" w:themeFill="accent4"/>
      </w:tcPr>
    </w:tblStylePr>
    <w:tblStylePr w:type="firstCol">
      <w:rPr>
        <w:rFonts w:ascii="Arial" w:hAnsi="Arial"/>
        <w:b/>
        <w:color w:val="FFFFFF"/>
        <w:sz w:val="22"/>
      </w:rPr>
      <w:tcPr>
        <w:shd w:val="clear" w:color="8064A2" w:themeColor="accent4" w:fill="8064A2" w:themeFill="accent4"/>
      </w:tcPr>
    </w:tblStylePr>
    <w:tblStylePr w:type="lastCol">
      <w:rPr>
        <w:rFonts w:ascii="Arial" w:hAnsi="Arial"/>
        <w:b/>
        <w:color w:val="FFFFFF"/>
        <w:sz w:val="22"/>
      </w:rPr>
      <w:tcPr>
        <w:shd w:val="clear" w:color="8064A2" w:themeColor="accent4" w:fill="8064A2" w:themeFill="accent4"/>
      </w:tcPr>
    </w:tblStylePr>
    <w:tblStylePr w:type="band1Vert">
      <w:tcPr>
        <w:shd w:val="clear" w:color="C4B7D4" w:themeColor="accent4" w:themeTint="75" w:fill="C4B7D4" w:themeFill="accent4" w:themeFillTint="75"/>
      </w:tcPr>
    </w:tblStylePr>
    <w:tblStylePr w:type="band1Horz">
      <w:tcPr>
        <w:shd w:val="clear" w:color="C4B7D4" w:themeColor="accent4" w:themeTint="75" w:fill="C4B7D4" w:themeFill="accent4" w:themeFillTint="75"/>
      </w:tcPr>
    </w:tblStylePr>
  </w:style>
  <w:style w:type="table" w:customStyle="1" w:styleId="113">
    <w:name w:val="Grid Table 5 Dark - Accent 5"/>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4BACC6" w:themeColor="accent5" w:fill="4BACC6" w:themeFill="accent5"/>
      </w:tcPr>
    </w:tblStylePr>
    <w:tblStylePr w:type="lastRow">
      <w:rPr>
        <w:rFonts w:ascii="Arial" w:hAnsi="Arial"/>
        <w:b/>
        <w:color w:val="FFFFFF"/>
        <w:sz w:val="22"/>
      </w:rPr>
      <w:tcPr>
        <w:tcBorders>
          <w:top w:val="single" w:color="FFFFFF" w:themeColor="light1" w:sz="4" w:space="0"/>
        </w:tcBorders>
        <w:shd w:val="clear" w:color="4BACC6" w:themeColor="accent5" w:fill="4BACC6" w:themeFill="accent5"/>
      </w:tcPr>
    </w:tblStylePr>
    <w:tblStylePr w:type="firstCol">
      <w:rPr>
        <w:rFonts w:ascii="Arial" w:hAnsi="Arial"/>
        <w:b/>
        <w:color w:val="FFFFFF"/>
        <w:sz w:val="22"/>
      </w:rPr>
      <w:tcPr>
        <w:shd w:val="clear" w:color="4BACC6" w:themeColor="accent5" w:fill="4BACC6" w:themeFill="accent5"/>
      </w:tcPr>
    </w:tblStylePr>
    <w:tblStylePr w:type="lastCol">
      <w:rPr>
        <w:rFonts w:ascii="Arial" w:hAnsi="Arial"/>
        <w:b/>
        <w:color w:val="FFFFFF"/>
        <w:sz w:val="22"/>
      </w:rPr>
      <w:tcPr>
        <w:shd w:val="clear" w:color="4BACC6" w:themeColor="accent5" w:fill="4BACC6" w:themeFill="accent5"/>
      </w:tcPr>
    </w:tblStylePr>
    <w:tblStylePr w:type="band1Vert">
      <w:tcPr>
        <w:shd w:val="clear" w:color="ACD8E4" w:themeColor="accent5" w:themeTint="75" w:fill="ACD8E4" w:themeFill="accent5" w:themeFillTint="75"/>
      </w:tcPr>
    </w:tblStylePr>
    <w:tblStylePr w:type="band1Horz">
      <w:tcPr>
        <w:shd w:val="clear" w:color="ACD8E4" w:themeColor="accent5" w:themeTint="75" w:fill="ACD8E4" w:themeFill="accent5" w:themeFillTint="75"/>
      </w:tcPr>
    </w:tblStylePr>
  </w:style>
  <w:style w:type="table" w:customStyle="1" w:styleId="114">
    <w:name w:val="Grid Table 5 Dark - Accent 6"/>
    <w:basedOn w:val="37"/>
    <w:qFormat/>
    <w:uiPriority w:val="99"/>
    <w:pPr>
      <w:spacing w:after="0" w:line="240" w:lineRule="auto"/>
    </w:pPr>
    <w:tblPr>
      <w:tblBorders>
        <w:top w:val="single" w:color="FFFFFF" w:themeColor="light1" w:sz="4" w:space="0"/>
        <w:left w:val="single" w:color="FFFFFF" w:themeColor="light1" w:sz="4" w:space="0"/>
        <w:bottom w:val="single" w:color="FFFFFF" w:themeColor="light1" w:sz="4" w:space="0"/>
        <w:right w:val="single" w:color="FFFFFF" w:themeColor="light1" w:sz="4" w:space="0"/>
        <w:insideH w:val="single" w:color="FFFFFF" w:themeColor="light1" w:sz="4" w:space="0"/>
        <w:insideV w:val="single" w:color="FFFFFF" w:themeColor="light1" w:sz="4" w:space="0"/>
      </w:tblBorders>
    </w:tblPr>
    <w:tblStylePr w:type="firstRow">
      <w:rPr>
        <w:rFonts w:ascii="Arial" w:hAnsi="Arial"/>
        <w:b/>
        <w:color w:val="FFFFFF"/>
        <w:sz w:val="22"/>
      </w:rPr>
      <w:tcPr>
        <w:shd w:val="clear" w:color="F79646" w:themeColor="accent6" w:fill="F79646" w:themeFill="accent6"/>
      </w:tcPr>
    </w:tblStylePr>
    <w:tblStylePr w:type="lastRow">
      <w:rPr>
        <w:rFonts w:ascii="Arial" w:hAnsi="Arial"/>
        <w:b/>
        <w:color w:val="FFFFFF"/>
        <w:sz w:val="22"/>
      </w:rPr>
      <w:tcPr>
        <w:tcBorders>
          <w:top w:val="single" w:color="FFFFFF" w:themeColor="light1" w:sz="4" w:space="0"/>
        </w:tcBorders>
        <w:shd w:val="clear" w:color="F79646" w:themeColor="accent6" w:fill="F79646" w:themeFill="accent6"/>
      </w:tcPr>
    </w:tblStylePr>
    <w:tblStylePr w:type="firstCol">
      <w:rPr>
        <w:rFonts w:ascii="Arial" w:hAnsi="Arial"/>
        <w:b/>
        <w:color w:val="FFFFFF"/>
        <w:sz w:val="22"/>
      </w:rPr>
      <w:tcPr>
        <w:shd w:val="clear" w:color="F79646" w:themeColor="accent6" w:fill="F79646" w:themeFill="accent6"/>
      </w:tcPr>
    </w:tblStylePr>
    <w:tblStylePr w:type="lastCol">
      <w:rPr>
        <w:rFonts w:ascii="Arial" w:hAnsi="Arial"/>
        <w:b/>
        <w:color w:val="FFFFFF"/>
        <w:sz w:val="22"/>
      </w:rPr>
      <w:tcPr>
        <w:shd w:val="clear" w:color="F79646" w:themeColor="accent6" w:fill="F79646" w:themeFill="accent6"/>
      </w:tcPr>
    </w:tblStylePr>
    <w:tblStylePr w:type="band1Vert">
      <w:tcPr>
        <w:shd w:val="clear" w:color="FBCEAA" w:themeColor="accent6" w:themeTint="75" w:fill="FBCEAA" w:themeFill="accent6" w:themeFillTint="75"/>
      </w:tcPr>
    </w:tblStylePr>
    <w:tblStylePr w:type="band1Horz">
      <w:tcPr>
        <w:shd w:val="clear" w:color="FBCEAA" w:themeColor="accent6" w:themeTint="75" w:fill="FBCEAA" w:themeFill="accent6" w:themeFillTint="75"/>
      </w:tcPr>
    </w:tblStylePr>
  </w:style>
  <w:style w:type="table" w:customStyle="1" w:styleId="115">
    <w:name w:val="Grid Table 6 Colorful"/>
    <w:basedOn w:val="37"/>
    <w:qFormat/>
    <w:uiPriority w:val="99"/>
    <w:pPr>
      <w:spacing w:after="0" w:line="240" w:lineRule="auto"/>
    </w:pPr>
    <w:tblPr>
      <w:tblBorders>
        <w:top w:val="single" w:color="7E7E7E" w:themeColor="text1" w:themeTint="80" w:sz="4" w:space="0"/>
        <w:left w:val="single" w:color="7E7E7E" w:themeColor="text1" w:themeTint="80" w:sz="4" w:space="0"/>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b/>
        <w:color w:val="808080" w:themeColor="text1" w:themeTint="80"/>
        <w14:textFill>
          <w14:solidFill>
            <w14:schemeClr w14:val="tx1">
              <w14:lumMod w14:val="50000"/>
              <w14:lumOff w14:val="50000"/>
            </w14:schemeClr>
          </w14:solidFill>
        </w14:textFill>
      </w:rPr>
      <w:tcPr>
        <w:tcBorders>
          <w:bottom w:val="single" w:color="7E7E7E" w:themeColor="text1" w:themeTint="80" w:sz="12" w:space="0"/>
        </w:tcBorders>
      </w:tcPr>
    </w:tblStylePr>
    <w:tblStylePr w:type="lastRow">
      <w:rPr>
        <w:b/>
        <w:color w:val="808080" w:themeColor="text1" w:themeTint="80"/>
        <w14:textFill>
          <w14:solidFill>
            <w14:schemeClr w14:val="tx1">
              <w14:lumMod w14:val="50000"/>
              <w14:lumOff w14:val="50000"/>
            </w14:schemeClr>
          </w14:solidFill>
        </w14:textFill>
      </w:rPr>
    </w:tblStylePr>
    <w:tblStylePr w:type="firstCol">
      <w:rPr>
        <w:b/>
        <w:color w:val="808080" w:themeColor="text1" w:themeTint="80"/>
        <w14:textFill>
          <w14:solidFill>
            <w14:schemeClr w14:val="tx1">
              <w14:lumMod w14:val="50000"/>
              <w14:lumOff w14:val="50000"/>
            </w14:schemeClr>
          </w14:solidFill>
        </w14:textFill>
      </w:rPr>
    </w:tblStylePr>
    <w:tblStylePr w:type="lastCol">
      <w:rPr>
        <w:b/>
        <w:color w:val="808080" w:themeColor="text1" w:themeTint="80"/>
        <w14:textFill>
          <w14:solidFill>
            <w14:schemeClr w14:val="tx1">
              <w14:lumMod w14:val="50000"/>
              <w14:lumOff w14:val="50000"/>
            </w14:schemeClr>
          </w14:solidFill>
        </w14:textFill>
      </w:rPr>
    </w:tblStylePr>
    <w:tblStylePr w:type="band1Vert">
      <w:tcPr>
        <w:shd w:val="clear" w:color="CACACA" w:themeColor="text1" w:themeTint="34" w:fill="CACACA" w:themeFill="text1" w:themeFillTint="34"/>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CACACA" w:themeColor="text1" w:themeTint="34" w:fill="CACACA" w:themeFill="text1" w:themeFillTint="34"/>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16">
    <w:name w:val="Grid Table 6 Colorful - Accent 1"/>
    <w:basedOn w:val="37"/>
    <w:qFormat/>
    <w:uiPriority w:val="99"/>
    <w:pPr>
      <w:spacing w:after="0" w:line="240" w:lineRule="auto"/>
    </w:pPr>
    <w:tblPr>
      <w:tblBorders>
        <w:top w:val="single" w:color="A6BFDD" w:themeColor="accent1" w:themeTint="80" w:sz="4" w:space="0"/>
        <w:left w:val="single" w:color="A6BFDD" w:themeColor="accent1" w:themeTint="80" w:sz="4" w:space="0"/>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b/>
        <w:color w:val="A7C0DE" w:themeColor="accent1" w:themeTint="80"/>
        <w14:textFill>
          <w14:solidFill>
            <w14:schemeClr w14:val="accent1">
              <w14:lumMod w14:val="50000"/>
              <w14:lumOff w14:val="50000"/>
            </w14:schemeClr>
          </w14:solidFill>
        </w14:textFill>
      </w:rPr>
      <w:tcPr>
        <w:tcBorders>
          <w:bottom w:val="single" w:color="A6BFDD" w:themeColor="accent1" w:themeTint="80" w:sz="12" w:space="0"/>
        </w:tcBorders>
      </w:tcPr>
    </w:tblStylePr>
    <w:tblStylePr w:type="lastRow">
      <w:rPr>
        <w:b/>
        <w:color w:val="A7C0DE" w:themeColor="accent1" w:themeTint="80"/>
        <w14:textFill>
          <w14:solidFill>
            <w14:schemeClr w14:val="accent1">
              <w14:lumMod w14:val="50000"/>
              <w14:lumOff w14:val="50000"/>
            </w14:schemeClr>
          </w14:solidFill>
        </w14:textFill>
      </w:rPr>
    </w:tblStylePr>
    <w:tblStylePr w:type="firstCol">
      <w:rPr>
        <w:b/>
        <w:color w:val="A7C0DE" w:themeColor="accent1" w:themeTint="80"/>
        <w14:textFill>
          <w14:solidFill>
            <w14:schemeClr w14:val="accent1">
              <w14:lumMod w14:val="50000"/>
              <w14:lumOff w14:val="50000"/>
            </w14:schemeClr>
          </w14:solidFill>
        </w14:textFill>
      </w:rPr>
    </w:tblStylePr>
    <w:tblStylePr w:type="lastCol">
      <w:rPr>
        <w:b/>
        <w:color w:val="A7C0DE" w:themeColor="accent1" w:themeTint="80"/>
        <w14:textFill>
          <w14:solidFill>
            <w14:schemeClr w14:val="accent1">
              <w14:lumMod w14:val="50000"/>
              <w14:lumOff w14:val="50000"/>
            </w14:schemeClr>
          </w14:solidFill>
        </w14:textFill>
      </w:r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17">
    <w:name w:val="Grid Table 6 Colorful - Accent 2"/>
    <w:basedOn w:val="3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12" w:space="0"/>
        </w:tcBorders>
      </w:tcPr>
    </w:tblStylePr>
    <w:tblStylePr w:type="lastRow">
      <w:rPr>
        <w:b/>
        <w:color w:val="DA9896" w:themeColor="accent2" w:themeTint="96"/>
        <w14:textFill>
          <w14:solidFill>
            <w14:schemeClr w14:val="accent2">
              <w14:lumMod w14:val="59000"/>
              <w14:lumOff w14:val="41000"/>
            </w14:schemeClr>
          </w14:solidFill>
        </w14:textFill>
      </w:r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18">
    <w:name w:val="Grid Table 6 Colorful - Accent 3"/>
    <w:basedOn w:val="37"/>
    <w:qFormat/>
    <w:uiPriority w:val="99"/>
    <w:pPr>
      <w:spacing w:after="0" w:line="240" w:lineRule="auto"/>
    </w:pPr>
    <w:tblPr>
      <w:tblBorders>
        <w:top w:val="single" w:color="9BBB59" w:themeColor="accent3" w:themeTint="FE" w:sz="4" w:space="0"/>
        <w:left w:val="single" w:color="9BBB59" w:themeColor="accent3" w:themeTint="FE" w:sz="4" w:space="0"/>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b/>
        <w:color w:val="9BBB59" w:themeColor="accent3" w:themeTint="FF"/>
        <w14:textFill>
          <w14:solidFill>
            <w14:schemeClr w14:val="accent3">
              <w14:lumMod w14:val="100000"/>
              <w14:lumOff w14:val="0"/>
            </w14:schemeClr>
          </w14:solidFill>
        </w14:textFill>
      </w:rPr>
      <w:tcPr>
        <w:tcBorders>
          <w:bottom w:val="single" w:color="9BBB59" w:themeColor="accent3" w:themeTint="FE" w:sz="12" w:space="0"/>
        </w:tcBorders>
      </w:tcPr>
    </w:tblStylePr>
    <w:tblStylePr w:type="lastRow">
      <w:rPr>
        <w:b/>
        <w:color w:val="9BBB59" w:themeColor="accent3" w:themeTint="FF"/>
        <w14:textFill>
          <w14:solidFill>
            <w14:schemeClr w14:val="accent3">
              <w14:lumMod w14:val="100000"/>
              <w14:lumOff w14:val="0"/>
            </w14:schemeClr>
          </w14:solidFill>
        </w14:textFill>
      </w:rPr>
    </w:tblStylePr>
    <w:tblStylePr w:type="firstCol">
      <w:rPr>
        <w:b/>
        <w:color w:val="9BBB59" w:themeColor="accent3" w:themeTint="FF"/>
        <w14:textFill>
          <w14:solidFill>
            <w14:schemeClr w14:val="accent3">
              <w14:lumMod w14:val="100000"/>
              <w14:lumOff w14:val="0"/>
            </w14:schemeClr>
          </w14:solidFill>
        </w14:textFill>
      </w:rPr>
    </w:tblStylePr>
    <w:tblStylePr w:type="lastCol">
      <w:rPr>
        <w:b/>
        <w:color w:val="9BBB59" w:themeColor="accent3" w:themeTint="FF"/>
        <w14:textFill>
          <w14:solidFill>
            <w14:schemeClr w14:val="accent3">
              <w14:lumMod w14:val="100000"/>
              <w14:lumOff w14:val="0"/>
            </w14:schemeClr>
          </w14:solidFill>
        </w14:textFill>
      </w:r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19">
    <w:name w:val="Grid Table 6 Colorful - Accent 4"/>
    <w:basedOn w:val="3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12" w:space="0"/>
        </w:tcBorders>
      </w:tcPr>
    </w:tblStylePr>
    <w:tblStylePr w:type="lastRow">
      <w:rPr>
        <w:b/>
        <w:color w:val="B3A2C7" w:themeColor="accent4" w:themeTint="99"/>
        <w14:textFill>
          <w14:solidFill>
            <w14:schemeClr w14:val="accent4">
              <w14:lumMod w14:val="60000"/>
              <w14:lumOff w14:val="40000"/>
            </w14:schemeClr>
          </w14:solidFill>
        </w14:textFill>
      </w:r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0">
    <w:name w:val="Grid Table 6 Colorful - Accent 5"/>
    <w:basedOn w:val="37"/>
    <w:qFormat/>
    <w:uiPriority w:val="99"/>
    <w:pPr>
      <w:spacing w:after="0" w:line="240" w:lineRule="auto"/>
    </w:pPr>
    <w:tblPr>
      <w:tblBorders>
        <w:top w:val="single" w:color="4BACC6" w:themeColor="accent5" w:sz="4" w:space="0"/>
        <w:left w:val="single" w:color="4BACC6" w:themeColor="accent5" w:sz="4" w:space="0"/>
        <w:bottom w:val="single" w:color="4BACC6" w:themeColor="accent5" w:sz="4" w:space="0"/>
        <w:right w:val="single" w:color="4BACC6" w:themeColor="accent5" w:sz="4" w:space="0"/>
        <w:insideH w:val="single" w:color="4BACC6" w:themeColor="accent5" w:sz="4" w:space="0"/>
        <w:insideV w:val="single" w:color="4BACC6" w:themeColor="accent5" w:sz="4" w:space="0"/>
      </w:tblBorders>
    </w:tblPr>
    <w:tblStylePr w:type="firstRow">
      <w:rPr>
        <w:b/>
        <w:color w:val="266778" w:themeColor="accent5" w:themeShade="94"/>
      </w:rPr>
      <w:tcPr>
        <w:tcBorders>
          <w:bottom w:val="single" w:color="4BACC6" w:themeColor="accent5"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1">
    <w:name w:val="Grid Table 6 Colorful - Accent 6"/>
    <w:basedOn w:val="37"/>
    <w:qFormat/>
    <w:uiPriority w:val="99"/>
    <w:pPr>
      <w:spacing w:after="0" w:line="240" w:lineRule="auto"/>
    </w:pPr>
    <w:tblPr>
      <w:tblBorders>
        <w:top w:val="single" w:color="F79646" w:themeColor="accent6" w:sz="4" w:space="0"/>
        <w:left w:val="single" w:color="F79646" w:themeColor="accent6" w:sz="4" w:space="0"/>
        <w:bottom w:val="single" w:color="F79646" w:themeColor="accent6" w:sz="4" w:space="0"/>
        <w:right w:val="single" w:color="F79646" w:themeColor="accent6" w:sz="4" w:space="0"/>
        <w:insideH w:val="single" w:color="F79646" w:themeColor="accent6" w:sz="4" w:space="0"/>
        <w:insideV w:val="single" w:color="F79646" w:themeColor="accent6" w:sz="4" w:space="0"/>
      </w:tblBorders>
    </w:tblPr>
    <w:tblStylePr w:type="firstRow">
      <w:rPr>
        <w:b/>
        <w:color w:val="266778" w:themeColor="accent5" w:themeShade="94"/>
      </w:rPr>
      <w:tcPr>
        <w:tcBorders>
          <w:bottom w:val="single" w:color="F79646" w:themeColor="accent6" w:sz="12" w:space="0"/>
        </w:tcBorders>
      </w:tcPr>
    </w:tblStylePr>
    <w:tblStylePr w:type="lastRow">
      <w:rPr>
        <w:b/>
        <w:color w:val="266778" w:themeColor="accent5" w:themeShade="94"/>
      </w:rPr>
    </w:tblStylePr>
    <w:tblStylePr w:type="firstCol">
      <w:rPr>
        <w:b/>
        <w:color w:val="266778" w:themeColor="accent5" w:themeShade="94"/>
      </w:rPr>
    </w:tblStylePr>
    <w:tblStylePr w:type="lastCol">
      <w:rPr>
        <w:b/>
        <w:color w:val="266778" w:themeColor="accent5" w:themeShade="94"/>
      </w:rPr>
    </w:tblStylePr>
    <w:tblStylePr w:type="band1Vert">
      <w:tcPr>
        <w:shd w:val="clear" w:color="FDE9D9" w:themeColor="accent6" w:themeTint="34" w:fill="FDE9D9" w:themeFill="accent6" w:themeFillTint="34"/>
      </w:tcPr>
    </w:tblStylePr>
    <w:tblStylePr w:type="band1Horz">
      <w:rPr>
        <w:rFonts w:ascii="Arial" w:hAnsi="Arial"/>
        <w:color w:val="266778" w:themeColor="accent5" w:themeShade="94"/>
        <w:sz w:val="22"/>
      </w:rPr>
      <w:tcPr>
        <w:shd w:val="clear" w:color="FDE9D9" w:themeColor="accent6" w:themeTint="34" w:fill="FDE9D9" w:themeFill="accent6" w:themeFillTint="34"/>
      </w:tcPr>
    </w:tblStylePr>
    <w:tblStylePr w:type="band2Horz">
      <w:rPr>
        <w:rFonts w:ascii="Arial" w:hAnsi="Arial"/>
        <w:color w:val="266778" w:themeColor="accent5" w:themeShade="94"/>
        <w:sz w:val="22"/>
      </w:rPr>
    </w:tblStylePr>
  </w:style>
  <w:style w:type="table" w:customStyle="1" w:styleId="122">
    <w:name w:val="Grid Table 7 Colorful"/>
    <w:basedOn w:val="37"/>
    <w:qFormat/>
    <w:uiPriority w:val="99"/>
    <w:pPr>
      <w:spacing w:after="0" w:line="240" w:lineRule="auto"/>
    </w:pPr>
    <w:tblPr>
      <w:tblBorders>
        <w:bottom w:val="single" w:color="7E7E7E" w:themeColor="text1" w:themeTint="80" w:sz="4" w:space="0"/>
        <w:right w:val="single" w:color="7E7E7E" w:themeColor="text1" w:themeTint="80" w:sz="4" w:space="0"/>
        <w:insideH w:val="single" w:color="7E7E7E" w:themeColor="text1" w:themeTint="80" w:sz="4" w:space="0"/>
        <w:insideV w:val="single" w:color="7E7E7E" w:themeColor="text1" w:themeTint="80" w:sz="4" w:space="0"/>
      </w:tblBorders>
    </w:tblPr>
    <w:tblStylePr w:type="firstRow">
      <w:rPr>
        <w:rFonts w:ascii="Arial" w:hAnsi="Arial"/>
        <w:b/>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b/>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F1F1F1" w:themeColor="text1" w:themeTint="0D" w:fill="F1F1F1" w:themeFill="text1" w:themeFillTint="0D"/>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F1F1F1" w:themeColor="text1" w:themeTint="0D" w:fill="F1F1F1" w:themeFill="text1" w:themeFillTint="0D"/>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23">
    <w:name w:val="Grid Table 7 Colorful - Accent 1"/>
    <w:basedOn w:val="37"/>
    <w:qFormat/>
    <w:uiPriority w:val="99"/>
    <w:pPr>
      <w:spacing w:after="0" w:line="240" w:lineRule="auto"/>
    </w:pPr>
    <w:tblPr>
      <w:tblBorders>
        <w:bottom w:val="single" w:color="A6BFDD" w:themeColor="accent1" w:themeTint="80" w:sz="4" w:space="0"/>
        <w:right w:val="single" w:color="A6BFDD" w:themeColor="accent1" w:themeTint="80" w:sz="4" w:space="0"/>
        <w:insideH w:val="single" w:color="A6BFDD" w:themeColor="accent1" w:themeTint="80" w:sz="4" w:space="0"/>
        <w:insideV w:val="single" w:color="A6BFDD" w:themeColor="accent1" w:themeTint="80" w:sz="4" w:space="0"/>
      </w:tblBorders>
    </w:tblPr>
    <w:tblStylePr w:type="firstRow">
      <w:rPr>
        <w:rFonts w:ascii="Arial" w:hAnsi="Arial"/>
        <w:b/>
        <w:color w:val="A7C0DE" w:themeColor="accent1" w:themeTint="80"/>
        <w:sz w:val="22"/>
        <w14:textFill>
          <w14:solidFill>
            <w14:schemeClr w14:val="accent1">
              <w14:lumMod w14:val="50000"/>
              <w14:lumOff w14:val="50000"/>
            </w14:schemeClr>
          </w14:solidFill>
        </w14:textFill>
      </w:rPr>
      <w:tcPr>
        <w:tcBorders>
          <w:top w:val="nil"/>
          <w:left w:val="nil"/>
          <w:bottom w:val="single" w:color="A6BFDD" w:themeColor="accent1" w:themeTint="80" w:sz="4" w:space="0"/>
          <w:right w:val="nil"/>
        </w:tcBorders>
        <w:shd w:val="clear" w:color="FFFFFF" w:themeColor="light1" w:fill="FFFFFF" w:themeFill="light1"/>
      </w:tcPr>
    </w:tblStylePr>
    <w:tblStylePr w:type="lastRow">
      <w:rPr>
        <w:rFonts w:ascii="Arial" w:hAnsi="Arial"/>
        <w:b/>
        <w:color w:val="A7C0DE" w:themeColor="accent1" w:themeTint="80"/>
        <w:sz w:val="22"/>
        <w14:textFill>
          <w14:solidFill>
            <w14:schemeClr w14:val="accent1">
              <w14:lumMod w14:val="50000"/>
              <w14:lumOff w14:val="50000"/>
            </w14:schemeClr>
          </w14:solidFill>
        </w14:textFill>
      </w:rPr>
      <w:tcPr>
        <w:tcBorders>
          <w:top w:val="single" w:color="A6BFDD" w:themeColor="accent1" w:themeTint="80" w:sz="4" w:space="0"/>
          <w:left w:val="nil"/>
          <w:bottom w:val="nil"/>
          <w:right w:val="nil"/>
        </w:tcBorders>
        <w:shd w:val="clear" w:color="FFFFFF" w:themeColor="light1" w:fill="FFFFFF" w:themeFill="light1"/>
      </w:tcPr>
    </w:tblStylePr>
    <w:tblStylePr w:type="firstCol">
      <w:pPr>
        <w:jc w:val="right"/>
      </w:pPr>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nil"/>
          <w:bottom w:val="nil"/>
          <w:right w:val="single" w:color="A6BFDD" w:themeColor="accent1" w:themeTint="80" w:sz="4" w:space="0"/>
        </w:tcBorders>
        <w:shd w:val="clear" w:color="FFFFFF" w:fill="auto"/>
      </w:tcPr>
    </w:tblStylePr>
    <w:tblStylePr w:type="lastCol">
      <w:rPr>
        <w:rFonts w:ascii="Arial" w:hAnsi="Arial"/>
        <w:i/>
        <w:color w:val="A7C0DE" w:themeColor="accent1" w:themeTint="80"/>
        <w:sz w:val="22"/>
        <w14:textFill>
          <w14:solidFill>
            <w14:schemeClr w14:val="accent1">
              <w14:lumMod w14:val="50000"/>
              <w14:lumOff w14:val="50000"/>
            </w14:schemeClr>
          </w14:solidFill>
        </w14:textFill>
      </w:rPr>
      <w:tcPr>
        <w:tcBorders>
          <w:top w:val="nil"/>
          <w:left w:val="single" w:color="A6BFDD" w:themeColor="accent1" w:themeTint="80" w:sz="4" w:space="0"/>
          <w:bottom w:val="nil"/>
          <w:right w:val="nil"/>
        </w:tcBorders>
        <w:shd w:val="clear" w:color="FFFFFF" w:fill="auto"/>
      </w:tcPr>
    </w:tblStylePr>
    <w:tblStylePr w:type="band1Vert">
      <w:tcPr>
        <w:shd w:val="clear" w:color="DBE5F1" w:themeColor="accent1" w:themeTint="34" w:fill="DBE5F1" w:themeFill="accent1" w:themeFillTint="34"/>
      </w:tcPr>
    </w:tblStylePr>
    <w:tblStylePr w:type="band1Horz">
      <w:rPr>
        <w:rFonts w:ascii="Arial" w:hAnsi="Arial"/>
        <w:color w:val="A7C0DE" w:themeColor="accent1" w:themeTint="80"/>
        <w:sz w:val="22"/>
        <w14:textFill>
          <w14:solidFill>
            <w14:schemeClr w14:val="accent1">
              <w14:lumMod w14:val="50000"/>
              <w14:lumOff w14:val="50000"/>
            </w14:schemeClr>
          </w14:solidFill>
        </w14:textFill>
      </w:rPr>
      <w:tcPr>
        <w:shd w:val="clear" w:color="DBE5F1" w:themeColor="accent1" w:themeTint="34" w:fill="DBE5F1" w:themeFill="accent1" w:themeFillTint="34"/>
      </w:tcPr>
    </w:tblStylePr>
    <w:tblStylePr w:type="band2Horz">
      <w:rPr>
        <w:rFonts w:ascii="Arial" w:hAnsi="Arial"/>
        <w:color w:val="A7C0DE" w:themeColor="accent1" w:themeTint="80"/>
        <w:sz w:val="22"/>
        <w14:textFill>
          <w14:solidFill>
            <w14:schemeClr w14:val="accent1">
              <w14:lumMod w14:val="50000"/>
              <w14:lumOff w14:val="50000"/>
            </w14:schemeClr>
          </w14:solidFill>
        </w14:textFill>
      </w:rPr>
    </w:tblStylePr>
  </w:style>
  <w:style w:type="table" w:customStyle="1" w:styleId="124">
    <w:name w:val="Grid Table 7 Colorful - Accent 2"/>
    <w:basedOn w:val="37"/>
    <w:qFormat/>
    <w:uiPriority w:val="99"/>
    <w:pPr>
      <w:spacing w:after="0" w:line="240" w:lineRule="auto"/>
    </w:pPr>
    <w:tblPr>
      <w:tblBorders>
        <w:bottom w:val="single" w:color="D99795" w:themeColor="accent2" w:themeTint="97" w:sz="4" w:space="0"/>
        <w:right w:val="single" w:color="D99795" w:themeColor="accent2" w:themeTint="97" w:sz="4" w:space="0"/>
        <w:insideH w:val="single" w:color="D99795" w:themeColor="accent2" w:themeTint="97" w:sz="4" w:space="0"/>
        <w:insideV w:val="single" w:color="D99795" w:themeColor="accent2" w:themeTint="97" w:sz="4" w:space="0"/>
      </w:tblBorders>
    </w:tblPr>
    <w:tblStylePr w:type="firstRow">
      <w:rPr>
        <w:rFonts w:ascii="Arial" w:hAnsi="Arial"/>
        <w:b/>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b/>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F2DCDC" w:themeColor="accent2" w:themeTint="32" w:fill="F2DCDC" w:themeFill="accent2" w:themeFillTint="32"/>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F2DCDC" w:themeColor="accent2" w:themeTint="32" w:fill="F2DCDC" w:themeFill="accent2" w:themeFillTint="32"/>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25">
    <w:name w:val="Grid Table 7 Colorful - Accent 3"/>
    <w:basedOn w:val="37"/>
    <w:qFormat/>
    <w:uiPriority w:val="99"/>
    <w:pPr>
      <w:spacing w:after="0" w:line="240" w:lineRule="auto"/>
    </w:pPr>
    <w:tblPr>
      <w:tblBorders>
        <w:bottom w:val="single" w:color="9BBB59" w:themeColor="accent3" w:themeTint="FE" w:sz="4" w:space="0"/>
        <w:right w:val="single" w:color="9BBB59" w:themeColor="accent3" w:themeTint="FE" w:sz="4" w:space="0"/>
        <w:insideH w:val="single" w:color="9BBB59" w:themeColor="accent3" w:themeTint="FE" w:sz="4" w:space="0"/>
        <w:insideV w:val="single" w:color="9BBB59" w:themeColor="accent3" w:themeTint="FE" w:sz="4" w:space="0"/>
      </w:tblBorders>
    </w:tblPr>
    <w:tblStylePr w:type="firstRow">
      <w:rPr>
        <w:rFonts w:ascii="Arial" w:hAnsi="Arial"/>
        <w:b/>
        <w:color w:val="9BBB59" w:themeColor="accent3" w:themeTint="FF"/>
        <w:sz w:val="22"/>
        <w14:textFill>
          <w14:solidFill>
            <w14:schemeClr w14:val="accent3">
              <w14:lumMod w14:val="100000"/>
              <w14:lumOff w14:val="0"/>
            </w14:schemeClr>
          </w14:solidFill>
        </w14:textFill>
      </w:rPr>
      <w:tcPr>
        <w:tcBorders>
          <w:top w:val="nil"/>
          <w:left w:val="nil"/>
          <w:bottom w:val="single" w:color="9BBB59" w:themeColor="accent3" w:themeTint="FE" w:sz="4" w:space="0"/>
          <w:right w:val="nil"/>
        </w:tcBorders>
        <w:shd w:val="clear" w:color="FFFFFF" w:themeColor="light1" w:fill="FFFFFF" w:themeFill="light1"/>
      </w:tcPr>
    </w:tblStylePr>
    <w:tblStylePr w:type="lastRow">
      <w:rPr>
        <w:rFonts w:ascii="Arial" w:hAnsi="Arial"/>
        <w:b/>
        <w:color w:val="9BBB59" w:themeColor="accent3" w:themeTint="FF"/>
        <w:sz w:val="22"/>
        <w14:textFill>
          <w14:solidFill>
            <w14:schemeClr w14:val="accent3">
              <w14:lumMod w14:val="100000"/>
              <w14:lumOff w14:val="0"/>
            </w14:schemeClr>
          </w14:solidFill>
        </w14:textFill>
      </w:rPr>
      <w:tcPr>
        <w:tcBorders>
          <w:top w:val="single" w:color="9BBB59" w:themeColor="accent3" w:themeTint="FE" w:sz="4" w:space="0"/>
          <w:left w:val="nil"/>
          <w:bottom w:val="nil"/>
          <w:right w:val="nil"/>
        </w:tcBorders>
        <w:shd w:val="clear" w:color="FFFFFF" w:themeColor="light1" w:fill="FFFFFF" w:themeFill="light1"/>
      </w:tcPr>
    </w:tblStylePr>
    <w:tblStylePr w:type="firstCol">
      <w:pPr>
        <w:jc w:val="right"/>
      </w:pPr>
      <w:rPr>
        <w:rFonts w:ascii="Arial" w:hAnsi="Arial"/>
        <w:i/>
        <w:color w:val="9BBB59" w:themeColor="accent3" w:themeTint="FF"/>
        <w:sz w:val="22"/>
        <w14:textFill>
          <w14:solidFill>
            <w14:schemeClr w14:val="accent3">
              <w14:lumMod w14:val="100000"/>
              <w14:lumOff w14:val="0"/>
            </w14:schemeClr>
          </w14:solidFill>
        </w14:textFill>
      </w:rPr>
      <w:tcPr>
        <w:tcBorders>
          <w:top w:val="nil"/>
          <w:left w:val="nil"/>
          <w:bottom w:val="nil"/>
          <w:right w:val="single" w:color="9BBB59" w:themeColor="accent3" w:themeTint="FE" w:sz="4" w:space="0"/>
        </w:tcBorders>
        <w:shd w:val="clear" w:color="FFFFFF" w:fill="auto"/>
      </w:tcPr>
    </w:tblStylePr>
    <w:tblStylePr w:type="lastCol">
      <w:rPr>
        <w:rFonts w:ascii="Arial" w:hAnsi="Arial"/>
        <w:i/>
        <w:color w:val="9BBB59" w:themeColor="accent3" w:themeTint="FF"/>
        <w:sz w:val="22"/>
        <w14:textFill>
          <w14:solidFill>
            <w14:schemeClr w14:val="accent3">
              <w14:lumMod w14:val="100000"/>
              <w14:lumOff w14:val="0"/>
            </w14:schemeClr>
          </w14:solidFill>
        </w14:textFill>
      </w:rPr>
      <w:tcPr>
        <w:tcBorders>
          <w:top w:val="nil"/>
          <w:left w:val="single" w:color="9BBB59" w:themeColor="accent3" w:themeTint="FE" w:sz="4" w:space="0"/>
          <w:bottom w:val="nil"/>
          <w:right w:val="nil"/>
        </w:tcBorders>
        <w:shd w:val="clear" w:color="FFFFFF" w:fill="auto"/>
      </w:tcPr>
    </w:tblStylePr>
    <w:tblStylePr w:type="band1Vert">
      <w:tcPr>
        <w:shd w:val="clear" w:color="EAF1DD" w:themeColor="accent3" w:themeTint="34" w:fill="EAF1DD" w:themeFill="accent3" w:themeFillTint="34"/>
      </w:tcPr>
    </w:tblStylePr>
    <w:tblStylePr w:type="band1Horz">
      <w:rPr>
        <w:rFonts w:ascii="Arial" w:hAnsi="Arial"/>
        <w:color w:val="9BBB59" w:themeColor="accent3" w:themeTint="FF"/>
        <w:sz w:val="22"/>
        <w14:textFill>
          <w14:solidFill>
            <w14:schemeClr w14:val="accent3">
              <w14:lumMod w14:val="100000"/>
              <w14:lumOff w14:val="0"/>
            </w14:schemeClr>
          </w14:solidFill>
        </w14:textFill>
      </w:rPr>
      <w:tcPr>
        <w:shd w:val="clear" w:color="EAF1DD" w:themeColor="accent3" w:themeTint="34" w:fill="EAF1DD" w:themeFill="accent3" w:themeFillTint="34"/>
      </w:tcPr>
    </w:tblStylePr>
    <w:tblStylePr w:type="band2Horz">
      <w:rPr>
        <w:rFonts w:ascii="Arial" w:hAnsi="Arial"/>
        <w:color w:val="9BBB59" w:themeColor="accent3" w:themeTint="FF"/>
        <w:sz w:val="22"/>
        <w14:textFill>
          <w14:solidFill>
            <w14:schemeClr w14:val="accent3">
              <w14:lumMod w14:val="100000"/>
              <w14:lumOff w14:val="0"/>
            </w14:schemeClr>
          </w14:solidFill>
        </w14:textFill>
      </w:rPr>
    </w:tblStylePr>
  </w:style>
  <w:style w:type="table" w:customStyle="1" w:styleId="126">
    <w:name w:val="Grid Table 7 Colorful - Accent 4"/>
    <w:basedOn w:val="37"/>
    <w:qFormat/>
    <w:uiPriority w:val="99"/>
    <w:pPr>
      <w:spacing w:after="0" w:line="240" w:lineRule="auto"/>
    </w:pPr>
    <w:tblPr>
      <w:tblBorders>
        <w:bottom w:val="single" w:color="B2A1C6" w:themeColor="accent4" w:themeTint="9A" w:sz="4" w:space="0"/>
        <w:right w:val="single" w:color="B2A1C6" w:themeColor="accent4" w:themeTint="9A" w:sz="4" w:space="0"/>
        <w:insideH w:val="single" w:color="B2A1C6" w:themeColor="accent4" w:themeTint="9A" w:sz="4" w:space="0"/>
        <w:insideV w:val="single" w:color="B2A1C6" w:themeColor="accent4" w:themeTint="9A" w:sz="4" w:space="0"/>
      </w:tblBorders>
    </w:tblPr>
    <w:tblStylePr w:type="firstRow">
      <w:rPr>
        <w:rFonts w:ascii="Arial" w:hAnsi="Arial"/>
        <w:b/>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b/>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E5DFEC" w:themeColor="accent4" w:themeTint="34" w:fill="E5DFEC" w:themeFill="accent4" w:themeFillTint="34"/>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E5DFEC" w:themeColor="accent4" w:themeTint="34" w:fill="E5DFEC" w:themeFill="accent4" w:themeFillTint="34"/>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27">
    <w:name w:val="Grid Table 7 Colorful - Accent 5"/>
    <w:basedOn w:val="37"/>
    <w:qFormat/>
    <w:uiPriority w:val="99"/>
    <w:pPr>
      <w:spacing w:after="0" w:line="240" w:lineRule="auto"/>
    </w:pPr>
    <w:tblPr>
      <w:tblBorders>
        <w:bottom w:val="single" w:color="99D0DE" w:themeColor="accent5" w:themeTint="90" w:sz="4" w:space="0"/>
        <w:right w:val="single" w:color="99D0DE" w:themeColor="accent5" w:themeTint="90" w:sz="4" w:space="0"/>
        <w:insideH w:val="single" w:color="99D0DE" w:themeColor="accent5" w:themeTint="90" w:sz="4" w:space="0"/>
        <w:insideV w:val="single" w:color="99D0DE" w:themeColor="accent5" w:themeTint="90" w:sz="4" w:space="0"/>
      </w:tblBorders>
    </w:tblPr>
    <w:tblStylePr w:type="firstRow">
      <w:rPr>
        <w:rFonts w:ascii="Arial" w:hAnsi="Arial"/>
        <w:b/>
        <w:color w:val="266778" w:themeColor="accent5" w:themeShade="94"/>
        <w:sz w:val="22"/>
      </w:rPr>
      <w:tcPr>
        <w:tcBorders>
          <w:top w:val="nil"/>
          <w:left w:val="nil"/>
          <w:bottom w:val="single" w:color="99D0DE" w:themeColor="accent5" w:themeTint="90" w:sz="4" w:space="0"/>
          <w:right w:val="nil"/>
        </w:tcBorders>
        <w:shd w:val="clear" w:color="FFFFFF" w:themeColor="light1" w:fill="FFFFFF" w:themeFill="light1"/>
      </w:tcPr>
    </w:tblStylePr>
    <w:tblStylePr w:type="lastRow">
      <w:rPr>
        <w:rFonts w:ascii="Arial" w:hAnsi="Arial"/>
        <w:b/>
        <w:color w:val="266778" w:themeColor="accent5" w:themeShade="94"/>
        <w:sz w:val="22"/>
      </w:rPr>
      <w:tcPr>
        <w:tcBorders>
          <w:top w:val="single" w:color="99D0DE" w:themeColor="accent5" w:themeTint="90" w:sz="4" w:space="0"/>
          <w:left w:val="nil"/>
          <w:bottom w:val="nil"/>
          <w:right w:val="nil"/>
        </w:tcBorders>
        <w:shd w:val="clear" w:color="FFFFFF" w:themeColor="light1" w:fill="FFFFFF" w:themeFill="light1"/>
      </w:tcPr>
    </w:tblStylePr>
    <w:tblStylePr w:type="firstCol">
      <w:pPr>
        <w:jc w:val="right"/>
      </w:pPr>
      <w:rPr>
        <w:rFonts w:ascii="Arial" w:hAnsi="Arial"/>
        <w:i/>
        <w:color w:val="266778" w:themeColor="accent5" w:themeShade="94"/>
        <w:sz w:val="22"/>
      </w:rPr>
      <w:tcPr>
        <w:tcBorders>
          <w:top w:val="nil"/>
          <w:left w:val="nil"/>
          <w:bottom w:val="nil"/>
          <w:right w:val="single" w:color="99D0DE" w:themeColor="accent5" w:themeTint="90" w:sz="4" w:space="0"/>
        </w:tcBorders>
        <w:shd w:val="clear" w:color="FFFFFF" w:fill="auto"/>
      </w:tcPr>
    </w:tblStylePr>
    <w:tblStylePr w:type="lastCol">
      <w:rPr>
        <w:rFonts w:ascii="Arial" w:hAnsi="Arial"/>
        <w:i/>
        <w:color w:val="266778" w:themeColor="accent5" w:themeShade="94"/>
        <w:sz w:val="22"/>
      </w:rPr>
      <w:tcPr>
        <w:tcBorders>
          <w:top w:val="nil"/>
          <w:left w:val="single" w:color="99D0DE" w:themeColor="accent5" w:themeTint="90" w:sz="4" w:space="0"/>
          <w:bottom w:val="nil"/>
          <w:right w:val="nil"/>
        </w:tcBorders>
        <w:shd w:val="clear" w:color="FFFFFF" w:fill="auto"/>
      </w:tcPr>
    </w:tblStylePr>
    <w:tblStylePr w:type="band1Vert">
      <w:tcPr>
        <w:shd w:val="clear" w:color="DAEEF3" w:themeColor="accent5" w:themeTint="34" w:fill="DAEEF3" w:themeFill="accent5" w:themeFillTint="34"/>
      </w:tcPr>
    </w:tblStylePr>
    <w:tblStylePr w:type="band1Horz">
      <w:rPr>
        <w:rFonts w:ascii="Arial" w:hAnsi="Arial"/>
        <w:color w:val="266778" w:themeColor="accent5" w:themeShade="94"/>
        <w:sz w:val="22"/>
      </w:rPr>
      <w:tcPr>
        <w:shd w:val="clear" w:color="DAEEF3" w:themeColor="accent5" w:themeTint="34" w:fill="DAEEF3" w:themeFill="accent5" w:themeFillTint="34"/>
      </w:tcPr>
    </w:tblStylePr>
    <w:tblStylePr w:type="band2Horz">
      <w:rPr>
        <w:rFonts w:ascii="Arial" w:hAnsi="Arial"/>
        <w:color w:val="266778" w:themeColor="accent5" w:themeShade="94"/>
        <w:sz w:val="22"/>
      </w:rPr>
    </w:tblStylePr>
  </w:style>
  <w:style w:type="table" w:customStyle="1" w:styleId="128">
    <w:name w:val="Grid Table 7 Colorful - Accent 6"/>
    <w:basedOn w:val="37"/>
    <w:qFormat/>
    <w:uiPriority w:val="99"/>
    <w:pPr>
      <w:spacing w:after="0" w:line="240" w:lineRule="auto"/>
    </w:pPr>
    <w:tblPr>
      <w:tblBorders>
        <w:bottom w:val="single" w:color="FAC396" w:themeColor="accent6" w:themeTint="90" w:sz="4" w:space="0"/>
        <w:right w:val="single" w:color="FAC396" w:themeColor="accent6" w:themeTint="90" w:sz="4" w:space="0"/>
        <w:insideH w:val="single" w:color="FAC396" w:themeColor="accent6" w:themeTint="90" w:sz="4" w:space="0"/>
        <w:insideV w:val="single" w:color="FAC396" w:themeColor="accent6" w:themeTint="90" w:sz="4" w:space="0"/>
      </w:tblBorders>
    </w:tblPr>
    <w:tblStylePr w:type="firstRow">
      <w:rPr>
        <w:rFonts w:ascii="Arial" w:hAnsi="Arial"/>
        <w:b/>
        <w:color w:val="B05408" w:themeColor="accent6" w:themeShade="94"/>
        <w:sz w:val="22"/>
      </w:rPr>
      <w:tcPr>
        <w:tcBorders>
          <w:top w:val="nil"/>
          <w:left w:val="nil"/>
          <w:bottom w:val="single" w:color="FAC396" w:themeColor="accent6" w:themeTint="90" w:sz="4" w:space="0"/>
          <w:right w:val="nil"/>
        </w:tcBorders>
        <w:shd w:val="clear" w:color="FFFFFF" w:themeColor="light1" w:fill="FFFFFF" w:themeFill="light1"/>
      </w:tcPr>
    </w:tblStylePr>
    <w:tblStylePr w:type="lastRow">
      <w:rPr>
        <w:rFonts w:ascii="Arial" w:hAnsi="Arial"/>
        <w:b/>
        <w:color w:val="B05408" w:themeColor="accent6" w:themeShade="94"/>
        <w:sz w:val="22"/>
      </w:rPr>
      <w:tcPr>
        <w:tcBorders>
          <w:top w:val="single" w:color="FAC396" w:themeColor="accent6" w:themeTint="90" w:sz="4" w:space="0"/>
          <w:left w:val="nil"/>
          <w:bottom w:val="nil"/>
          <w:right w:val="nil"/>
        </w:tcBorders>
        <w:shd w:val="clear" w:color="FFFFFF" w:themeColor="light1" w:fill="FFFFFF" w:themeFill="light1"/>
      </w:tcPr>
    </w:tblStylePr>
    <w:tblStylePr w:type="firstCol">
      <w:pPr>
        <w:jc w:val="right"/>
      </w:pPr>
      <w:rPr>
        <w:rFonts w:ascii="Arial" w:hAnsi="Arial"/>
        <w:i/>
        <w:color w:val="B05408" w:themeColor="accent6" w:themeShade="94"/>
        <w:sz w:val="22"/>
      </w:rPr>
      <w:tcPr>
        <w:tcBorders>
          <w:top w:val="nil"/>
          <w:left w:val="nil"/>
          <w:bottom w:val="nil"/>
          <w:right w:val="single" w:color="FAC396" w:themeColor="accent6" w:themeTint="90" w:sz="4" w:space="0"/>
        </w:tcBorders>
        <w:shd w:val="clear" w:color="FFFFFF" w:fill="auto"/>
      </w:tcPr>
    </w:tblStylePr>
    <w:tblStylePr w:type="lastCol">
      <w:rPr>
        <w:rFonts w:ascii="Arial" w:hAnsi="Arial"/>
        <w:i/>
        <w:color w:val="B05408" w:themeColor="accent6" w:themeShade="94"/>
        <w:sz w:val="22"/>
      </w:rPr>
      <w:tcPr>
        <w:tcBorders>
          <w:top w:val="nil"/>
          <w:left w:val="single" w:color="FAC396" w:themeColor="accent6" w:themeTint="90" w:sz="4" w:space="0"/>
          <w:bottom w:val="nil"/>
          <w:right w:val="nil"/>
        </w:tcBorders>
        <w:shd w:val="clear" w:color="FFFFFF" w:fill="auto"/>
      </w:tcPr>
    </w:tblStylePr>
    <w:tblStylePr w:type="band1Vert">
      <w:tcPr>
        <w:shd w:val="clear" w:color="FDE9D9" w:themeColor="accent6" w:themeTint="34" w:fill="FDE9D9" w:themeFill="accent6" w:themeFillTint="34"/>
      </w:tcPr>
    </w:tblStylePr>
    <w:tblStylePr w:type="band1Horz">
      <w:rPr>
        <w:rFonts w:ascii="Arial" w:hAnsi="Arial"/>
        <w:color w:val="B05408" w:themeColor="accent6" w:themeShade="94"/>
        <w:sz w:val="22"/>
      </w:rPr>
      <w:tcPr>
        <w:shd w:val="clear" w:color="FDE9D9" w:themeColor="accent6" w:themeTint="34" w:fill="FDE9D9" w:themeFill="accent6" w:themeFillTint="34"/>
      </w:tcPr>
    </w:tblStylePr>
    <w:tblStylePr w:type="band2Horz">
      <w:rPr>
        <w:rFonts w:ascii="Arial" w:hAnsi="Arial"/>
        <w:color w:val="B05408" w:themeColor="accent6" w:themeShade="94"/>
        <w:sz w:val="22"/>
      </w:rPr>
    </w:tblStylePr>
  </w:style>
  <w:style w:type="table" w:customStyle="1" w:styleId="129">
    <w:name w:val="List Table 1 Light"/>
    <w:basedOn w:val="37"/>
    <w:qFormat/>
    <w:uiPriority w:val="99"/>
    <w:pPr>
      <w:spacing w:after="0" w:line="240" w:lineRule="auto"/>
    </w:pPr>
    <w:tblStylePr w:type="firstRow">
      <w:rPr>
        <w:b/>
        <w:color w:val="404040"/>
      </w:rPr>
      <w:tcPr>
        <w:tcBorders>
          <w:top w:val="nil"/>
          <w:left w:val="nil"/>
          <w:bottom w:val="single" w:color="000000" w:themeColor="text1" w:sz="4" w:space="0"/>
          <w:right w:val="nil"/>
        </w:tcBorders>
      </w:tcPr>
    </w:tblStylePr>
    <w:tblStylePr w:type="lastRow">
      <w:rPr>
        <w:b/>
        <w:color w:val="404040"/>
      </w:rPr>
      <w:tcPr>
        <w:tcBorders>
          <w:top w:val="single" w:color="000000" w:themeColor="tex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BEBEBE" w:themeColor="text1" w:themeTint="40" w:fill="BEBEBE" w:themeFill="text1" w:themeFillTint="40"/>
      </w:tcPr>
    </w:tblStylePr>
    <w:tblStylePr w:type="band1Horz">
      <w:tcPr>
        <w:shd w:val="clear" w:color="BEBEBE" w:themeColor="text1" w:themeTint="40" w:fill="BEBEBE" w:themeFill="text1" w:themeFillTint="40"/>
      </w:tcPr>
    </w:tblStylePr>
  </w:style>
  <w:style w:type="table" w:customStyle="1" w:styleId="130">
    <w:name w:val="List Table 1 Light - Accent 1"/>
    <w:basedOn w:val="37"/>
    <w:qFormat/>
    <w:uiPriority w:val="99"/>
    <w:pPr>
      <w:spacing w:after="0" w:line="240" w:lineRule="auto"/>
    </w:pPr>
    <w:tblStylePr w:type="firstRow">
      <w:rPr>
        <w:b/>
        <w:color w:val="404040"/>
      </w:rPr>
      <w:tcPr>
        <w:tcBorders>
          <w:top w:val="nil"/>
          <w:left w:val="nil"/>
          <w:bottom w:val="single" w:color="4F81BD" w:themeColor="accent1" w:sz="4" w:space="0"/>
          <w:right w:val="nil"/>
        </w:tcBorders>
      </w:tcPr>
    </w:tblStylePr>
    <w:tblStylePr w:type="lastRow">
      <w:rPr>
        <w:b/>
        <w:color w:val="404040"/>
      </w:rPr>
      <w:tcPr>
        <w:tcBorders>
          <w:top w:val="single" w:color="4F81BD" w:themeColor="accent1"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2DFEE" w:themeColor="accent1" w:themeTint="40" w:fill="D2DFEE" w:themeFill="accent1" w:themeFillTint="40"/>
      </w:tcPr>
    </w:tblStylePr>
    <w:tblStylePr w:type="band1Horz">
      <w:tcPr>
        <w:shd w:val="clear" w:color="D2DFEE" w:themeColor="accent1" w:themeTint="40" w:fill="D2DFEE" w:themeFill="accent1" w:themeFillTint="40"/>
      </w:tcPr>
    </w:tblStylePr>
  </w:style>
  <w:style w:type="table" w:customStyle="1" w:styleId="131">
    <w:name w:val="List Table 1 Light - Accent 2"/>
    <w:basedOn w:val="37"/>
    <w:qFormat/>
    <w:uiPriority w:val="99"/>
    <w:pPr>
      <w:spacing w:after="0" w:line="240" w:lineRule="auto"/>
    </w:pPr>
    <w:tblStylePr w:type="firstRow">
      <w:rPr>
        <w:b/>
        <w:color w:val="404040"/>
      </w:rPr>
      <w:tcPr>
        <w:tcBorders>
          <w:top w:val="nil"/>
          <w:left w:val="nil"/>
          <w:bottom w:val="single" w:color="C0504D" w:themeColor="accent2" w:sz="4" w:space="0"/>
          <w:right w:val="nil"/>
        </w:tcBorders>
      </w:tcPr>
    </w:tblStylePr>
    <w:tblStylePr w:type="lastRow">
      <w:rPr>
        <w:b/>
        <w:color w:val="404040"/>
      </w:rPr>
      <w:tcPr>
        <w:tcBorders>
          <w:top w:val="single" w:color="C0504D" w:themeColor="accent2"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FD3D2" w:themeColor="accent2" w:themeTint="40" w:fill="EFD3D2" w:themeFill="accent2" w:themeFillTint="40"/>
      </w:tcPr>
    </w:tblStylePr>
    <w:tblStylePr w:type="band1Horz">
      <w:tcPr>
        <w:shd w:val="clear" w:color="EFD3D2" w:themeColor="accent2" w:themeTint="40" w:fill="EFD3D2" w:themeFill="accent2" w:themeFillTint="40"/>
      </w:tcPr>
    </w:tblStylePr>
  </w:style>
  <w:style w:type="table" w:customStyle="1" w:styleId="132">
    <w:name w:val="List Table 1 Light - Accent 3"/>
    <w:basedOn w:val="37"/>
    <w:qFormat/>
    <w:uiPriority w:val="99"/>
    <w:pPr>
      <w:spacing w:after="0" w:line="240" w:lineRule="auto"/>
    </w:pPr>
    <w:tblStylePr w:type="firstRow">
      <w:rPr>
        <w:b/>
        <w:color w:val="404040"/>
      </w:rPr>
      <w:tcPr>
        <w:tcBorders>
          <w:top w:val="nil"/>
          <w:left w:val="nil"/>
          <w:bottom w:val="single" w:color="9BBB59" w:themeColor="accent3" w:sz="4" w:space="0"/>
          <w:right w:val="nil"/>
        </w:tcBorders>
      </w:tcPr>
    </w:tblStylePr>
    <w:tblStylePr w:type="lastRow">
      <w:rPr>
        <w:b/>
        <w:color w:val="404040"/>
      </w:rPr>
      <w:tcPr>
        <w:tcBorders>
          <w:top w:val="single" w:color="9BBB59" w:themeColor="accent3" w:sz="4" w:space="0"/>
          <w:left w:val="nil"/>
          <w:bottom w:val="nil"/>
          <w:right w:val="nil"/>
        </w:tcBorders>
      </w:tcPr>
    </w:tblStylePr>
    <w:tblStylePr w:type="firstCol">
      <w:rPr>
        <w:b/>
        <w:color w:val="404040"/>
      </w:rPr>
    </w:tblStylePr>
    <w:tblStylePr w:type="lastCol">
      <w:rPr>
        <w:b/>
        <w:color w:val="404040"/>
      </w:rPr>
    </w:tblStylePr>
    <w:tblStylePr w:type="band1Vert">
      <w:tcPr>
        <w:shd w:val="clear" w:color="E5EDD5" w:themeColor="accent3" w:themeTint="40" w:fill="E5EDD5" w:themeFill="accent3" w:themeFillTint="40"/>
      </w:tcPr>
    </w:tblStylePr>
    <w:tblStylePr w:type="band1Horz">
      <w:tcPr>
        <w:shd w:val="clear" w:color="E5EDD5" w:themeColor="accent3" w:themeTint="40" w:fill="E5EDD5" w:themeFill="accent3" w:themeFillTint="40"/>
      </w:tcPr>
    </w:tblStylePr>
  </w:style>
  <w:style w:type="table" w:customStyle="1" w:styleId="133">
    <w:name w:val="List Table 1 Light - Accent 4"/>
    <w:basedOn w:val="37"/>
    <w:qFormat/>
    <w:uiPriority w:val="99"/>
    <w:pPr>
      <w:spacing w:after="0" w:line="240" w:lineRule="auto"/>
    </w:pPr>
    <w:tblStylePr w:type="firstRow">
      <w:rPr>
        <w:b/>
        <w:color w:val="404040"/>
      </w:rPr>
      <w:tcPr>
        <w:tcBorders>
          <w:top w:val="nil"/>
          <w:left w:val="nil"/>
          <w:bottom w:val="single" w:color="8064A2" w:themeColor="accent4" w:sz="4" w:space="0"/>
          <w:right w:val="nil"/>
        </w:tcBorders>
      </w:tcPr>
    </w:tblStylePr>
    <w:tblStylePr w:type="lastRow">
      <w:rPr>
        <w:b/>
        <w:color w:val="404040"/>
      </w:rPr>
      <w:tcPr>
        <w:tcBorders>
          <w:top w:val="single" w:color="8064A2" w:themeColor="accent4"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FD8E7" w:themeColor="accent4" w:themeTint="40" w:fill="DFD8E7" w:themeFill="accent4" w:themeFillTint="40"/>
      </w:tcPr>
    </w:tblStylePr>
    <w:tblStylePr w:type="band1Horz">
      <w:tcPr>
        <w:shd w:val="clear" w:color="DFD8E7" w:themeColor="accent4" w:themeTint="40" w:fill="DFD8E7" w:themeFill="accent4" w:themeFillTint="40"/>
      </w:tcPr>
    </w:tblStylePr>
  </w:style>
  <w:style w:type="table" w:customStyle="1" w:styleId="134">
    <w:name w:val="List Table 1 Light - Accent 5"/>
    <w:basedOn w:val="37"/>
    <w:qFormat/>
    <w:uiPriority w:val="99"/>
    <w:pPr>
      <w:spacing w:after="0" w:line="240" w:lineRule="auto"/>
    </w:pPr>
    <w:tblStylePr w:type="firstRow">
      <w:rPr>
        <w:b/>
        <w:color w:val="404040"/>
      </w:rPr>
      <w:tcPr>
        <w:tcBorders>
          <w:top w:val="nil"/>
          <w:left w:val="nil"/>
          <w:bottom w:val="single" w:color="4BACC6" w:themeColor="accent5" w:sz="4" w:space="0"/>
          <w:right w:val="nil"/>
        </w:tcBorders>
      </w:tcPr>
    </w:tblStylePr>
    <w:tblStylePr w:type="lastRow">
      <w:rPr>
        <w:b/>
        <w:color w:val="404040"/>
      </w:rPr>
      <w:tcPr>
        <w:tcBorders>
          <w:top w:val="single" w:color="4BACC6" w:themeColor="accent5" w:sz="4" w:space="0"/>
          <w:left w:val="nil"/>
          <w:bottom w:val="nil"/>
          <w:right w:val="nil"/>
        </w:tcBorders>
      </w:tcPr>
    </w:tblStylePr>
    <w:tblStylePr w:type="firstCol">
      <w:rPr>
        <w:b/>
        <w:color w:val="404040"/>
      </w:rPr>
    </w:tblStylePr>
    <w:tblStylePr w:type="lastCol">
      <w:rPr>
        <w:b/>
        <w:color w:val="404040"/>
      </w:rPr>
    </w:tblStylePr>
    <w:tblStylePr w:type="band1Vert">
      <w:tcPr>
        <w:shd w:val="clear" w:color="D1EAF0" w:themeColor="accent5" w:themeTint="40" w:fill="D1EAF0" w:themeFill="accent5" w:themeFillTint="40"/>
      </w:tcPr>
    </w:tblStylePr>
    <w:tblStylePr w:type="band1Horz">
      <w:tcPr>
        <w:shd w:val="clear" w:color="D1EAF0" w:themeColor="accent5" w:themeTint="40" w:fill="D1EAF0" w:themeFill="accent5" w:themeFillTint="40"/>
      </w:tcPr>
    </w:tblStylePr>
  </w:style>
  <w:style w:type="table" w:customStyle="1" w:styleId="135">
    <w:name w:val="List Table 1 Light - Accent 6"/>
    <w:basedOn w:val="37"/>
    <w:qFormat/>
    <w:uiPriority w:val="99"/>
    <w:pPr>
      <w:spacing w:after="0" w:line="240" w:lineRule="auto"/>
    </w:pPr>
    <w:tblStylePr w:type="firstRow">
      <w:rPr>
        <w:b/>
        <w:color w:val="404040"/>
      </w:rPr>
      <w:tcPr>
        <w:tcBorders>
          <w:top w:val="nil"/>
          <w:left w:val="nil"/>
          <w:bottom w:val="single" w:color="F79646" w:themeColor="accent6" w:sz="4" w:space="0"/>
          <w:right w:val="nil"/>
        </w:tcBorders>
      </w:tcPr>
    </w:tblStylePr>
    <w:tblStylePr w:type="lastRow">
      <w:rPr>
        <w:b/>
        <w:color w:val="404040"/>
      </w:rPr>
      <w:tcPr>
        <w:tcBorders>
          <w:top w:val="single" w:color="F79646" w:themeColor="accent6" w:sz="4" w:space="0"/>
          <w:left w:val="nil"/>
          <w:bottom w:val="nil"/>
          <w:right w:val="nil"/>
        </w:tcBorders>
      </w:tcPr>
    </w:tblStylePr>
    <w:tblStylePr w:type="firstCol">
      <w:rPr>
        <w:b/>
        <w:color w:val="404040"/>
      </w:rPr>
    </w:tblStylePr>
    <w:tblStylePr w:type="lastCol">
      <w:rPr>
        <w:b/>
        <w:color w:val="404040"/>
      </w:rPr>
    </w:tblStylePr>
    <w:tblStylePr w:type="band1Vert">
      <w:tcPr>
        <w:shd w:val="clear" w:color="FCE4D0" w:themeColor="accent6" w:themeTint="40" w:fill="FCE4D0" w:themeFill="accent6" w:themeFillTint="40"/>
      </w:tcPr>
    </w:tblStylePr>
    <w:tblStylePr w:type="band1Horz">
      <w:tcPr>
        <w:shd w:val="clear" w:color="FCE4D0" w:themeColor="accent6" w:themeTint="40" w:fill="FCE4D0" w:themeFill="accent6" w:themeFillTint="40"/>
      </w:tcPr>
    </w:tblStylePr>
  </w:style>
  <w:style w:type="table" w:customStyle="1" w:styleId="136">
    <w:name w:val="List Table 2"/>
    <w:basedOn w:val="37"/>
    <w:qFormat/>
    <w:uiPriority w:val="99"/>
    <w:pPr>
      <w:spacing w:after="0" w:line="240" w:lineRule="auto"/>
    </w:pPr>
    <w:tblPr>
      <w:tblBorders>
        <w:top w:val="single" w:color="6E6E6E" w:themeColor="text1" w:themeTint="90" w:sz="4" w:space="0"/>
        <w:bottom w:val="single" w:color="6E6E6E" w:themeColor="text1" w:themeTint="90" w:sz="4" w:space="0"/>
        <w:insideH w:val="single" w:color="6E6E6E" w:themeColor="text1" w:themeTint="90" w:sz="4" w:space="0"/>
      </w:tblBorders>
    </w:tblPr>
    <w:tblStylePr w:type="fir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lastRow">
      <w:rPr>
        <w:rFonts w:ascii="Arial" w:hAnsi="Arial"/>
        <w:b/>
        <w:color w:val="404040"/>
        <w:sz w:val="22"/>
      </w:rPr>
      <w:tcPr>
        <w:tcBorders>
          <w:top w:val="single" w:color="6E6E6E" w:themeColor="text1" w:themeTint="90" w:sz="4" w:space="0"/>
          <w:left w:val="nil"/>
          <w:bottom w:val="single" w:color="6E6E6E" w:themeColor="tex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37">
    <w:name w:val="List Table 2 - Accent 1"/>
    <w:basedOn w:val="37"/>
    <w:qFormat/>
    <w:uiPriority w:val="99"/>
    <w:pPr>
      <w:spacing w:after="0" w:line="240" w:lineRule="auto"/>
    </w:pPr>
    <w:tblPr>
      <w:tblBorders>
        <w:top w:val="single" w:color="9BB7D9" w:themeColor="accent1" w:themeTint="90" w:sz="4" w:space="0"/>
        <w:bottom w:val="single" w:color="9BB7D9" w:themeColor="accent1" w:themeTint="90" w:sz="4" w:space="0"/>
        <w:insideH w:val="single" w:color="9BB7D9" w:themeColor="accent1" w:themeTint="90" w:sz="4" w:space="0"/>
      </w:tblBorders>
    </w:tblPr>
    <w:tblStylePr w:type="fir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lastRow">
      <w:rPr>
        <w:rFonts w:ascii="Arial" w:hAnsi="Arial"/>
        <w:b/>
        <w:color w:val="404040"/>
        <w:sz w:val="22"/>
      </w:rPr>
      <w:tcPr>
        <w:tcBorders>
          <w:top w:val="single" w:color="9BB7D9" w:themeColor="accent1" w:themeTint="90" w:sz="4" w:space="0"/>
          <w:left w:val="nil"/>
          <w:bottom w:val="single" w:color="9BB7D9" w:themeColor="accent1"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38">
    <w:name w:val="List Table 2 - Accent 2"/>
    <w:basedOn w:val="37"/>
    <w:qFormat/>
    <w:uiPriority w:val="99"/>
    <w:pPr>
      <w:spacing w:after="0" w:line="240" w:lineRule="auto"/>
    </w:pPr>
    <w:tblPr>
      <w:tblBorders>
        <w:top w:val="single" w:color="DB9C9A" w:themeColor="accent2" w:themeTint="90" w:sz="4" w:space="0"/>
        <w:bottom w:val="single" w:color="DB9C9A" w:themeColor="accent2" w:themeTint="90" w:sz="4" w:space="0"/>
        <w:insideH w:val="single" w:color="DB9C9A" w:themeColor="accent2" w:themeTint="90" w:sz="4" w:space="0"/>
      </w:tblBorders>
    </w:tblPr>
    <w:tblStylePr w:type="fir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lastRow">
      <w:rPr>
        <w:rFonts w:ascii="Arial" w:hAnsi="Arial"/>
        <w:b/>
        <w:color w:val="404040"/>
        <w:sz w:val="22"/>
      </w:rPr>
      <w:tcPr>
        <w:tcBorders>
          <w:top w:val="single" w:color="DB9C9A" w:themeColor="accent2" w:themeTint="90" w:sz="4" w:space="0"/>
          <w:left w:val="nil"/>
          <w:bottom w:val="single" w:color="DB9C9A" w:themeColor="accent2"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39">
    <w:name w:val="List Table 2 - Accent 3"/>
    <w:basedOn w:val="37"/>
    <w:qFormat/>
    <w:uiPriority w:val="99"/>
    <w:pPr>
      <w:spacing w:after="0" w:line="240" w:lineRule="auto"/>
    </w:pPr>
    <w:tblPr>
      <w:tblBorders>
        <w:top w:val="single" w:color="C6D8A1" w:themeColor="accent3" w:themeTint="90" w:sz="4" w:space="0"/>
        <w:bottom w:val="single" w:color="C6D8A1" w:themeColor="accent3" w:themeTint="90" w:sz="4" w:space="0"/>
        <w:insideH w:val="single" w:color="C6D8A1" w:themeColor="accent3" w:themeTint="90" w:sz="4" w:space="0"/>
      </w:tblBorders>
    </w:tblPr>
    <w:tblStylePr w:type="fir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lastRow">
      <w:rPr>
        <w:rFonts w:ascii="Arial" w:hAnsi="Arial"/>
        <w:b/>
        <w:color w:val="404040"/>
        <w:sz w:val="22"/>
      </w:rPr>
      <w:tcPr>
        <w:tcBorders>
          <w:top w:val="single" w:color="C6D8A1" w:themeColor="accent3" w:themeTint="90" w:sz="4" w:space="0"/>
          <w:left w:val="nil"/>
          <w:bottom w:val="single" w:color="C6D8A1" w:themeColor="accent3"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40">
    <w:name w:val="List Table 2 - Accent 4"/>
    <w:basedOn w:val="37"/>
    <w:qFormat/>
    <w:uiPriority w:val="99"/>
    <w:pPr>
      <w:spacing w:after="0" w:line="240" w:lineRule="auto"/>
    </w:pPr>
    <w:tblPr>
      <w:tblBorders>
        <w:top w:val="single" w:color="B7A7CA" w:themeColor="accent4" w:themeTint="90" w:sz="4" w:space="0"/>
        <w:bottom w:val="single" w:color="B7A7CA" w:themeColor="accent4" w:themeTint="90" w:sz="4" w:space="0"/>
        <w:insideH w:val="single" w:color="B7A7CA" w:themeColor="accent4" w:themeTint="90" w:sz="4" w:space="0"/>
      </w:tblBorders>
    </w:tblPr>
    <w:tblStylePr w:type="fir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lastRow">
      <w:rPr>
        <w:rFonts w:ascii="Arial" w:hAnsi="Arial"/>
        <w:b/>
        <w:color w:val="404040"/>
        <w:sz w:val="22"/>
      </w:rPr>
      <w:tcPr>
        <w:tcBorders>
          <w:top w:val="single" w:color="B7A7CA" w:themeColor="accent4" w:themeTint="90" w:sz="4" w:space="0"/>
          <w:left w:val="nil"/>
          <w:bottom w:val="single" w:color="B7A7CA" w:themeColor="accent4"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41">
    <w:name w:val="List Table 2 - Accent 5"/>
    <w:basedOn w:val="37"/>
    <w:qFormat/>
    <w:uiPriority w:val="99"/>
    <w:pPr>
      <w:spacing w:after="0" w:line="240" w:lineRule="auto"/>
    </w:pPr>
    <w:tblPr>
      <w:tblBorders>
        <w:top w:val="single" w:color="99D0DE" w:themeColor="accent5" w:themeTint="90" w:sz="4" w:space="0"/>
        <w:bottom w:val="single" w:color="99D0DE" w:themeColor="accent5" w:themeTint="90" w:sz="4" w:space="0"/>
        <w:insideH w:val="single" w:color="99D0DE" w:themeColor="accent5" w:themeTint="90" w:sz="4" w:space="0"/>
      </w:tblBorders>
    </w:tblPr>
    <w:tblStylePr w:type="fir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lastRow">
      <w:rPr>
        <w:rFonts w:ascii="Arial" w:hAnsi="Arial"/>
        <w:b/>
        <w:color w:val="404040"/>
        <w:sz w:val="22"/>
      </w:rPr>
      <w:tcPr>
        <w:tcBorders>
          <w:top w:val="single" w:color="99D0DE" w:themeColor="accent5" w:themeTint="90" w:sz="4" w:space="0"/>
          <w:left w:val="nil"/>
          <w:bottom w:val="single" w:color="99D0DE" w:themeColor="accent5"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42">
    <w:name w:val="List Table 2 - Accent 6"/>
    <w:basedOn w:val="37"/>
    <w:qFormat/>
    <w:uiPriority w:val="99"/>
    <w:pPr>
      <w:spacing w:after="0" w:line="240" w:lineRule="auto"/>
    </w:pPr>
    <w:tblPr>
      <w:tblBorders>
        <w:top w:val="single" w:color="FAC396" w:themeColor="accent6" w:themeTint="90" w:sz="4" w:space="0"/>
        <w:bottom w:val="single" w:color="FAC396" w:themeColor="accent6" w:themeTint="90" w:sz="4" w:space="0"/>
        <w:insideH w:val="single" w:color="FAC396" w:themeColor="accent6" w:themeTint="90" w:sz="4" w:space="0"/>
      </w:tblBorders>
    </w:tblPr>
    <w:tblStylePr w:type="fir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lastRow">
      <w:rPr>
        <w:rFonts w:ascii="Arial" w:hAnsi="Arial"/>
        <w:b/>
        <w:color w:val="404040"/>
        <w:sz w:val="22"/>
      </w:rPr>
      <w:tcPr>
        <w:tcBorders>
          <w:top w:val="single" w:color="FAC396" w:themeColor="accent6" w:themeTint="90" w:sz="4" w:space="0"/>
          <w:left w:val="nil"/>
          <w:bottom w:val="single" w:color="FAC396" w:themeColor="accent6" w:themeTint="90" w:sz="4" w:space="0"/>
          <w:right w:val="nil"/>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43">
    <w:name w:val="List Table 3"/>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000000" w:themeColor="text1" w:sz="4" w:space="0"/>
          <w:right w:val="single" w:color="000000" w:themeColor="text1" w:sz="4" w:space="0"/>
        </w:tcBorders>
      </w:tcPr>
    </w:tblStylePr>
    <w:tblStylePr w:type="band1Horz">
      <w:rPr>
        <w:rFonts w:ascii="Arial" w:hAnsi="Arial"/>
        <w:color w:val="404040"/>
        <w:sz w:val="22"/>
      </w:rPr>
      <w:tcPr>
        <w:tcBorders>
          <w:top w:val="single" w:color="000000" w:themeColor="text1" w:sz="4" w:space="0"/>
          <w:bottom w:val="single" w:color="000000" w:themeColor="text1" w:sz="4" w:space="0"/>
        </w:tcBorders>
      </w:tcPr>
    </w:tblStylePr>
  </w:style>
  <w:style w:type="table" w:customStyle="1" w:styleId="144">
    <w:name w:val="List Table 3 - Accent 1"/>
    <w:basedOn w:val="37"/>
    <w:qFormat/>
    <w:uiPriority w:val="99"/>
    <w:pPr>
      <w:spacing w:after="0" w:line="240" w:lineRule="auto"/>
    </w:pPr>
    <w:tblPr>
      <w:tblBorders>
        <w:top w:val="single" w:color="4F81BD" w:themeColor="accent1" w:sz="4" w:space="0"/>
        <w:left w:val="single" w:color="4F81BD" w:themeColor="accent1" w:sz="4" w:space="0"/>
        <w:bottom w:val="single" w:color="4F81BD" w:themeColor="accent1" w:sz="4" w:space="0"/>
        <w:right w:val="single" w:color="4F81BD" w:themeColor="accent1"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4F81BD" w:themeColor="accent1" w:sz="4" w:space="0"/>
          <w:right w:val="single" w:color="4F81BD" w:themeColor="accent1" w:sz="4" w:space="0"/>
        </w:tcBorders>
      </w:tcPr>
    </w:tblStylePr>
    <w:tblStylePr w:type="band1Horz">
      <w:rPr>
        <w:rFonts w:ascii="Arial" w:hAnsi="Arial"/>
        <w:color w:val="404040"/>
        <w:sz w:val="22"/>
      </w:rPr>
      <w:tcPr>
        <w:tcBorders>
          <w:top w:val="single" w:color="4F81BD" w:themeColor="accent1" w:sz="4" w:space="0"/>
          <w:bottom w:val="single" w:color="4F81BD" w:themeColor="accent1" w:sz="4" w:space="0"/>
        </w:tcBorders>
      </w:tcPr>
    </w:tblStylePr>
  </w:style>
  <w:style w:type="table" w:customStyle="1" w:styleId="145">
    <w:name w:val="List Table 3 - Accent 2"/>
    <w:basedOn w:val="37"/>
    <w:qFormat/>
    <w:uiPriority w:val="99"/>
    <w:pPr>
      <w:spacing w:after="0" w:line="240" w:lineRule="auto"/>
    </w:pPr>
    <w:tblPr>
      <w:tblBorders>
        <w:top w:val="single" w:color="D99795" w:themeColor="accent2" w:themeTint="97" w:sz="4" w:space="0"/>
        <w:left w:val="single" w:color="D99795" w:themeColor="accent2" w:themeTint="97" w:sz="4" w:space="0"/>
        <w:bottom w:val="single" w:color="D99795" w:themeColor="accent2" w:themeTint="97" w:sz="4" w:space="0"/>
        <w:right w:val="single" w:color="D99795" w:themeColor="accent2" w:themeTint="97" w:sz="4" w:space="0"/>
      </w:tblBorders>
    </w:tblPr>
    <w:tblStylePr w:type="firstRow">
      <w:rPr>
        <w:rFonts w:ascii="Arial" w:hAnsi="Arial"/>
        <w:b/>
        <w:color w:val="FFFFFF"/>
        <w:sz w:val="22"/>
      </w:rPr>
      <w:tcPr>
        <w:shd w:val="clear" w:color="D99795" w:themeColor="accent2" w:themeTint="97" w:fill="D9979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D99795" w:themeColor="accent2" w:themeTint="97" w:sz="4" w:space="0"/>
          <w:right w:val="single" w:color="D99795" w:themeColor="accent2" w:themeTint="97" w:sz="4" w:space="0"/>
        </w:tcBorders>
      </w:tcPr>
    </w:tblStylePr>
    <w:tblStylePr w:type="band1Horz">
      <w:rPr>
        <w:rFonts w:ascii="Arial" w:hAnsi="Arial"/>
        <w:color w:val="404040"/>
        <w:sz w:val="22"/>
      </w:rPr>
      <w:tcPr>
        <w:tcBorders>
          <w:top w:val="single" w:color="D99795" w:themeColor="accent2" w:themeTint="97" w:sz="4" w:space="0"/>
          <w:bottom w:val="single" w:color="D99795" w:themeColor="accent2" w:themeTint="97" w:sz="4" w:space="0"/>
        </w:tcBorders>
      </w:tcPr>
    </w:tblStylePr>
  </w:style>
  <w:style w:type="table" w:customStyle="1" w:styleId="146">
    <w:name w:val="List Table 3 - Accent 3"/>
    <w:basedOn w:val="37"/>
    <w:qFormat/>
    <w:uiPriority w:val="99"/>
    <w:pPr>
      <w:spacing w:after="0" w:line="240" w:lineRule="auto"/>
    </w:pPr>
    <w:tblPr>
      <w:tblBorders>
        <w:top w:val="single" w:color="C3D69C" w:themeColor="accent3" w:themeTint="98" w:sz="4" w:space="0"/>
        <w:left w:val="single" w:color="C3D69C" w:themeColor="accent3" w:themeTint="98" w:sz="4" w:space="0"/>
        <w:bottom w:val="single" w:color="C3D69C" w:themeColor="accent3" w:themeTint="98" w:sz="4" w:space="0"/>
        <w:right w:val="single" w:color="C3D69C" w:themeColor="accent3" w:themeTint="98" w:sz="4" w:space="0"/>
      </w:tblBorders>
    </w:tblPr>
    <w:tblStylePr w:type="firstRow">
      <w:rPr>
        <w:rFonts w:ascii="Arial" w:hAnsi="Arial"/>
        <w:b/>
        <w:color w:val="FFFFFF"/>
        <w:sz w:val="22"/>
      </w:rPr>
      <w:tcPr>
        <w:shd w:val="clear" w:color="C3D69C" w:themeColor="accent3" w:themeTint="98" w:fill="C3D69C"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C3D69C" w:themeColor="accent3" w:themeTint="98" w:sz="4" w:space="0"/>
          <w:right w:val="single" w:color="C3D69C" w:themeColor="accent3" w:themeTint="98" w:sz="4" w:space="0"/>
        </w:tcBorders>
      </w:tcPr>
    </w:tblStylePr>
    <w:tblStylePr w:type="band1Horz">
      <w:rPr>
        <w:rFonts w:ascii="Arial" w:hAnsi="Arial"/>
        <w:color w:val="404040"/>
        <w:sz w:val="22"/>
      </w:rPr>
      <w:tcPr>
        <w:tcBorders>
          <w:top w:val="single" w:color="C3D69C" w:themeColor="accent3" w:themeTint="98" w:sz="4" w:space="0"/>
          <w:bottom w:val="single" w:color="C3D69C" w:themeColor="accent3" w:themeTint="98" w:sz="4" w:space="0"/>
        </w:tcBorders>
      </w:tcPr>
    </w:tblStylePr>
  </w:style>
  <w:style w:type="table" w:customStyle="1" w:styleId="147">
    <w:name w:val="List Table 3 - Accent 4"/>
    <w:basedOn w:val="37"/>
    <w:qFormat/>
    <w:uiPriority w:val="99"/>
    <w:pPr>
      <w:spacing w:after="0" w:line="240" w:lineRule="auto"/>
    </w:pPr>
    <w:tblPr>
      <w:tblBorders>
        <w:top w:val="single" w:color="B2A1C6" w:themeColor="accent4" w:themeTint="9A" w:sz="4" w:space="0"/>
        <w:left w:val="single" w:color="B2A1C6" w:themeColor="accent4" w:themeTint="9A" w:sz="4" w:space="0"/>
        <w:bottom w:val="single" w:color="B2A1C6" w:themeColor="accent4" w:themeTint="9A" w:sz="4" w:space="0"/>
        <w:right w:val="single" w:color="B2A1C6" w:themeColor="accent4" w:themeTint="9A" w:sz="4" w:space="0"/>
      </w:tblBorders>
    </w:tblPr>
    <w:tblStylePr w:type="firstRow">
      <w:rPr>
        <w:rFonts w:ascii="Arial" w:hAnsi="Arial"/>
        <w:b/>
        <w:color w:val="FFFFFF"/>
        <w:sz w:val="22"/>
      </w:rPr>
      <w:tcPr>
        <w:shd w:val="clear" w:color="B2A1C6" w:themeColor="accent4" w:themeTint="9A" w:fill="B2A1C6"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B2A1C6" w:themeColor="accent4" w:themeTint="9A" w:sz="4" w:space="0"/>
          <w:right w:val="single" w:color="B2A1C6" w:themeColor="accent4" w:themeTint="9A" w:sz="4" w:space="0"/>
        </w:tcBorders>
      </w:tcPr>
    </w:tblStylePr>
    <w:tblStylePr w:type="band1Horz">
      <w:rPr>
        <w:rFonts w:ascii="Arial" w:hAnsi="Arial"/>
        <w:color w:val="404040"/>
        <w:sz w:val="22"/>
      </w:rPr>
      <w:tcPr>
        <w:tcBorders>
          <w:top w:val="single" w:color="B2A1C6" w:themeColor="accent4" w:themeTint="9A" w:sz="4" w:space="0"/>
          <w:bottom w:val="single" w:color="B2A1C6" w:themeColor="accent4" w:themeTint="9A" w:sz="4" w:space="0"/>
        </w:tcBorders>
      </w:tcPr>
    </w:tblStylePr>
  </w:style>
  <w:style w:type="table" w:customStyle="1" w:styleId="148">
    <w:name w:val="List Table 3 - Accent 5"/>
    <w:basedOn w:val="37"/>
    <w:qFormat/>
    <w:uiPriority w:val="99"/>
    <w:pPr>
      <w:spacing w:after="0" w:line="240" w:lineRule="auto"/>
    </w:pPr>
    <w:tblPr>
      <w:tblBorders>
        <w:top w:val="single" w:color="92CCDC" w:themeColor="accent5" w:themeTint="9A" w:sz="4" w:space="0"/>
        <w:left w:val="single" w:color="92CCDC" w:themeColor="accent5" w:themeTint="9A" w:sz="4" w:space="0"/>
        <w:bottom w:val="single" w:color="92CCDC" w:themeColor="accent5" w:themeTint="9A" w:sz="4" w:space="0"/>
        <w:right w:val="single" w:color="92CCDC" w:themeColor="accent5" w:themeTint="9A" w:sz="4" w:space="0"/>
      </w:tblBorders>
    </w:tblPr>
    <w:tblStylePr w:type="firstRow">
      <w:rPr>
        <w:rFonts w:ascii="Arial" w:hAnsi="Arial"/>
        <w:b/>
        <w:color w:val="FFFFFF"/>
        <w:sz w:val="22"/>
      </w:rPr>
      <w:tcPr>
        <w:shd w:val="clear" w:color="92CCDC" w:themeColor="accent5" w:themeTint="9A" w:fill="92CCDC"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92CCDC" w:themeColor="accent5" w:themeTint="9A" w:sz="4" w:space="0"/>
          <w:right w:val="single" w:color="92CCDC" w:themeColor="accent5" w:themeTint="9A" w:sz="4" w:space="0"/>
        </w:tcBorders>
      </w:tcPr>
    </w:tblStylePr>
    <w:tblStylePr w:type="band1Horz">
      <w:rPr>
        <w:rFonts w:ascii="Arial" w:hAnsi="Arial"/>
        <w:color w:val="404040"/>
        <w:sz w:val="22"/>
      </w:rPr>
      <w:tcPr>
        <w:tcBorders>
          <w:top w:val="single" w:color="92CCDC" w:themeColor="accent5" w:themeTint="9A" w:sz="4" w:space="0"/>
          <w:bottom w:val="single" w:color="92CCDC" w:themeColor="accent5" w:themeTint="9A" w:sz="4" w:space="0"/>
        </w:tcBorders>
      </w:tcPr>
    </w:tblStylePr>
  </w:style>
  <w:style w:type="table" w:customStyle="1" w:styleId="149">
    <w:name w:val="List Table 3 - Accent 6"/>
    <w:basedOn w:val="37"/>
    <w:qFormat/>
    <w:uiPriority w:val="99"/>
    <w:pPr>
      <w:spacing w:after="0" w:line="240" w:lineRule="auto"/>
    </w:pPr>
    <w:tblPr>
      <w:tblBorders>
        <w:top w:val="single" w:color="FAC090" w:themeColor="accent6" w:themeTint="98" w:sz="4" w:space="0"/>
        <w:left w:val="single" w:color="FAC090" w:themeColor="accent6" w:themeTint="98" w:sz="4" w:space="0"/>
        <w:bottom w:val="single" w:color="FAC090" w:themeColor="accent6" w:themeTint="98" w:sz="4" w:space="0"/>
        <w:right w:val="single" w:color="FAC090" w:themeColor="accent6" w:themeTint="98" w:sz="4" w:space="0"/>
      </w:tblBorders>
    </w:tblPr>
    <w:tblStylePr w:type="firstRow">
      <w:rPr>
        <w:rFonts w:ascii="Arial" w:hAnsi="Arial"/>
        <w:b/>
        <w:color w:val="FFFFFF"/>
        <w:sz w:val="22"/>
      </w:rPr>
      <w:tcPr>
        <w:shd w:val="clear" w:color="FAC090" w:themeColor="accent6" w:themeTint="98" w:fill="FAC090"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tcBorders>
          <w:left w:val="single" w:color="FAC090" w:themeColor="accent6" w:themeTint="98" w:sz="4" w:space="0"/>
          <w:right w:val="single" w:color="FAC090" w:themeColor="accent6" w:themeTint="98" w:sz="4" w:space="0"/>
        </w:tcBorders>
      </w:tcPr>
    </w:tblStylePr>
    <w:tblStylePr w:type="band1Horz">
      <w:rPr>
        <w:rFonts w:ascii="Arial" w:hAnsi="Arial"/>
        <w:color w:val="404040"/>
        <w:sz w:val="22"/>
      </w:rPr>
      <w:tcPr>
        <w:tcBorders>
          <w:top w:val="single" w:color="FAC090" w:themeColor="accent6" w:themeTint="98" w:sz="4" w:space="0"/>
          <w:bottom w:val="single" w:color="FAC090" w:themeColor="accent6" w:themeTint="98" w:sz="4" w:space="0"/>
        </w:tcBorders>
      </w:tcPr>
    </w:tblStylePr>
  </w:style>
  <w:style w:type="table" w:customStyle="1" w:styleId="150">
    <w:name w:val="List Table 4"/>
    <w:basedOn w:val="37"/>
    <w:qFormat/>
    <w:uiPriority w:val="9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tblBorders>
    </w:tblPr>
    <w:tblStylePr w:type="firstRow">
      <w:rPr>
        <w:rFonts w:ascii="Arial" w:hAnsi="Arial"/>
        <w:b/>
        <w:color w:val="FFFFFF"/>
        <w:sz w:val="22"/>
      </w:r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BEBEBE" w:themeColor="text1" w:themeTint="40" w:fill="BEBEBE" w:themeFill="text1" w:themeFillTint="40"/>
      </w:tcPr>
    </w:tblStylePr>
    <w:tblStylePr w:type="band1Horz">
      <w:rPr>
        <w:rFonts w:ascii="Arial" w:hAnsi="Arial"/>
        <w:color w:val="404040"/>
        <w:sz w:val="22"/>
      </w:rPr>
      <w:tcPr>
        <w:shd w:val="clear" w:color="BEBEBE" w:themeColor="text1" w:themeTint="40" w:fill="BEBEBE" w:themeFill="text1" w:themeFillTint="40"/>
      </w:tcPr>
    </w:tblStylePr>
  </w:style>
  <w:style w:type="table" w:customStyle="1" w:styleId="151">
    <w:name w:val="List Table 4 - Accent 1"/>
    <w:basedOn w:val="37"/>
    <w:qFormat/>
    <w:uiPriority w:val="99"/>
    <w:pPr>
      <w:spacing w:after="0" w:line="240" w:lineRule="auto"/>
    </w:pPr>
    <w:tblPr>
      <w:tblBorders>
        <w:top w:val="single" w:color="9BB7D9" w:themeColor="accent1" w:themeTint="90" w:sz="4" w:space="0"/>
        <w:left w:val="single" w:color="9BB7D9" w:themeColor="accent1" w:themeTint="90" w:sz="4" w:space="0"/>
        <w:bottom w:val="single" w:color="9BB7D9" w:themeColor="accent1" w:themeTint="90" w:sz="4" w:space="0"/>
        <w:right w:val="single" w:color="9BB7D9" w:themeColor="accent1" w:themeTint="90" w:sz="4" w:space="0"/>
        <w:insideH w:val="single" w:color="9BB7D9" w:themeColor="accent1" w:themeTint="90" w:sz="4" w:space="0"/>
      </w:tblBorders>
    </w:tblPr>
    <w:tblStylePr w:type="firstRow">
      <w:rPr>
        <w:rFonts w:ascii="Arial" w:hAnsi="Arial"/>
        <w:b/>
        <w:color w:val="FFFFFF"/>
        <w:sz w:val="22"/>
      </w:rPr>
      <w:tcPr>
        <w:shd w:val="clear" w:color="4F81BD" w:themeColor="accent1" w:fill="4F81BD"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2DFEE" w:themeColor="accent1" w:themeTint="40" w:fill="D2DFEE" w:themeFill="accent1" w:themeFillTint="40"/>
      </w:tcPr>
    </w:tblStylePr>
    <w:tblStylePr w:type="band1Horz">
      <w:rPr>
        <w:rFonts w:ascii="Arial" w:hAnsi="Arial"/>
        <w:color w:val="404040"/>
        <w:sz w:val="22"/>
      </w:rPr>
      <w:tcPr>
        <w:shd w:val="clear" w:color="D2DFEE" w:themeColor="accent1" w:themeTint="40" w:fill="D2DFEE" w:themeFill="accent1" w:themeFillTint="40"/>
      </w:tcPr>
    </w:tblStylePr>
  </w:style>
  <w:style w:type="table" w:customStyle="1" w:styleId="152">
    <w:name w:val="List Table 4 - Accent 2"/>
    <w:basedOn w:val="37"/>
    <w:qFormat/>
    <w:uiPriority w:val="99"/>
    <w:pPr>
      <w:spacing w:after="0" w:line="240" w:lineRule="auto"/>
    </w:pPr>
    <w:tblPr>
      <w:tblBorders>
        <w:top w:val="single" w:color="DB9C9A" w:themeColor="accent2" w:themeTint="90" w:sz="4" w:space="0"/>
        <w:left w:val="single" w:color="DB9C9A" w:themeColor="accent2" w:themeTint="90" w:sz="4" w:space="0"/>
        <w:bottom w:val="single" w:color="DB9C9A" w:themeColor="accent2" w:themeTint="90" w:sz="4" w:space="0"/>
        <w:right w:val="single" w:color="DB9C9A" w:themeColor="accent2" w:themeTint="90" w:sz="4" w:space="0"/>
        <w:insideH w:val="single" w:color="DB9C9A" w:themeColor="accent2" w:themeTint="90" w:sz="4" w:space="0"/>
      </w:tblBorders>
    </w:tblPr>
    <w:tblStylePr w:type="firstRow">
      <w:rPr>
        <w:rFonts w:ascii="Arial" w:hAnsi="Arial"/>
        <w:b/>
        <w:color w:val="FFFFFF"/>
        <w:sz w:val="22"/>
      </w:rPr>
      <w:tcPr>
        <w:shd w:val="clear" w:color="C0504D" w:themeColor="accent2" w:fill="C0504D"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FD3D2" w:themeColor="accent2" w:themeTint="40" w:fill="EFD3D2" w:themeFill="accent2" w:themeFillTint="40"/>
      </w:tcPr>
    </w:tblStylePr>
    <w:tblStylePr w:type="band1Horz">
      <w:rPr>
        <w:rFonts w:ascii="Arial" w:hAnsi="Arial"/>
        <w:color w:val="404040"/>
        <w:sz w:val="22"/>
      </w:rPr>
      <w:tcPr>
        <w:shd w:val="clear" w:color="EFD3D2" w:themeColor="accent2" w:themeTint="40" w:fill="EFD3D2" w:themeFill="accent2" w:themeFillTint="40"/>
      </w:tcPr>
    </w:tblStylePr>
  </w:style>
  <w:style w:type="table" w:customStyle="1" w:styleId="153">
    <w:name w:val="List Table 4 - Accent 3"/>
    <w:basedOn w:val="37"/>
    <w:qFormat/>
    <w:uiPriority w:val="99"/>
    <w:pPr>
      <w:spacing w:after="0" w:line="240" w:lineRule="auto"/>
    </w:pPr>
    <w:tblPr>
      <w:tblBorders>
        <w:top w:val="single" w:color="C6D8A1" w:themeColor="accent3" w:themeTint="90" w:sz="4" w:space="0"/>
        <w:left w:val="single" w:color="C6D8A1" w:themeColor="accent3" w:themeTint="90" w:sz="4" w:space="0"/>
        <w:bottom w:val="single" w:color="C6D8A1" w:themeColor="accent3" w:themeTint="90" w:sz="4" w:space="0"/>
        <w:right w:val="single" w:color="C6D8A1" w:themeColor="accent3" w:themeTint="90" w:sz="4" w:space="0"/>
        <w:insideH w:val="single" w:color="C6D8A1" w:themeColor="accent3" w:themeTint="90" w:sz="4" w:space="0"/>
      </w:tblBorders>
    </w:tblPr>
    <w:tblStylePr w:type="firstRow">
      <w:rPr>
        <w:rFonts w:ascii="Arial" w:hAnsi="Arial"/>
        <w:b/>
        <w:color w:val="FFFFFF"/>
        <w:sz w:val="22"/>
      </w:rPr>
      <w:tcPr>
        <w:shd w:val="clear" w:color="9BBB59" w:themeColor="accent3" w:fill="9BBB59"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E5EDD5" w:themeColor="accent3" w:themeTint="40" w:fill="E5EDD5" w:themeFill="accent3" w:themeFillTint="40"/>
      </w:tcPr>
    </w:tblStylePr>
    <w:tblStylePr w:type="band1Horz">
      <w:rPr>
        <w:rFonts w:ascii="Arial" w:hAnsi="Arial"/>
        <w:color w:val="404040"/>
        <w:sz w:val="22"/>
      </w:rPr>
      <w:tcPr>
        <w:shd w:val="clear" w:color="E5EDD5" w:themeColor="accent3" w:themeTint="40" w:fill="E5EDD5" w:themeFill="accent3" w:themeFillTint="40"/>
      </w:tcPr>
    </w:tblStylePr>
  </w:style>
  <w:style w:type="table" w:customStyle="1" w:styleId="154">
    <w:name w:val="List Table 4 - Accent 4"/>
    <w:basedOn w:val="37"/>
    <w:qFormat/>
    <w:uiPriority w:val="99"/>
    <w:pPr>
      <w:spacing w:after="0" w:line="240" w:lineRule="auto"/>
    </w:pPr>
    <w:tblPr>
      <w:tblBorders>
        <w:top w:val="single" w:color="B7A7CA" w:themeColor="accent4" w:themeTint="90" w:sz="4" w:space="0"/>
        <w:left w:val="single" w:color="B7A7CA" w:themeColor="accent4" w:themeTint="90" w:sz="4" w:space="0"/>
        <w:bottom w:val="single" w:color="B7A7CA" w:themeColor="accent4" w:themeTint="90" w:sz="4" w:space="0"/>
        <w:right w:val="single" w:color="B7A7CA" w:themeColor="accent4" w:themeTint="90" w:sz="4" w:space="0"/>
        <w:insideH w:val="single" w:color="B7A7CA" w:themeColor="accent4" w:themeTint="90" w:sz="4" w:space="0"/>
      </w:tblBorders>
    </w:tblPr>
    <w:tblStylePr w:type="firstRow">
      <w:rPr>
        <w:rFonts w:ascii="Arial" w:hAnsi="Arial"/>
        <w:b/>
        <w:color w:val="FFFFFF"/>
        <w:sz w:val="22"/>
      </w:rPr>
      <w:tcPr>
        <w:shd w:val="clear" w:color="8064A2" w:themeColor="accent4" w:fill="8064A2"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FD8E7" w:themeColor="accent4" w:themeTint="40" w:fill="DFD8E7" w:themeFill="accent4" w:themeFillTint="40"/>
      </w:tcPr>
    </w:tblStylePr>
    <w:tblStylePr w:type="band1Horz">
      <w:rPr>
        <w:rFonts w:ascii="Arial" w:hAnsi="Arial"/>
        <w:color w:val="404040"/>
        <w:sz w:val="22"/>
      </w:rPr>
      <w:tcPr>
        <w:shd w:val="clear" w:color="DFD8E7" w:themeColor="accent4" w:themeTint="40" w:fill="DFD8E7" w:themeFill="accent4" w:themeFillTint="40"/>
      </w:tcPr>
    </w:tblStylePr>
  </w:style>
  <w:style w:type="table" w:customStyle="1" w:styleId="155">
    <w:name w:val="List Table 4 - Accent 5"/>
    <w:basedOn w:val="37"/>
    <w:qFormat/>
    <w:uiPriority w:val="99"/>
    <w:pPr>
      <w:spacing w:after="0" w:line="240" w:lineRule="auto"/>
    </w:pPr>
    <w:tblPr>
      <w:tblBorders>
        <w:top w:val="single" w:color="99D0DE" w:themeColor="accent5" w:themeTint="90" w:sz="4" w:space="0"/>
        <w:left w:val="single" w:color="99D0DE" w:themeColor="accent5" w:themeTint="90" w:sz="4" w:space="0"/>
        <w:bottom w:val="single" w:color="99D0DE" w:themeColor="accent5" w:themeTint="90" w:sz="4" w:space="0"/>
        <w:right w:val="single" w:color="99D0DE" w:themeColor="accent5" w:themeTint="90" w:sz="4" w:space="0"/>
        <w:insideH w:val="single" w:color="99D0DE" w:themeColor="accent5" w:themeTint="90" w:sz="4" w:space="0"/>
      </w:tblBorders>
    </w:tblPr>
    <w:tblStylePr w:type="firstRow">
      <w:rPr>
        <w:rFonts w:ascii="Arial" w:hAnsi="Arial"/>
        <w:b/>
        <w:color w:val="FFFFFF"/>
        <w:sz w:val="22"/>
      </w:rPr>
      <w:tcPr>
        <w:shd w:val="clear" w:color="4BACC6" w:themeColor="accent5" w:fill="4BACC6"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D1EAF0" w:themeColor="accent5" w:themeTint="40" w:fill="D1EAF0" w:themeFill="accent5" w:themeFillTint="40"/>
      </w:tcPr>
    </w:tblStylePr>
    <w:tblStylePr w:type="band1Horz">
      <w:rPr>
        <w:rFonts w:ascii="Arial" w:hAnsi="Arial"/>
        <w:color w:val="404040"/>
        <w:sz w:val="22"/>
      </w:rPr>
      <w:tcPr>
        <w:shd w:val="clear" w:color="D1EAF0" w:themeColor="accent5" w:themeTint="40" w:fill="D1EAF0" w:themeFill="accent5" w:themeFillTint="40"/>
      </w:tcPr>
    </w:tblStylePr>
  </w:style>
  <w:style w:type="table" w:customStyle="1" w:styleId="156">
    <w:name w:val="List Table 4 - Accent 6"/>
    <w:basedOn w:val="37"/>
    <w:qFormat/>
    <w:uiPriority w:val="99"/>
    <w:pPr>
      <w:spacing w:after="0" w:line="240" w:lineRule="auto"/>
    </w:pPr>
    <w:tblPr>
      <w:tblBorders>
        <w:top w:val="single" w:color="FAC396" w:themeColor="accent6" w:themeTint="90" w:sz="4" w:space="0"/>
        <w:left w:val="single" w:color="FAC396" w:themeColor="accent6" w:themeTint="90" w:sz="4" w:space="0"/>
        <w:bottom w:val="single" w:color="FAC396" w:themeColor="accent6" w:themeTint="90" w:sz="4" w:space="0"/>
        <w:right w:val="single" w:color="FAC396" w:themeColor="accent6" w:themeTint="90" w:sz="4" w:space="0"/>
        <w:insideH w:val="single" w:color="FAC396" w:themeColor="accent6" w:themeTint="90" w:sz="4" w:space="0"/>
      </w:tblBorders>
    </w:tblPr>
    <w:tblStylePr w:type="firstRow">
      <w:rPr>
        <w:rFonts w:ascii="Arial" w:hAnsi="Arial"/>
        <w:b/>
        <w:color w:val="FFFFFF"/>
        <w:sz w:val="22"/>
      </w:rPr>
      <w:tcPr>
        <w:shd w:val="clear" w:color="F79646" w:themeColor="accent6" w:fill="F79646"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cPr>
        <w:shd w:val="clear" w:color="FCE4D0" w:themeColor="accent6" w:themeTint="40" w:fill="FCE4D0" w:themeFill="accent6" w:themeFillTint="40"/>
      </w:tcPr>
    </w:tblStylePr>
    <w:tblStylePr w:type="band1Horz">
      <w:rPr>
        <w:rFonts w:ascii="Arial" w:hAnsi="Arial"/>
        <w:color w:val="404040"/>
        <w:sz w:val="22"/>
      </w:rPr>
      <w:tcPr>
        <w:shd w:val="clear" w:color="FCE4D0" w:themeColor="accent6" w:themeTint="40" w:fill="FCE4D0" w:themeFill="accent6" w:themeFillTint="40"/>
      </w:tcPr>
    </w:tblStylePr>
  </w:style>
  <w:style w:type="table" w:customStyle="1" w:styleId="157">
    <w:name w:val="List Table 5 Dark"/>
    <w:basedOn w:val="37"/>
    <w:qFormat/>
    <w:uiPriority w:val="99"/>
    <w:pPr>
      <w:spacing w:after="0" w:line="240" w:lineRule="auto"/>
    </w:pPr>
    <w:tblPr>
      <w:tblBorders>
        <w:top w:val="single" w:color="7E7E7E" w:themeColor="text1" w:themeTint="80" w:sz="32" w:space="0"/>
        <w:left w:val="single" w:color="7E7E7E" w:themeColor="text1" w:themeTint="80" w:sz="32" w:space="0"/>
        <w:bottom w:val="single" w:color="7E7E7E" w:themeColor="text1" w:themeTint="80" w:sz="32" w:space="0"/>
        <w:right w:val="single" w:color="7E7E7E" w:themeColor="text1" w:themeTint="80" w:sz="32" w:space="0"/>
      </w:tblBorders>
    </w:tblPr>
    <w:tblStylePr w:type="firstRow">
      <w:rPr>
        <w:rFonts w:ascii="Arial" w:hAnsi="Arial"/>
        <w:b/>
        <w:color w:val="FFFFFF" w:themeColor="light1"/>
        <w:sz w:val="22"/>
        <w14:textFill>
          <w14:solidFill>
            <w14:schemeClr w14:val="lt1"/>
          </w14:solidFill>
        </w14:textFill>
      </w:rPr>
      <w:tcPr>
        <w:tcBorders>
          <w:top w:val="single" w:color="7E7E7E" w:themeColor="text1" w:themeTint="80" w:sz="32" w:space="0"/>
          <w:bottom w:val="single" w:color="FFFFFF" w:themeColor="light1" w:sz="12" w:space="0"/>
        </w:tcBorders>
        <w:shd w:val="clear" w:color="7E7E7E" w:themeColor="text1" w:themeTint="80" w:fill="7E7E7E" w:themeFill="text1" w:themeFillTint="80"/>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7E7E7E" w:themeColor="text1" w:themeTint="80" w:sz="32" w:space="0"/>
          <w:right w:val="single" w:color="FFFFFF" w:themeColor="light1" w:sz="4" w:space="0"/>
        </w:tcBorders>
      </w:tcPr>
    </w:tblStylePr>
    <w:tblStylePr w:type="lastCol">
      <w:tcPr>
        <w:tcBorders>
          <w:left w:val="single" w:color="FFFFFF" w:themeColor="light1" w:sz="4" w:space="0"/>
          <w:right w:val="single" w:color="7E7E7E" w:themeColor="text1" w:themeTint="80" w:sz="32" w:space="0"/>
        </w:tcBorders>
      </w:tcPr>
    </w:tblStylePr>
    <w:tblStylePr w:type="band1Vert">
      <w:tcPr>
        <w:tcBorders>
          <w:left w:val="single" w:color="FFFFFF" w:themeColor="light1" w:sz="4" w:space="0"/>
          <w:right w:val="single" w:color="FFFFFF" w:themeColor="light1" w:sz="4" w:space="0"/>
        </w:tcBorders>
        <w:shd w:val="clear" w:color="7E7E7E" w:themeColor="text1" w:themeTint="80" w:fill="7E7E7E" w:themeFill="text1" w:themeFillTint="80"/>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7E7E7E" w:themeColor="text1" w:themeTint="80" w:fill="7E7E7E" w:themeFill="text1" w:themeFillTint="80"/>
      </w:tcPr>
    </w:tblStylePr>
    <w:tblStylePr w:type="band2Horz">
      <w:tcPr>
        <w:tcBorders>
          <w:top w:val="single" w:color="FFFFFF" w:themeColor="light1" w:sz="4" w:space="0"/>
          <w:bottom w:val="single" w:color="FFFFFF" w:themeColor="light1" w:sz="4" w:space="0"/>
        </w:tcBorders>
        <w:shd w:val="clear" w:color="7E7E7E" w:themeColor="text1" w:themeTint="80" w:fill="7E7E7E" w:themeFill="text1" w:themeFillTint="80"/>
      </w:tcPr>
    </w:tblStylePr>
  </w:style>
  <w:style w:type="table" w:customStyle="1" w:styleId="158">
    <w:name w:val="List Table 5 Dark - Accent 1"/>
    <w:basedOn w:val="37"/>
    <w:qFormat/>
    <w:uiPriority w:val="99"/>
    <w:pPr>
      <w:spacing w:after="0" w:line="240" w:lineRule="auto"/>
    </w:pPr>
    <w:tblPr>
      <w:tblBorders>
        <w:top w:val="single" w:color="4F81BD" w:themeColor="accent1" w:sz="32" w:space="0"/>
        <w:left w:val="single" w:color="4F81BD" w:themeColor="accent1" w:sz="32" w:space="0"/>
        <w:bottom w:val="single" w:color="4F81BD" w:themeColor="accent1" w:sz="32" w:space="0"/>
        <w:right w:val="single" w:color="4F81BD" w:themeColor="accent1" w:sz="32" w:space="0"/>
      </w:tblBorders>
    </w:tblPr>
    <w:tblStylePr w:type="firstRow">
      <w:rPr>
        <w:rFonts w:ascii="Arial" w:hAnsi="Arial"/>
        <w:b/>
        <w:color w:val="FFFFFF" w:themeColor="light1"/>
        <w:sz w:val="22"/>
        <w14:textFill>
          <w14:solidFill>
            <w14:schemeClr w14:val="lt1"/>
          </w14:solidFill>
        </w14:textFill>
      </w:rPr>
      <w:tcPr>
        <w:tcBorders>
          <w:top w:val="single" w:color="4F81BD" w:themeColor="accent1" w:sz="32" w:space="0"/>
          <w:bottom w:val="single" w:color="FFFFFF" w:themeColor="light1" w:sz="12" w:space="0"/>
        </w:tcBorders>
        <w:shd w:val="clear" w:color="4F81BD" w:themeColor="accent1" w:fill="4F81BD" w:themeFill="accent1"/>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4F81BD" w:themeColor="accent1" w:sz="32" w:space="0"/>
          <w:right w:val="single" w:color="FFFFFF" w:themeColor="light1" w:sz="4" w:space="0"/>
        </w:tcBorders>
      </w:tcPr>
    </w:tblStylePr>
    <w:tblStylePr w:type="lastCol">
      <w:tcPr>
        <w:tcBorders>
          <w:left w:val="single" w:color="FFFFFF" w:themeColor="light1" w:sz="4" w:space="0"/>
          <w:right w:val="single" w:color="4F81BD" w:themeColor="accent1" w:sz="32" w:space="0"/>
        </w:tcBorders>
      </w:tcPr>
    </w:tblStylePr>
    <w:tblStylePr w:type="band1Vert">
      <w:tcPr>
        <w:tcBorders>
          <w:left w:val="single" w:color="FFFFFF" w:themeColor="light1" w:sz="4" w:space="0"/>
          <w:right w:val="single" w:color="FFFFFF" w:themeColor="light1" w:sz="4" w:space="0"/>
        </w:tcBorders>
        <w:shd w:val="clear" w:color="4F81BD" w:themeColor="accent1" w:fill="4F81BD" w:themeFill="accent1"/>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4F81BD" w:themeColor="accent1" w:fill="4F81BD" w:themeFill="accent1"/>
      </w:tcPr>
    </w:tblStylePr>
    <w:tblStylePr w:type="band2Horz">
      <w:tcPr>
        <w:tcBorders>
          <w:top w:val="single" w:color="FFFFFF" w:themeColor="light1" w:sz="4" w:space="0"/>
          <w:bottom w:val="single" w:color="FFFFFF" w:themeColor="light1" w:sz="4" w:space="0"/>
        </w:tcBorders>
        <w:shd w:val="clear" w:color="4F81BD" w:themeColor="accent1" w:fill="4F81BD" w:themeFill="accent1"/>
      </w:tcPr>
    </w:tblStylePr>
  </w:style>
  <w:style w:type="table" w:customStyle="1" w:styleId="159">
    <w:name w:val="List Table 5 Dark - Accent 2"/>
    <w:basedOn w:val="37"/>
    <w:qFormat/>
    <w:uiPriority w:val="99"/>
    <w:pPr>
      <w:spacing w:after="0" w:line="240" w:lineRule="auto"/>
    </w:pPr>
    <w:tblPr>
      <w:tblBorders>
        <w:top w:val="single" w:color="D99795" w:themeColor="accent2" w:themeTint="97" w:sz="32" w:space="0"/>
        <w:left w:val="single" w:color="D99795" w:themeColor="accent2" w:themeTint="97" w:sz="32" w:space="0"/>
        <w:bottom w:val="single" w:color="D99795" w:themeColor="accent2" w:themeTint="97" w:sz="32" w:space="0"/>
        <w:right w:val="single" w:color="D99795" w:themeColor="accent2" w:themeTint="97" w:sz="32" w:space="0"/>
      </w:tblBorders>
    </w:tblPr>
    <w:tblStylePr w:type="firstRow">
      <w:rPr>
        <w:rFonts w:ascii="Arial" w:hAnsi="Arial"/>
        <w:b/>
        <w:color w:val="FFFFFF" w:themeColor="light1"/>
        <w:sz w:val="22"/>
        <w14:textFill>
          <w14:solidFill>
            <w14:schemeClr w14:val="lt1"/>
          </w14:solidFill>
        </w14:textFill>
      </w:rPr>
      <w:tcPr>
        <w:tcBorders>
          <w:top w:val="single" w:color="D99795" w:themeColor="accent2" w:themeTint="97" w:sz="32" w:space="0"/>
          <w:bottom w:val="single" w:color="FFFFFF" w:themeColor="light1" w:sz="12" w:space="0"/>
        </w:tcBorders>
        <w:shd w:val="clear" w:color="D99795" w:themeColor="accent2" w:themeTint="97" w:fill="D99795" w:themeFill="accent2" w:themeFillTint="97"/>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D99795" w:themeColor="accent2" w:themeTint="97" w:sz="32" w:space="0"/>
          <w:right w:val="single" w:color="FFFFFF" w:themeColor="light1" w:sz="4" w:space="0"/>
        </w:tcBorders>
      </w:tcPr>
    </w:tblStylePr>
    <w:tblStylePr w:type="lastCol">
      <w:tcPr>
        <w:tcBorders>
          <w:left w:val="single" w:color="FFFFFF" w:themeColor="light1" w:sz="4" w:space="0"/>
          <w:right w:val="single" w:color="D99795" w:themeColor="accent2" w:themeTint="97" w:sz="32" w:space="0"/>
        </w:tcBorders>
      </w:tcPr>
    </w:tblStylePr>
    <w:tblStylePr w:type="band1Vert">
      <w:tcPr>
        <w:tcBorders>
          <w:left w:val="single" w:color="FFFFFF" w:themeColor="light1" w:sz="4" w:space="0"/>
          <w:right w:val="single" w:color="FFFFFF" w:themeColor="light1" w:sz="4" w:space="0"/>
        </w:tcBorders>
        <w:shd w:val="clear" w:color="D99795" w:themeColor="accent2" w:themeTint="97" w:fill="D99795" w:themeFill="accent2" w:themeFillTint="97"/>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tblStylePr w:type="band2Horz">
      <w:tcPr>
        <w:tcBorders>
          <w:top w:val="single" w:color="FFFFFF" w:themeColor="light1" w:sz="4" w:space="0"/>
          <w:bottom w:val="single" w:color="FFFFFF" w:themeColor="light1" w:sz="4" w:space="0"/>
        </w:tcBorders>
        <w:shd w:val="clear" w:color="D99795" w:themeColor="accent2" w:themeTint="97" w:fill="D99795" w:themeFill="accent2" w:themeFillTint="97"/>
      </w:tcPr>
    </w:tblStylePr>
  </w:style>
  <w:style w:type="table" w:customStyle="1" w:styleId="160">
    <w:name w:val="List Table 5 Dark - Accent 3"/>
    <w:basedOn w:val="37"/>
    <w:qFormat/>
    <w:uiPriority w:val="99"/>
    <w:pPr>
      <w:spacing w:after="0" w:line="240" w:lineRule="auto"/>
    </w:pPr>
    <w:tblPr>
      <w:tblBorders>
        <w:top w:val="single" w:color="C3D69C" w:themeColor="accent3" w:themeTint="98" w:sz="32" w:space="0"/>
        <w:left w:val="single" w:color="C3D69C" w:themeColor="accent3" w:themeTint="98" w:sz="32" w:space="0"/>
        <w:bottom w:val="single" w:color="C3D69C" w:themeColor="accent3" w:themeTint="98" w:sz="32" w:space="0"/>
        <w:right w:val="single" w:color="C3D69C" w:themeColor="accent3" w:themeTint="98" w:sz="32" w:space="0"/>
      </w:tblBorders>
    </w:tblPr>
    <w:tblStylePr w:type="firstRow">
      <w:rPr>
        <w:rFonts w:ascii="Arial" w:hAnsi="Arial"/>
        <w:b/>
        <w:color w:val="FFFFFF" w:themeColor="light1"/>
        <w:sz w:val="22"/>
        <w14:textFill>
          <w14:solidFill>
            <w14:schemeClr w14:val="lt1"/>
          </w14:solidFill>
        </w14:textFill>
      </w:rPr>
      <w:tcPr>
        <w:tcBorders>
          <w:top w:val="single" w:color="C3D69C" w:themeColor="accent3" w:themeTint="98" w:sz="32" w:space="0"/>
          <w:bottom w:val="single" w:color="FFFFFF" w:themeColor="light1" w:sz="12" w:space="0"/>
        </w:tcBorders>
        <w:shd w:val="clear" w:color="C3D69C" w:themeColor="accent3" w:themeTint="98" w:fill="C3D69C" w:themeFill="accent3"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C3D69C" w:themeColor="accent3" w:themeTint="98" w:sz="32" w:space="0"/>
          <w:right w:val="single" w:color="FFFFFF" w:themeColor="light1" w:sz="4" w:space="0"/>
        </w:tcBorders>
      </w:tcPr>
    </w:tblStylePr>
    <w:tblStylePr w:type="lastCol">
      <w:tcPr>
        <w:tcBorders>
          <w:left w:val="single" w:color="FFFFFF" w:themeColor="light1" w:sz="4" w:space="0"/>
          <w:right w:val="single" w:color="C3D69C" w:themeColor="accent3" w:themeTint="98" w:sz="32" w:space="0"/>
        </w:tcBorders>
      </w:tcPr>
    </w:tblStylePr>
    <w:tblStylePr w:type="band1Vert">
      <w:tcPr>
        <w:tcBorders>
          <w:left w:val="single" w:color="FFFFFF" w:themeColor="light1" w:sz="4" w:space="0"/>
          <w:right w:val="single" w:color="FFFFFF" w:themeColor="light1" w:sz="4" w:space="0"/>
        </w:tcBorders>
        <w:shd w:val="clear" w:color="C3D69C" w:themeColor="accent3" w:themeTint="98" w:fill="C3D69C" w:themeFill="accent3"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tblStylePr w:type="band2Horz">
      <w:tcPr>
        <w:tcBorders>
          <w:top w:val="single" w:color="FFFFFF" w:themeColor="light1" w:sz="4" w:space="0"/>
          <w:bottom w:val="single" w:color="FFFFFF" w:themeColor="light1" w:sz="4" w:space="0"/>
        </w:tcBorders>
        <w:shd w:val="clear" w:color="C3D69C" w:themeColor="accent3" w:themeTint="98" w:fill="C3D69C" w:themeFill="accent3" w:themeFillTint="98"/>
      </w:tcPr>
    </w:tblStylePr>
  </w:style>
  <w:style w:type="table" w:customStyle="1" w:styleId="161">
    <w:name w:val="List Table 5 Dark - Accent 4"/>
    <w:basedOn w:val="37"/>
    <w:qFormat/>
    <w:uiPriority w:val="99"/>
    <w:pPr>
      <w:spacing w:after="0" w:line="240" w:lineRule="auto"/>
    </w:pPr>
    <w:tblPr>
      <w:tblBorders>
        <w:top w:val="single" w:color="B2A1C6" w:themeColor="accent4" w:themeTint="9A" w:sz="32" w:space="0"/>
        <w:left w:val="single" w:color="B2A1C6" w:themeColor="accent4" w:themeTint="9A" w:sz="32" w:space="0"/>
        <w:bottom w:val="single" w:color="B2A1C6" w:themeColor="accent4" w:themeTint="9A" w:sz="32" w:space="0"/>
        <w:right w:val="single" w:color="B2A1C6" w:themeColor="accent4" w:themeTint="9A" w:sz="32" w:space="0"/>
      </w:tblBorders>
    </w:tblPr>
    <w:tblStylePr w:type="firstRow">
      <w:rPr>
        <w:rFonts w:ascii="Arial" w:hAnsi="Arial"/>
        <w:b/>
        <w:color w:val="FFFFFF" w:themeColor="light1"/>
        <w:sz w:val="22"/>
        <w14:textFill>
          <w14:solidFill>
            <w14:schemeClr w14:val="lt1"/>
          </w14:solidFill>
        </w14:textFill>
      </w:rPr>
      <w:tcPr>
        <w:tcBorders>
          <w:top w:val="single" w:color="B2A1C6" w:themeColor="accent4" w:themeTint="9A" w:sz="32" w:space="0"/>
          <w:bottom w:val="single" w:color="FFFFFF" w:themeColor="light1" w:sz="12" w:space="0"/>
        </w:tcBorders>
        <w:shd w:val="clear" w:color="B2A1C6" w:themeColor="accent4" w:themeTint="9A" w:fill="B2A1C6" w:themeFill="accent4"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B2A1C6" w:themeColor="accent4" w:themeTint="9A" w:sz="32" w:space="0"/>
          <w:right w:val="single" w:color="FFFFFF" w:themeColor="light1" w:sz="4" w:space="0"/>
        </w:tcBorders>
      </w:tcPr>
    </w:tblStylePr>
    <w:tblStylePr w:type="lastCol">
      <w:tcPr>
        <w:tcBorders>
          <w:left w:val="single" w:color="FFFFFF" w:themeColor="light1" w:sz="4" w:space="0"/>
          <w:right w:val="single" w:color="B2A1C6" w:themeColor="accent4" w:themeTint="9A" w:sz="32" w:space="0"/>
        </w:tcBorders>
      </w:tcPr>
    </w:tblStylePr>
    <w:tblStylePr w:type="band1Vert">
      <w:tcPr>
        <w:tcBorders>
          <w:left w:val="single" w:color="FFFFFF" w:themeColor="light1" w:sz="4" w:space="0"/>
          <w:right w:val="single" w:color="FFFFFF" w:themeColor="light1" w:sz="4" w:space="0"/>
        </w:tcBorders>
        <w:shd w:val="clear" w:color="B2A1C6" w:themeColor="accent4" w:themeTint="9A" w:fill="B2A1C6" w:themeFill="accent4"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tblStylePr w:type="band2Horz">
      <w:tcPr>
        <w:tcBorders>
          <w:top w:val="single" w:color="FFFFFF" w:themeColor="light1" w:sz="4" w:space="0"/>
          <w:bottom w:val="single" w:color="FFFFFF" w:themeColor="light1" w:sz="4" w:space="0"/>
        </w:tcBorders>
        <w:shd w:val="clear" w:color="B2A1C6" w:themeColor="accent4" w:themeTint="9A" w:fill="B2A1C6" w:themeFill="accent4" w:themeFillTint="9A"/>
      </w:tcPr>
    </w:tblStylePr>
  </w:style>
  <w:style w:type="table" w:customStyle="1" w:styleId="162">
    <w:name w:val="List Table 5 Dark - Accent 5"/>
    <w:basedOn w:val="37"/>
    <w:qFormat/>
    <w:uiPriority w:val="99"/>
    <w:pPr>
      <w:spacing w:after="0" w:line="240" w:lineRule="auto"/>
    </w:pPr>
    <w:tblPr>
      <w:tblBorders>
        <w:top w:val="single" w:color="92CCDC" w:themeColor="accent5" w:themeTint="9A" w:sz="32" w:space="0"/>
        <w:left w:val="single" w:color="92CCDC" w:themeColor="accent5" w:themeTint="9A" w:sz="32" w:space="0"/>
        <w:bottom w:val="single" w:color="92CCDC" w:themeColor="accent5" w:themeTint="9A" w:sz="32" w:space="0"/>
        <w:right w:val="single" w:color="92CCDC" w:themeColor="accent5" w:themeTint="9A" w:sz="32" w:space="0"/>
      </w:tblBorders>
    </w:tblPr>
    <w:tblStylePr w:type="firstRow">
      <w:rPr>
        <w:rFonts w:ascii="Arial" w:hAnsi="Arial"/>
        <w:b/>
        <w:color w:val="FFFFFF" w:themeColor="light1"/>
        <w:sz w:val="22"/>
        <w14:textFill>
          <w14:solidFill>
            <w14:schemeClr w14:val="lt1"/>
          </w14:solidFill>
        </w14:textFill>
      </w:rPr>
      <w:tcPr>
        <w:tcBorders>
          <w:top w:val="single" w:color="92CCDC" w:themeColor="accent5" w:themeTint="9A" w:sz="32" w:space="0"/>
          <w:bottom w:val="single" w:color="FFFFFF" w:themeColor="light1" w:sz="12" w:space="0"/>
        </w:tcBorders>
        <w:shd w:val="clear" w:color="92CCDC" w:themeColor="accent5" w:themeTint="9A" w:fill="92CCDC" w:themeFill="accent5" w:themeFillTint="9A"/>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92CCDC" w:themeColor="accent5" w:themeTint="9A" w:sz="32" w:space="0"/>
          <w:right w:val="single" w:color="FFFFFF" w:themeColor="light1" w:sz="4" w:space="0"/>
        </w:tcBorders>
      </w:tcPr>
    </w:tblStylePr>
    <w:tblStylePr w:type="lastCol">
      <w:tcPr>
        <w:tcBorders>
          <w:left w:val="single" w:color="FFFFFF" w:themeColor="light1" w:sz="4" w:space="0"/>
          <w:right w:val="single" w:color="92CCDC" w:themeColor="accent5" w:themeTint="9A" w:sz="32" w:space="0"/>
        </w:tcBorders>
      </w:tcPr>
    </w:tblStylePr>
    <w:tblStylePr w:type="band1Vert">
      <w:tcPr>
        <w:tcBorders>
          <w:left w:val="single" w:color="FFFFFF" w:themeColor="light1" w:sz="4" w:space="0"/>
          <w:right w:val="single" w:color="FFFFFF" w:themeColor="light1" w:sz="4" w:space="0"/>
        </w:tcBorders>
        <w:shd w:val="clear" w:color="92CCDC" w:themeColor="accent5" w:themeTint="9A" w:fill="92CCDC" w:themeFill="accent5" w:themeFillTint="9A"/>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tblStylePr w:type="band2Horz">
      <w:tcPr>
        <w:tcBorders>
          <w:top w:val="single" w:color="FFFFFF" w:themeColor="light1" w:sz="4" w:space="0"/>
          <w:bottom w:val="single" w:color="FFFFFF" w:themeColor="light1" w:sz="4" w:space="0"/>
        </w:tcBorders>
        <w:shd w:val="clear" w:color="92CCDC" w:themeColor="accent5" w:themeTint="9A" w:fill="92CCDC" w:themeFill="accent5" w:themeFillTint="9A"/>
      </w:tcPr>
    </w:tblStylePr>
  </w:style>
  <w:style w:type="table" w:customStyle="1" w:styleId="163">
    <w:name w:val="List Table 5 Dark - Accent 6"/>
    <w:basedOn w:val="37"/>
    <w:qFormat/>
    <w:uiPriority w:val="99"/>
    <w:pPr>
      <w:spacing w:after="0" w:line="240" w:lineRule="auto"/>
    </w:pPr>
    <w:tblPr>
      <w:tblBorders>
        <w:top w:val="single" w:color="FAC090" w:themeColor="accent6" w:themeTint="98" w:sz="32" w:space="0"/>
        <w:left w:val="single" w:color="FAC090" w:themeColor="accent6" w:themeTint="98" w:sz="32" w:space="0"/>
        <w:bottom w:val="single" w:color="FAC090" w:themeColor="accent6" w:themeTint="98" w:sz="32" w:space="0"/>
        <w:right w:val="single" w:color="FAC090" w:themeColor="accent6" w:themeTint="98" w:sz="32" w:space="0"/>
      </w:tblBorders>
    </w:tblPr>
    <w:tblStylePr w:type="firstRow">
      <w:rPr>
        <w:rFonts w:ascii="Arial" w:hAnsi="Arial"/>
        <w:b/>
        <w:color w:val="FFFFFF" w:themeColor="light1"/>
        <w:sz w:val="22"/>
        <w14:textFill>
          <w14:solidFill>
            <w14:schemeClr w14:val="lt1"/>
          </w14:solidFill>
        </w14:textFill>
      </w:rPr>
      <w:tcPr>
        <w:tcBorders>
          <w:top w:val="single" w:color="FAC090" w:themeColor="accent6" w:themeTint="98" w:sz="32" w:space="0"/>
          <w:bottom w:val="single" w:color="FFFFFF" w:themeColor="light1" w:sz="12" w:space="0"/>
        </w:tcBorders>
        <w:shd w:val="clear" w:color="FAC090" w:themeColor="accent6" w:themeTint="98" w:fill="FAC090" w:themeFill="accent6" w:themeFillTint="98"/>
      </w:tcPr>
    </w:tblStylePr>
    <w:tblStylePr w:type="lastRow">
      <w:rPr>
        <w:rFonts w:ascii="Arial" w:hAnsi="Arial"/>
        <w:b/>
        <w:color w:val="FFFFFF" w:themeColor="light1"/>
        <w:sz w:val="22"/>
        <w14:textFill>
          <w14:solidFill>
            <w14:schemeClr w14:val="lt1"/>
          </w14:solidFill>
        </w14:textFill>
      </w:rPr>
    </w:tblStylePr>
    <w:tblStylePr w:type="firstCol">
      <w:rPr>
        <w:rFonts w:ascii="Arial" w:hAnsi="Arial"/>
        <w:b/>
        <w:color w:val="FFFFFF" w:themeColor="light1"/>
        <w:sz w:val="22"/>
        <w14:textFill>
          <w14:solidFill>
            <w14:schemeClr w14:val="lt1"/>
          </w14:solidFill>
        </w14:textFill>
      </w:rPr>
      <w:tcPr>
        <w:tcBorders>
          <w:left w:val="single" w:color="FAC090" w:themeColor="accent6" w:themeTint="98" w:sz="32" w:space="0"/>
          <w:right w:val="single" w:color="FFFFFF" w:themeColor="light1" w:sz="4" w:space="0"/>
        </w:tcBorders>
      </w:tcPr>
    </w:tblStylePr>
    <w:tblStylePr w:type="lastCol">
      <w:tcPr>
        <w:tcBorders>
          <w:left w:val="single" w:color="FFFFFF" w:themeColor="light1" w:sz="4" w:space="0"/>
          <w:right w:val="single" w:color="FAC090" w:themeColor="accent6" w:themeTint="98" w:sz="32" w:space="0"/>
        </w:tcBorders>
      </w:tcPr>
    </w:tblStylePr>
    <w:tblStylePr w:type="band1Vert">
      <w:tcPr>
        <w:tcBorders>
          <w:left w:val="single" w:color="FFFFFF" w:themeColor="light1" w:sz="4" w:space="0"/>
          <w:right w:val="single" w:color="FFFFFF" w:themeColor="light1" w:sz="4" w:space="0"/>
        </w:tcBorders>
        <w:shd w:val="clear" w:color="FAC090" w:themeColor="accent6" w:themeTint="98" w:fill="FAC090" w:themeFill="accent6" w:themeFillTint="98"/>
      </w:tcPr>
    </w:tblStylePr>
    <w:tblStylePr w:type="band2Vert">
      <w:tcPr>
        <w:tcBorders>
          <w:left w:val="single" w:color="FFFFFF" w:themeColor="light1" w:sz="4" w:space="0"/>
          <w:right w:val="single" w:color="FFFFFF" w:themeColor="light1" w:sz="4" w:space="0"/>
        </w:tcBorders>
      </w:tcPr>
    </w:tblStylePr>
    <w:tblStylePr w:type="band1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tblStylePr w:type="band2Horz">
      <w:tcPr>
        <w:tcBorders>
          <w:top w:val="single" w:color="FFFFFF" w:themeColor="light1" w:sz="4" w:space="0"/>
          <w:bottom w:val="single" w:color="FFFFFF" w:themeColor="light1" w:sz="4" w:space="0"/>
        </w:tcBorders>
        <w:shd w:val="clear" w:color="FAC090" w:themeColor="accent6" w:themeTint="98" w:fill="FAC090" w:themeFill="accent6" w:themeFillTint="98"/>
      </w:tcPr>
    </w:tblStylePr>
  </w:style>
  <w:style w:type="table" w:customStyle="1" w:styleId="164">
    <w:name w:val="List Table 6 Colorful"/>
    <w:basedOn w:val="37"/>
    <w:qFormat/>
    <w:uiPriority w:val="99"/>
    <w:pPr>
      <w:spacing w:after="0" w:line="240" w:lineRule="auto"/>
    </w:pPr>
    <w:tblPr>
      <w:tblBorders>
        <w:top w:val="single" w:color="7E7E7E" w:themeColor="text1" w:themeTint="80" w:sz="4" w:space="0"/>
        <w:bottom w:val="single" w:color="7E7E7E" w:themeColor="text1" w:themeTint="80" w:sz="4" w:space="0"/>
      </w:tblBorders>
    </w:tblPr>
    <w:tblStylePr w:type="firstRow">
      <w:rPr>
        <w:b/>
        <w:color w:val="000000" w:themeColor="text1"/>
        <w14:textFill>
          <w14:solidFill>
            <w14:schemeClr w14:val="tx1"/>
          </w14:solidFill>
        </w14:textFill>
      </w:rPr>
      <w:tcPr>
        <w:tcBorders>
          <w:bottom w:val="single" w:color="7E7E7E" w:themeColor="text1" w:themeTint="80" w:sz="4" w:space="0"/>
        </w:tcBorders>
      </w:tcPr>
    </w:tblStylePr>
    <w:tblStylePr w:type="lastRow">
      <w:rPr>
        <w:b/>
        <w:color w:val="000000" w:themeColor="text1"/>
        <w14:textFill>
          <w14:solidFill>
            <w14:schemeClr w14:val="tx1"/>
          </w14:solidFill>
        </w14:textFill>
      </w:rPr>
      <w:tcPr>
        <w:tcBorders>
          <w:top w:val="single" w:color="7E7E7E" w:themeColor="text1" w:themeTint="80" w:sz="4" w:space="0"/>
        </w:tcBorders>
      </w:tcPr>
    </w:tblStylePr>
    <w:tblStylePr w:type="firstCol">
      <w:rPr>
        <w:b/>
        <w:color w:val="000000" w:themeColor="text1"/>
        <w14:textFill>
          <w14:solidFill>
            <w14:schemeClr w14:val="tx1"/>
          </w14:solidFill>
        </w14:textFill>
      </w:rPr>
    </w:tblStylePr>
    <w:tblStylePr w:type="lastCol">
      <w:rPr>
        <w:b/>
        <w:color w:val="000000" w:themeColor="text1"/>
        <w14:textFill>
          <w14:solidFill>
            <w14:schemeClr w14:val="tx1"/>
          </w14:solidFill>
        </w14:textFill>
      </w:rPr>
    </w:tblStylePr>
    <w:tblStylePr w:type="band1Vert">
      <w:tcPr>
        <w:shd w:val="clear" w:color="BEBEBE" w:themeColor="text1" w:themeTint="40" w:fill="BEBEBE" w:themeFill="text1" w:themeFillTint="40"/>
      </w:tcPr>
    </w:tblStylePr>
    <w:tblStylePr w:type="band1Horz">
      <w:rPr>
        <w:rFonts w:ascii="Arial" w:hAnsi="Arial"/>
        <w:color w:val="000000" w:themeColor="text1"/>
        <w:sz w:val="22"/>
        <w14:textFill>
          <w14:solidFill>
            <w14:schemeClr w14:val="tx1"/>
          </w14:solidFill>
        </w14:textFill>
      </w:rPr>
      <w:tcPr>
        <w:shd w:val="clear" w:color="BEBEBE" w:themeColor="text1" w:themeTint="40" w:fill="BEBEBE" w:themeFill="text1" w:themeFillTint="40"/>
      </w:tcPr>
    </w:tblStylePr>
    <w:tblStylePr w:type="band2Horz">
      <w:rPr>
        <w:rFonts w:ascii="Arial" w:hAnsi="Arial"/>
        <w:color w:val="000000" w:themeColor="text1"/>
        <w:sz w:val="22"/>
        <w14:textFill>
          <w14:solidFill>
            <w14:schemeClr w14:val="tx1"/>
          </w14:solidFill>
        </w14:textFill>
      </w:rPr>
    </w:tblStylePr>
  </w:style>
  <w:style w:type="table" w:customStyle="1" w:styleId="165">
    <w:name w:val="List Table 6 Colorful - Accent 1"/>
    <w:basedOn w:val="37"/>
    <w:qFormat/>
    <w:uiPriority w:val="99"/>
    <w:pPr>
      <w:spacing w:after="0" w:line="240" w:lineRule="auto"/>
    </w:pPr>
    <w:tblPr>
      <w:tblBorders>
        <w:top w:val="single" w:color="4F81BD" w:themeColor="accent1" w:sz="4" w:space="0"/>
        <w:bottom w:val="single" w:color="4F81BD" w:themeColor="accent1" w:sz="4" w:space="0"/>
      </w:tblBorders>
    </w:tblPr>
    <w:tblStylePr w:type="firstRow">
      <w:rPr>
        <w:b/>
        <w:color w:val="2A4B71" w:themeColor="accent1" w:themeShade="94"/>
      </w:rPr>
      <w:tcPr>
        <w:tcBorders>
          <w:bottom w:val="single" w:color="4F81BD" w:themeColor="accent1" w:sz="4" w:space="0"/>
        </w:tcBorders>
      </w:tcPr>
    </w:tblStylePr>
    <w:tblStylePr w:type="lastRow">
      <w:rPr>
        <w:b/>
        <w:color w:val="2A4B71" w:themeColor="accent1" w:themeShade="94"/>
      </w:rPr>
      <w:tcPr>
        <w:tcBorders>
          <w:top w:val="single" w:color="4F81BD" w:themeColor="accent1" w:sz="4" w:space="0"/>
        </w:tcBorders>
      </w:tcPr>
    </w:tblStylePr>
    <w:tblStylePr w:type="firstCol">
      <w:rPr>
        <w:b/>
        <w:color w:val="2A4B71" w:themeColor="accent1" w:themeShade="94"/>
      </w:rPr>
    </w:tblStylePr>
    <w:tblStylePr w:type="lastCol">
      <w:rPr>
        <w:b/>
        <w:color w:val="2A4B71" w:themeColor="accent1" w:themeShade="94"/>
      </w:r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66">
    <w:name w:val="List Table 6 Colorful - Accent 2"/>
    <w:basedOn w:val="37"/>
    <w:qFormat/>
    <w:uiPriority w:val="99"/>
    <w:pPr>
      <w:spacing w:after="0" w:line="240" w:lineRule="auto"/>
    </w:pPr>
    <w:tblPr>
      <w:tblBorders>
        <w:top w:val="single" w:color="D99795" w:themeColor="accent2" w:themeTint="97" w:sz="4" w:space="0"/>
        <w:bottom w:val="single" w:color="D99795" w:themeColor="accent2" w:themeTint="97" w:sz="4" w:space="0"/>
      </w:tblBorders>
    </w:tblPr>
    <w:tblStylePr w:type="firstRow">
      <w:rPr>
        <w:b/>
        <w:color w:val="DA9896" w:themeColor="accent2" w:themeTint="96"/>
        <w14:textFill>
          <w14:solidFill>
            <w14:schemeClr w14:val="accent2">
              <w14:lumMod w14:val="59000"/>
              <w14:lumOff w14:val="41000"/>
            </w14:schemeClr>
          </w14:solidFill>
        </w14:textFill>
      </w:rPr>
      <w:tcPr>
        <w:tcBorders>
          <w:bottom w:val="single" w:color="D99795" w:themeColor="accent2" w:themeTint="97" w:sz="4" w:space="0"/>
        </w:tcBorders>
      </w:tcPr>
    </w:tblStylePr>
    <w:tblStylePr w:type="lastRow">
      <w:rPr>
        <w:b/>
        <w:color w:val="DA9896" w:themeColor="accent2" w:themeTint="96"/>
        <w14:textFill>
          <w14:solidFill>
            <w14:schemeClr w14:val="accent2">
              <w14:lumMod w14:val="59000"/>
              <w14:lumOff w14:val="41000"/>
            </w14:schemeClr>
          </w14:solidFill>
        </w14:textFill>
      </w:rPr>
      <w:tcPr>
        <w:tcBorders>
          <w:top w:val="single" w:color="D99795" w:themeColor="accent2" w:themeTint="97" w:sz="4" w:space="0"/>
        </w:tcBorders>
      </w:tcPr>
    </w:tblStylePr>
    <w:tblStylePr w:type="firstCol">
      <w:rPr>
        <w:b/>
        <w:color w:val="DA9896" w:themeColor="accent2" w:themeTint="96"/>
        <w14:textFill>
          <w14:solidFill>
            <w14:schemeClr w14:val="accent2">
              <w14:lumMod w14:val="59000"/>
              <w14:lumOff w14:val="41000"/>
            </w14:schemeClr>
          </w14:solidFill>
        </w14:textFill>
      </w:rPr>
    </w:tblStylePr>
    <w:tblStylePr w:type="lastCol">
      <w:rPr>
        <w:b/>
        <w:color w:val="DA9896" w:themeColor="accent2" w:themeTint="96"/>
        <w14:textFill>
          <w14:solidFill>
            <w14:schemeClr w14:val="accent2">
              <w14:lumMod w14:val="59000"/>
              <w14:lumOff w14:val="41000"/>
            </w14:schemeClr>
          </w14:solidFill>
        </w14:textFill>
      </w:r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67">
    <w:name w:val="List Table 6 Colorful - Accent 3"/>
    <w:basedOn w:val="37"/>
    <w:qFormat/>
    <w:uiPriority w:val="99"/>
    <w:pPr>
      <w:spacing w:after="0" w:line="240" w:lineRule="auto"/>
    </w:pPr>
    <w:tblPr>
      <w:tblBorders>
        <w:top w:val="single" w:color="C3D69C" w:themeColor="accent3" w:themeTint="98" w:sz="4" w:space="0"/>
        <w:bottom w:val="single" w:color="C3D69C" w:themeColor="accent3" w:themeTint="98" w:sz="4" w:space="0"/>
      </w:tblBorders>
    </w:tblPr>
    <w:tblStylePr w:type="firstRow">
      <w:rPr>
        <w:b/>
        <w:color w:val="C3D69B" w:themeColor="accent3" w:themeTint="99"/>
        <w14:textFill>
          <w14:solidFill>
            <w14:schemeClr w14:val="accent3">
              <w14:lumMod w14:val="60000"/>
              <w14:lumOff w14:val="40000"/>
            </w14:schemeClr>
          </w14:solidFill>
        </w14:textFill>
      </w:rPr>
      <w:tcPr>
        <w:tcBorders>
          <w:bottom w:val="single" w:color="C3D69C" w:themeColor="accent3" w:themeTint="98" w:sz="4" w:space="0"/>
        </w:tcBorders>
      </w:tcPr>
    </w:tblStylePr>
    <w:tblStylePr w:type="lastRow">
      <w:rPr>
        <w:b/>
        <w:color w:val="C3D69B" w:themeColor="accent3" w:themeTint="99"/>
        <w14:textFill>
          <w14:solidFill>
            <w14:schemeClr w14:val="accent3">
              <w14:lumMod w14:val="60000"/>
              <w14:lumOff w14:val="40000"/>
            </w14:schemeClr>
          </w14:solidFill>
        </w14:textFill>
      </w:rPr>
      <w:tcPr>
        <w:tcBorders>
          <w:top w:val="single" w:color="C3D69C" w:themeColor="accent3" w:themeTint="98" w:sz="4" w:space="0"/>
        </w:tcBorders>
      </w:tcPr>
    </w:tblStylePr>
    <w:tblStylePr w:type="firstCol">
      <w:rPr>
        <w:b/>
        <w:color w:val="C3D69B" w:themeColor="accent3" w:themeTint="99"/>
        <w14:textFill>
          <w14:solidFill>
            <w14:schemeClr w14:val="accent3">
              <w14:lumMod w14:val="60000"/>
              <w14:lumOff w14:val="40000"/>
            </w14:schemeClr>
          </w14:solidFill>
        </w14:textFill>
      </w:rPr>
    </w:tblStylePr>
    <w:tblStylePr w:type="lastCol">
      <w:rPr>
        <w:b/>
        <w:color w:val="C3D69B" w:themeColor="accent3" w:themeTint="99"/>
        <w14:textFill>
          <w14:solidFill>
            <w14:schemeClr w14:val="accent3">
              <w14:lumMod w14:val="60000"/>
              <w14:lumOff w14:val="40000"/>
            </w14:schemeClr>
          </w14:solidFill>
        </w14:textFill>
      </w:r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68">
    <w:name w:val="List Table 6 Colorful - Accent 4"/>
    <w:basedOn w:val="37"/>
    <w:qFormat/>
    <w:uiPriority w:val="99"/>
    <w:pPr>
      <w:spacing w:after="0" w:line="240" w:lineRule="auto"/>
    </w:pPr>
    <w:tblPr>
      <w:tblBorders>
        <w:top w:val="single" w:color="B2A1C6" w:themeColor="accent4" w:themeTint="9A" w:sz="4" w:space="0"/>
        <w:bottom w:val="single" w:color="B2A1C6" w:themeColor="accent4" w:themeTint="9A" w:sz="4" w:space="0"/>
      </w:tblBorders>
    </w:tblPr>
    <w:tblStylePr w:type="firstRow">
      <w:rPr>
        <w:b/>
        <w:color w:val="B3A2C7" w:themeColor="accent4" w:themeTint="99"/>
        <w14:textFill>
          <w14:solidFill>
            <w14:schemeClr w14:val="accent4">
              <w14:lumMod w14:val="60000"/>
              <w14:lumOff w14:val="40000"/>
            </w14:schemeClr>
          </w14:solidFill>
        </w14:textFill>
      </w:rPr>
      <w:tcPr>
        <w:tcBorders>
          <w:bottom w:val="single" w:color="B2A1C6" w:themeColor="accent4" w:themeTint="9A" w:sz="4" w:space="0"/>
        </w:tcBorders>
      </w:tcPr>
    </w:tblStylePr>
    <w:tblStylePr w:type="lastRow">
      <w:rPr>
        <w:b/>
        <w:color w:val="B3A2C7" w:themeColor="accent4" w:themeTint="99"/>
        <w14:textFill>
          <w14:solidFill>
            <w14:schemeClr w14:val="accent4">
              <w14:lumMod w14:val="60000"/>
              <w14:lumOff w14:val="40000"/>
            </w14:schemeClr>
          </w14:solidFill>
        </w14:textFill>
      </w:rPr>
      <w:tcPr>
        <w:tcBorders>
          <w:top w:val="single" w:color="B2A1C6" w:themeColor="accent4" w:themeTint="9A" w:sz="4" w:space="0"/>
        </w:tcBorders>
      </w:tcPr>
    </w:tblStylePr>
    <w:tblStylePr w:type="firstCol">
      <w:rPr>
        <w:b/>
        <w:color w:val="B3A2C7" w:themeColor="accent4" w:themeTint="99"/>
        <w14:textFill>
          <w14:solidFill>
            <w14:schemeClr w14:val="accent4">
              <w14:lumMod w14:val="60000"/>
              <w14:lumOff w14:val="40000"/>
            </w14:schemeClr>
          </w14:solidFill>
        </w14:textFill>
      </w:rPr>
    </w:tblStylePr>
    <w:tblStylePr w:type="lastCol">
      <w:rPr>
        <w:b/>
        <w:color w:val="B3A2C7" w:themeColor="accent4" w:themeTint="99"/>
        <w14:textFill>
          <w14:solidFill>
            <w14:schemeClr w14:val="accent4">
              <w14:lumMod w14:val="60000"/>
              <w14:lumOff w14:val="40000"/>
            </w14:schemeClr>
          </w14:solidFill>
        </w14:textFill>
      </w:r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69">
    <w:name w:val="List Table 6 Colorful - Accent 5"/>
    <w:basedOn w:val="37"/>
    <w:qFormat/>
    <w:uiPriority w:val="99"/>
    <w:pPr>
      <w:spacing w:after="0" w:line="240" w:lineRule="auto"/>
    </w:pPr>
    <w:tblPr>
      <w:tblBorders>
        <w:top w:val="single" w:color="92CCDC" w:themeColor="accent5" w:themeTint="9A" w:sz="4" w:space="0"/>
        <w:bottom w:val="single" w:color="92CCDC" w:themeColor="accent5" w:themeTint="9A" w:sz="4" w:space="0"/>
      </w:tblBorders>
    </w:tblPr>
    <w:tblStylePr w:type="firstRow">
      <w:rPr>
        <w:b/>
        <w:color w:val="93CDDD" w:themeColor="accent5" w:themeTint="99"/>
        <w14:textFill>
          <w14:solidFill>
            <w14:schemeClr w14:val="accent5">
              <w14:lumMod w14:val="60000"/>
              <w14:lumOff w14:val="40000"/>
            </w14:schemeClr>
          </w14:solidFill>
        </w14:textFill>
      </w:rPr>
      <w:tcPr>
        <w:tcBorders>
          <w:bottom w:val="single" w:color="92CCDC" w:themeColor="accent5" w:themeTint="9A" w:sz="4" w:space="0"/>
        </w:tcBorders>
      </w:tcPr>
    </w:tblStylePr>
    <w:tblStylePr w:type="lastRow">
      <w:rPr>
        <w:b/>
        <w:color w:val="93CDDD" w:themeColor="accent5" w:themeTint="99"/>
        <w14:textFill>
          <w14:solidFill>
            <w14:schemeClr w14:val="accent5">
              <w14:lumMod w14:val="60000"/>
              <w14:lumOff w14:val="40000"/>
            </w14:schemeClr>
          </w14:solidFill>
        </w14:textFill>
      </w:rPr>
      <w:tcPr>
        <w:tcBorders>
          <w:top w:val="single" w:color="92CCDC" w:themeColor="accent5" w:themeTint="9A" w:sz="4" w:space="0"/>
        </w:tcBorders>
      </w:tcPr>
    </w:tblStylePr>
    <w:tblStylePr w:type="firstCol">
      <w:rPr>
        <w:b/>
        <w:color w:val="93CDDD" w:themeColor="accent5" w:themeTint="99"/>
        <w14:textFill>
          <w14:solidFill>
            <w14:schemeClr w14:val="accent5">
              <w14:lumMod w14:val="60000"/>
              <w14:lumOff w14:val="40000"/>
            </w14:schemeClr>
          </w14:solidFill>
        </w14:textFill>
      </w:rPr>
    </w:tblStylePr>
    <w:tblStylePr w:type="lastCol">
      <w:rPr>
        <w:b/>
        <w:color w:val="93CDDD" w:themeColor="accent5" w:themeTint="99"/>
        <w14:textFill>
          <w14:solidFill>
            <w14:schemeClr w14:val="accent5">
              <w14:lumMod w14:val="60000"/>
              <w14:lumOff w14:val="40000"/>
            </w14:schemeClr>
          </w14:solidFill>
        </w14:textFill>
      </w:r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0">
    <w:name w:val="List Table 6 Colorful - Accent 6"/>
    <w:basedOn w:val="37"/>
    <w:qFormat/>
    <w:uiPriority w:val="99"/>
    <w:pPr>
      <w:spacing w:after="0" w:line="240" w:lineRule="auto"/>
    </w:pPr>
    <w:tblPr>
      <w:tblBorders>
        <w:top w:val="single" w:color="FAC090" w:themeColor="accent6" w:themeTint="98" w:sz="4" w:space="0"/>
        <w:bottom w:val="single" w:color="FAC090" w:themeColor="accent6" w:themeTint="98" w:sz="4" w:space="0"/>
      </w:tblBorders>
    </w:tblPr>
    <w:tblStylePr w:type="firstRow">
      <w:rPr>
        <w:b/>
        <w:color w:val="FAC090" w:themeColor="accent6" w:themeTint="99"/>
        <w14:textFill>
          <w14:solidFill>
            <w14:schemeClr w14:val="accent6">
              <w14:lumMod w14:val="60000"/>
              <w14:lumOff w14:val="40000"/>
            </w14:schemeClr>
          </w14:solidFill>
        </w14:textFill>
      </w:rPr>
      <w:tcPr>
        <w:tcBorders>
          <w:bottom w:val="single" w:color="FAC090" w:themeColor="accent6" w:themeTint="98" w:sz="4" w:space="0"/>
        </w:tcBorders>
      </w:tcPr>
    </w:tblStylePr>
    <w:tblStylePr w:type="lastRow">
      <w:rPr>
        <w:b/>
        <w:color w:val="FAC090" w:themeColor="accent6" w:themeTint="99"/>
        <w14:textFill>
          <w14:solidFill>
            <w14:schemeClr w14:val="accent6">
              <w14:lumMod w14:val="60000"/>
              <w14:lumOff w14:val="40000"/>
            </w14:schemeClr>
          </w14:solidFill>
        </w14:textFill>
      </w:rPr>
      <w:tcPr>
        <w:tcBorders>
          <w:top w:val="single" w:color="FAC090" w:themeColor="accent6" w:themeTint="98" w:sz="4" w:space="0"/>
        </w:tcBorders>
      </w:tcPr>
    </w:tblStylePr>
    <w:tblStylePr w:type="firstCol">
      <w:rPr>
        <w:b/>
        <w:color w:val="FAC090" w:themeColor="accent6" w:themeTint="99"/>
        <w14:textFill>
          <w14:solidFill>
            <w14:schemeClr w14:val="accent6">
              <w14:lumMod w14:val="60000"/>
              <w14:lumOff w14:val="40000"/>
            </w14:schemeClr>
          </w14:solidFill>
        </w14:textFill>
      </w:rPr>
    </w:tblStylePr>
    <w:tblStylePr w:type="lastCol">
      <w:rPr>
        <w:b/>
        <w:color w:val="FAC090" w:themeColor="accent6" w:themeTint="99"/>
        <w14:textFill>
          <w14:solidFill>
            <w14:schemeClr w14:val="accent6">
              <w14:lumMod w14:val="60000"/>
              <w14:lumOff w14:val="40000"/>
            </w14:schemeClr>
          </w14:solidFill>
        </w14:textFill>
      </w:r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1">
    <w:name w:val="List Table 7 Colorful"/>
    <w:basedOn w:val="37"/>
    <w:qFormat/>
    <w:uiPriority w:val="99"/>
    <w:pPr>
      <w:spacing w:after="0" w:line="240" w:lineRule="auto"/>
    </w:pPr>
    <w:tblPr>
      <w:tblBorders>
        <w:right w:val="single" w:color="7E7E7E" w:themeColor="text1" w:themeTint="80" w:sz="4" w:space="0"/>
      </w:tblBorders>
    </w:tblPr>
    <w:tblStylePr w:type="firstRow">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single" w:color="7E7E7E" w:themeColor="text1" w:themeTint="80" w:sz="4" w:space="0"/>
          <w:right w:val="nil"/>
        </w:tcBorders>
        <w:shd w:val="clear" w:color="FFFFFF" w:themeColor="light1" w:fill="FFFFFF" w:themeFill="light1"/>
      </w:tcPr>
    </w:tblStylePr>
    <w:tblStylePr w:type="lastRow">
      <w:rPr>
        <w:rFonts w:ascii="Arial" w:hAnsi="Arial"/>
        <w:i/>
        <w:color w:val="808080" w:themeColor="text1" w:themeTint="80"/>
        <w:sz w:val="22"/>
        <w14:textFill>
          <w14:solidFill>
            <w14:schemeClr w14:val="tx1">
              <w14:lumMod w14:val="50000"/>
              <w14:lumOff w14:val="50000"/>
            </w14:schemeClr>
          </w14:solidFill>
        </w14:textFill>
      </w:rPr>
      <w:tcPr>
        <w:tcBorders>
          <w:top w:val="single" w:color="7E7E7E" w:themeColor="text1" w:themeTint="80" w:sz="4" w:space="0"/>
          <w:left w:val="nil"/>
          <w:bottom w:val="nil"/>
          <w:right w:val="nil"/>
        </w:tcBorders>
        <w:shd w:val="clear" w:color="FFFFFF" w:themeColor="light1" w:fill="FFFFFF" w:themeFill="light1"/>
      </w:tcPr>
    </w:tblStylePr>
    <w:tblStylePr w:type="firstCol">
      <w:pPr>
        <w:jc w:val="right"/>
      </w:pPr>
      <w:rPr>
        <w:rFonts w:ascii="Arial" w:hAnsi="Arial"/>
        <w:i/>
        <w:color w:val="808080" w:themeColor="text1" w:themeTint="80"/>
        <w:sz w:val="22"/>
        <w14:textFill>
          <w14:solidFill>
            <w14:schemeClr w14:val="tx1">
              <w14:lumMod w14:val="50000"/>
              <w14:lumOff w14:val="50000"/>
            </w14:schemeClr>
          </w14:solidFill>
        </w14:textFill>
      </w:rPr>
      <w:tcPr>
        <w:tcBorders>
          <w:top w:val="nil"/>
          <w:left w:val="nil"/>
          <w:bottom w:val="nil"/>
          <w:right w:val="single" w:color="7E7E7E" w:themeColor="text1" w:themeTint="80" w:sz="4" w:space="0"/>
        </w:tcBorders>
        <w:shd w:val="clear" w:color="FFFFFF" w:fill="auto"/>
      </w:tcPr>
    </w:tblStylePr>
    <w:tblStylePr w:type="lastCol">
      <w:rPr>
        <w:rFonts w:ascii="Arial" w:hAnsi="Arial"/>
        <w:i/>
        <w:color w:val="808080" w:themeColor="text1" w:themeTint="80"/>
        <w:sz w:val="22"/>
        <w14:textFill>
          <w14:solidFill>
            <w14:schemeClr w14:val="tx1">
              <w14:lumMod w14:val="50000"/>
              <w14:lumOff w14:val="50000"/>
            </w14:schemeClr>
          </w14:solidFill>
        </w14:textFill>
      </w:rPr>
      <w:tcPr>
        <w:tcBorders>
          <w:top w:val="nil"/>
          <w:left w:val="single" w:color="7E7E7E" w:themeColor="text1" w:themeTint="80" w:sz="4" w:space="0"/>
          <w:bottom w:val="nil"/>
          <w:right w:val="nil"/>
        </w:tcBorders>
        <w:shd w:val="clear" w:color="FFFFFF" w:fill="auto"/>
      </w:tcPr>
    </w:tblStylePr>
    <w:tblStylePr w:type="band1Vert">
      <w:tcPr>
        <w:shd w:val="clear" w:color="BEBEBE" w:themeColor="text1" w:themeTint="40" w:fill="BEBEBE" w:themeFill="text1" w:themeFillTint="40"/>
      </w:tcPr>
    </w:tblStylePr>
    <w:tblStylePr w:type="band1Horz">
      <w:rPr>
        <w:rFonts w:ascii="Arial" w:hAnsi="Arial"/>
        <w:color w:val="808080" w:themeColor="text1" w:themeTint="80"/>
        <w:sz w:val="22"/>
        <w14:textFill>
          <w14:solidFill>
            <w14:schemeClr w14:val="tx1">
              <w14:lumMod w14:val="50000"/>
              <w14:lumOff w14:val="50000"/>
            </w14:schemeClr>
          </w14:solidFill>
        </w14:textFill>
      </w:rPr>
      <w:tcPr>
        <w:shd w:val="clear" w:color="BEBEBE" w:themeColor="text1" w:themeTint="40" w:fill="BEBEBE" w:themeFill="text1" w:themeFillTint="40"/>
      </w:tcPr>
    </w:tblStylePr>
    <w:tblStylePr w:type="band2Horz">
      <w:rPr>
        <w:rFonts w:ascii="Arial" w:hAnsi="Arial"/>
        <w:color w:val="808080" w:themeColor="text1" w:themeTint="80"/>
        <w:sz w:val="22"/>
        <w14:textFill>
          <w14:solidFill>
            <w14:schemeClr w14:val="tx1">
              <w14:lumMod w14:val="50000"/>
              <w14:lumOff w14:val="50000"/>
            </w14:schemeClr>
          </w14:solidFill>
        </w14:textFill>
      </w:rPr>
    </w:tblStylePr>
  </w:style>
  <w:style w:type="table" w:customStyle="1" w:styleId="172">
    <w:name w:val="List Table 7 Colorful - Accent 1"/>
    <w:basedOn w:val="37"/>
    <w:qFormat/>
    <w:uiPriority w:val="99"/>
    <w:pPr>
      <w:spacing w:after="0" w:line="240" w:lineRule="auto"/>
    </w:pPr>
    <w:tblPr>
      <w:tblBorders>
        <w:right w:val="single" w:color="4F81BD" w:themeColor="accent1" w:sz="4" w:space="0"/>
      </w:tblBorders>
    </w:tblPr>
    <w:tblStylePr w:type="firstRow">
      <w:rPr>
        <w:rFonts w:ascii="Arial" w:hAnsi="Arial"/>
        <w:i/>
        <w:color w:val="2A4B71" w:themeColor="accent1" w:themeShade="94"/>
        <w:sz w:val="22"/>
      </w:rPr>
      <w:tcPr>
        <w:tcBorders>
          <w:top w:val="nil"/>
          <w:left w:val="nil"/>
          <w:bottom w:val="single" w:color="4F81BD" w:themeColor="accent1" w:sz="4" w:space="0"/>
          <w:right w:val="nil"/>
        </w:tcBorders>
        <w:shd w:val="clear" w:color="FFFFFF" w:themeColor="light1" w:fill="FFFFFF" w:themeFill="light1"/>
      </w:tcPr>
    </w:tblStylePr>
    <w:tblStylePr w:type="lastRow">
      <w:rPr>
        <w:rFonts w:ascii="Arial" w:hAnsi="Arial"/>
        <w:i/>
        <w:color w:val="2A4B71" w:themeColor="accent1" w:themeShade="94"/>
        <w:sz w:val="22"/>
      </w:rPr>
      <w:tcPr>
        <w:tcBorders>
          <w:top w:val="single" w:color="4F81BD" w:themeColor="accent1" w:sz="4" w:space="0"/>
          <w:left w:val="nil"/>
          <w:bottom w:val="nil"/>
          <w:right w:val="nil"/>
        </w:tcBorders>
        <w:shd w:val="clear" w:color="FFFFFF" w:themeColor="light1" w:fill="FFFFFF" w:themeFill="light1"/>
      </w:tcPr>
    </w:tblStylePr>
    <w:tblStylePr w:type="firstCol">
      <w:pPr>
        <w:jc w:val="right"/>
      </w:pPr>
      <w:rPr>
        <w:rFonts w:ascii="Arial" w:hAnsi="Arial"/>
        <w:i/>
        <w:color w:val="2A4B71" w:themeColor="accent1" w:themeShade="94"/>
        <w:sz w:val="22"/>
      </w:rPr>
      <w:tcPr>
        <w:tcBorders>
          <w:top w:val="nil"/>
          <w:left w:val="nil"/>
          <w:bottom w:val="nil"/>
          <w:right w:val="single" w:color="4F81BD" w:themeColor="accent1" w:sz="4" w:space="0"/>
        </w:tcBorders>
        <w:shd w:val="clear" w:color="FFFFFF" w:fill="auto"/>
      </w:tcPr>
    </w:tblStylePr>
    <w:tblStylePr w:type="lastCol">
      <w:rPr>
        <w:rFonts w:ascii="Arial" w:hAnsi="Arial"/>
        <w:i/>
        <w:color w:val="2A4B71" w:themeColor="accent1" w:themeShade="94"/>
        <w:sz w:val="22"/>
      </w:rPr>
      <w:tcPr>
        <w:tcBorders>
          <w:top w:val="nil"/>
          <w:left w:val="single" w:color="4F81BD" w:themeColor="accent1" w:sz="4" w:space="0"/>
          <w:bottom w:val="nil"/>
          <w:right w:val="nil"/>
        </w:tcBorders>
        <w:shd w:val="clear" w:color="FFFFFF" w:fill="auto"/>
      </w:tcPr>
    </w:tblStylePr>
    <w:tblStylePr w:type="band1Vert">
      <w:tcPr>
        <w:shd w:val="clear" w:color="D2DFEE" w:themeColor="accent1" w:themeTint="40" w:fill="D2DFEE" w:themeFill="accent1" w:themeFillTint="40"/>
      </w:tcPr>
    </w:tblStylePr>
    <w:tblStylePr w:type="band1Horz">
      <w:rPr>
        <w:rFonts w:ascii="Arial" w:hAnsi="Arial"/>
        <w:color w:val="2A4B71" w:themeColor="accent1" w:themeShade="94"/>
        <w:sz w:val="22"/>
      </w:rPr>
      <w:tcPr>
        <w:shd w:val="clear" w:color="D2DFEE" w:themeColor="accent1" w:themeTint="40" w:fill="D2DFEE" w:themeFill="accent1" w:themeFillTint="40"/>
      </w:tcPr>
    </w:tblStylePr>
    <w:tblStylePr w:type="band2Horz">
      <w:rPr>
        <w:rFonts w:ascii="Arial" w:hAnsi="Arial"/>
        <w:color w:val="2A4B71" w:themeColor="accent1" w:themeShade="94"/>
        <w:sz w:val="22"/>
      </w:rPr>
    </w:tblStylePr>
  </w:style>
  <w:style w:type="table" w:customStyle="1" w:styleId="173">
    <w:name w:val="List Table 7 Colorful - Accent 2"/>
    <w:basedOn w:val="37"/>
    <w:qFormat/>
    <w:uiPriority w:val="99"/>
    <w:pPr>
      <w:spacing w:after="0" w:line="240" w:lineRule="auto"/>
    </w:pPr>
    <w:tblPr>
      <w:tblBorders>
        <w:right w:val="single" w:color="D99795" w:themeColor="accent2" w:themeTint="97" w:sz="4" w:space="0"/>
      </w:tblBorders>
    </w:tblPr>
    <w:tblStylePr w:type="firstRow">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single" w:color="D99795" w:themeColor="accent2" w:themeTint="97" w:sz="4" w:space="0"/>
          <w:right w:val="nil"/>
        </w:tcBorders>
        <w:shd w:val="clear" w:color="FFFFFF" w:themeColor="light1" w:fill="FFFFFF" w:themeFill="light1"/>
      </w:tcPr>
    </w:tblStylePr>
    <w:tblStylePr w:type="lastRow">
      <w:rPr>
        <w:rFonts w:ascii="Arial" w:hAnsi="Arial"/>
        <w:i/>
        <w:color w:val="DA9896" w:themeColor="accent2" w:themeTint="96"/>
        <w:sz w:val="22"/>
        <w14:textFill>
          <w14:solidFill>
            <w14:schemeClr w14:val="accent2">
              <w14:lumMod w14:val="59000"/>
              <w14:lumOff w14:val="41000"/>
            </w14:schemeClr>
          </w14:solidFill>
        </w14:textFill>
      </w:rPr>
      <w:tcPr>
        <w:tcBorders>
          <w:top w:val="single" w:color="D99795" w:themeColor="accent2" w:themeTint="97" w:sz="4" w:space="0"/>
          <w:left w:val="nil"/>
          <w:bottom w:val="nil"/>
          <w:right w:val="nil"/>
        </w:tcBorders>
        <w:shd w:val="clear" w:color="FFFFFF" w:themeColor="light1" w:fill="FFFFFF" w:themeFill="light1"/>
      </w:tcPr>
    </w:tblStylePr>
    <w:tblStylePr w:type="firstCol">
      <w:pPr>
        <w:jc w:val="right"/>
      </w:pPr>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nil"/>
          <w:bottom w:val="nil"/>
          <w:right w:val="single" w:color="D99795" w:themeColor="accent2" w:themeTint="97" w:sz="4" w:space="0"/>
        </w:tcBorders>
        <w:shd w:val="clear" w:color="FFFFFF" w:fill="auto"/>
      </w:tcPr>
    </w:tblStylePr>
    <w:tblStylePr w:type="lastCol">
      <w:rPr>
        <w:rFonts w:ascii="Arial" w:hAnsi="Arial"/>
        <w:i/>
        <w:color w:val="DA9896" w:themeColor="accent2" w:themeTint="96"/>
        <w:sz w:val="22"/>
        <w14:textFill>
          <w14:solidFill>
            <w14:schemeClr w14:val="accent2">
              <w14:lumMod w14:val="59000"/>
              <w14:lumOff w14:val="41000"/>
            </w14:schemeClr>
          </w14:solidFill>
        </w14:textFill>
      </w:rPr>
      <w:tcPr>
        <w:tcBorders>
          <w:top w:val="nil"/>
          <w:left w:val="single" w:color="D99795" w:themeColor="accent2" w:themeTint="97" w:sz="4" w:space="0"/>
          <w:bottom w:val="nil"/>
          <w:right w:val="nil"/>
        </w:tcBorders>
        <w:shd w:val="clear" w:color="FFFFFF" w:fill="auto"/>
      </w:tcPr>
    </w:tblStylePr>
    <w:tblStylePr w:type="band1Vert">
      <w:tcPr>
        <w:shd w:val="clear" w:color="EFD3D2" w:themeColor="accent2" w:themeTint="40" w:fill="EFD3D2" w:themeFill="accent2" w:themeFillTint="40"/>
      </w:tcPr>
    </w:tblStylePr>
    <w:tblStylePr w:type="band1Horz">
      <w:rPr>
        <w:rFonts w:ascii="Arial" w:hAnsi="Arial"/>
        <w:color w:val="DA9896" w:themeColor="accent2" w:themeTint="96"/>
        <w:sz w:val="22"/>
        <w14:textFill>
          <w14:solidFill>
            <w14:schemeClr w14:val="accent2">
              <w14:lumMod w14:val="59000"/>
              <w14:lumOff w14:val="41000"/>
            </w14:schemeClr>
          </w14:solidFill>
        </w14:textFill>
      </w:rPr>
      <w:tcPr>
        <w:shd w:val="clear" w:color="EFD3D2" w:themeColor="accent2" w:themeTint="40" w:fill="EFD3D2" w:themeFill="accent2" w:themeFillTint="40"/>
      </w:tcPr>
    </w:tblStylePr>
    <w:tblStylePr w:type="band2Horz">
      <w:rPr>
        <w:rFonts w:ascii="Arial" w:hAnsi="Arial"/>
        <w:color w:val="DA9896" w:themeColor="accent2" w:themeTint="96"/>
        <w:sz w:val="22"/>
        <w14:textFill>
          <w14:solidFill>
            <w14:schemeClr w14:val="accent2">
              <w14:lumMod w14:val="59000"/>
              <w14:lumOff w14:val="41000"/>
            </w14:schemeClr>
          </w14:solidFill>
        </w14:textFill>
      </w:rPr>
    </w:tblStylePr>
  </w:style>
  <w:style w:type="table" w:customStyle="1" w:styleId="174">
    <w:name w:val="List Table 7 Colorful - Accent 3"/>
    <w:basedOn w:val="37"/>
    <w:qFormat/>
    <w:uiPriority w:val="99"/>
    <w:pPr>
      <w:spacing w:after="0" w:line="240" w:lineRule="auto"/>
    </w:pPr>
    <w:tblPr>
      <w:tblBorders>
        <w:right w:val="single" w:color="C3D69C" w:themeColor="accent3" w:themeTint="98" w:sz="4" w:space="0"/>
      </w:tblBorders>
    </w:tblPr>
    <w:tblStylePr w:type="firstRow">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single" w:color="C3D69C" w:themeColor="accent3" w:themeTint="98" w:sz="4" w:space="0"/>
          <w:right w:val="nil"/>
        </w:tcBorders>
        <w:shd w:val="clear" w:color="FFFFFF" w:themeColor="light1" w:fill="FFFFFF" w:themeFill="light1"/>
      </w:tcPr>
    </w:tblStylePr>
    <w:tblStylePr w:type="lastRow">
      <w:rPr>
        <w:rFonts w:ascii="Arial" w:hAnsi="Arial"/>
        <w:i/>
        <w:color w:val="C3D69B" w:themeColor="accent3" w:themeTint="99"/>
        <w:sz w:val="22"/>
        <w14:textFill>
          <w14:solidFill>
            <w14:schemeClr w14:val="accent3">
              <w14:lumMod w14:val="60000"/>
              <w14:lumOff w14:val="40000"/>
            </w14:schemeClr>
          </w14:solidFill>
        </w14:textFill>
      </w:rPr>
      <w:tcPr>
        <w:tcBorders>
          <w:top w:val="single" w:color="C3D69C" w:themeColor="accent3" w:themeTint="98" w:sz="4" w:space="0"/>
          <w:left w:val="nil"/>
          <w:bottom w:val="nil"/>
          <w:right w:val="nil"/>
        </w:tcBorders>
        <w:shd w:val="clear" w:color="FFFFFF" w:themeColor="light1" w:fill="FFFFFF" w:themeFill="light1"/>
      </w:tcPr>
    </w:tblStylePr>
    <w:tblStylePr w:type="firstCol">
      <w:pPr>
        <w:jc w:val="right"/>
      </w:pPr>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nil"/>
          <w:bottom w:val="nil"/>
          <w:right w:val="single" w:color="C3D69C" w:themeColor="accent3" w:themeTint="98" w:sz="4" w:space="0"/>
        </w:tcBorders>
        <w:shd w:val="clear" w:color="FFFFFF" w:fill="auto"/>
      </w:tcPr>
    </w:tblStylePr>
    <w:tblStylePr w:type="lastCol">
      <w:rPr>
        <w:rFonts w:ascii="Arial" w:hAnsi="Arial"/>
        <w:i/>
        <w:color w:val="C3D69B" w:themeColor="accent3" w:themeTint="99"/>
        <w:sz w:val="22"/>
        <w14:textFill>
          <w14:solidFill>
            <w14:schemeClr w14:val="accent3">
              <w14:lumMod w14:val="60000"/>
              <w14:lumOff w14:val="40000"/>
            </w14:schemeClr>
          </w14:solidFill>
        </w14:textFill>
      </w:rPr>
      <w:tcPr>
        <w:tcBorders>
          <w:top w:val="nil"/>
          <w:left w:val="single" w:color="C3D69C" w:themeColor="accent3" w:themeTint="98" w:sz="4" w:space="0"/>
          <w:bottom w:val="nil"/>
          <w:right w:val="nil"/>
        </w:tcBorders>
        <w:shd w:val="clear" w:color="FFFFFF" w:fill="auto"/>
      </w:tcPr>
    </w:tblStylePr>
    <w:tblStylePr w:type="band1Vert">
      <w:tcPr>
        <w:shd w:val="clear" w:color="E5EDD5" w:themeColor="accent3" w:themeTint="40" w:fill="E5EDD5" w:themeFill="accent3" w:themeFillTint="40"/>
      </w:tcPr>
    </w:tblStylePr>
    <w:tblStylePr w:type="band1Horz">
      <w:rPr>
        <w:rFonts w:ascii="Arial" w:hAnsi="Arial"/>
        <w:color w:val="C3D69B" w:themeColor="accent3" w:themeTint="99"/>
        <w:sz w:val="22"/>
        <w14:textFill>
          <w14:solidFill>
            <w14:schemeClr w14:val="accent3">
              <w14:lumMod w14:val="60000"/>
              <w14:lumOff w14:val="40000"/>
            </w14:schemeClr>
          </w14:solidFill>
        </w14:textFill>
      </w:rPr>
      <w:tcPr>
        <w:shd w:val="clear" w:color="E5EDD5" w:themeColor="accent3" w:themeTint="40" w:fill="E5EDD5" w:themeFill="accent3" w:themeFillTint="40"/>
      </w:tcPr>
    </w:tblStylePr>
    <w:tblStylePr w:type="band2Horz">
      <w:rPr>
        <w:rFonts w:ascii="Arial" w:hAnsi="Arial"/>
        <w:color w:val="C3D69B" w:themeColor="accent3" w:themeTint="99"/>
        <w:sz w:val="22"/>
        <w14:textFill>
          <w14:solidFill>
            <w14:schemeClr w14:val="accent3">
              <w14:lumMod w14:val="60000"/>
              <w14:lumOff w14:val="40000"/>
            </w14:schemeClr>
          </w14:solidFill>
        </w14:textFill>
      </w:rPr>
    </w:tblStylePr>
  </w:style>
  <w:style w:type="table" w:customStyle="1" w:styleId="175">
    <w:name w:val="List Table 7 Colorful - Accent 4"/>
    <w:basedOn w:val="37"/>
    <w:qFormat/>
    <w:uiPriority w:val="99"/>
    <w:pPr>
      <w:spacing w:after="0" w:line="240" w:lineRule="auto"/>
    </w:pPr>
    <w:tblPr>
      <w:tblBorders>
        <w:right w:val="single" w:color="B2A1C6" w:themeColor="accent4" w:themeTint="9A" w:sz="4" w:space="0"/>
      </w:tblBorders>
    </w:tblPr>
    <w:tblStylePr w:type="firstRow">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single" w:color="B2A1C6" w:themeColor="accent4" w:themeTint="9A" w:sz="4" w:space="0"/>
          <w:right w:val="nil"/>
        </w:tcBorders>
        <w:shd w:val="clear" w:color="FFFFFF" w:themeColor="light1" w:fill="FFFFFF" w:themeFill="light1"/>
      </w:tcPr>
    </w:tblStylePr>
    <w:tblStylePr w:type="lastRow">
      <w:rPr>
        <w:rFonts w:ascii="Arial" w:hAnsi="Arial"/>
        <w:i/>
        <w:color w:val="B3A2C7" w:themeColor="accent4" w:themeTint="99"/>
        <w:sz w:val="22"/>
        <w14:textFill>
          <w14:solidFill>
            <w14:schemeClr w14:val="accent4">
              <w14:lumMod w14:val="60000"/>
              <w14:lumOff w14:val="40000"/>
            </w14:schemeClr>
          </w14:solidFill>
        </w14:textFill>
      </w:rPr>
      <w:tcPr>
        <w:tcBorders>
          <w:top w:val="single" w:color="B2A1C6" w:themeColor="accent4" w:themeTint="9A" w:sz="4" w:space="0"/>
          <w:left w:val="nil"/>
          <w:bottom w:val="nil"/>
          <w:right w:val="nil"/>
        </w:tcBorders>
        <w:shd w:val="clear" w:color="FFFFFF" w:themeColor="light1" w:fill="FFFFFF" w:themeFill="light1"/>
      </w:tcPr>
    </w:tblStylePr>
    <w:tblStylePr w:type="firstCol">
      <w:pPr>
        <w:jc w:val="right"/>
      </w:pPr>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nil"/>
          <w:bottom w:val="nil"/>
          <w:right w:val="single" w:color="B2A1C6" w:themeColor="accent4" w:themeTint="9A" w:sz="4" w:space="0"/>
        </w:tcBorders>
        <w:shd w:val="clear" w:color="FFFFFF" w:fill="auto"/>
      </w:tcPr>
    </w:tblStylePr>
    <w:tblStylePr w:type="lastCol">
      <w:rPr>
        <w:rFonts w:ascii="Arial" w:hAnsi="Arial"/>
        <w:i/>
        <w:color w:val="B3A2C7" w:themeColor="accent4" w:themeTint="99"/>
        <w:sz w:val="22"/>
        <w14:textFill>
          <w14:solidFill>
            <w14:schemeClr w14:val="accent4">
              <w14:lumMod w14:val="60000"/>
              <w14:lumOff w14:val="40000"/>
            </w14:schemeClr>
          </w14:solidFill>
        </w14:textFill>
      </w:rPr>
      <w:tcPr>
        <w:tcBorders>
          <w:top w:val="nil"/>
          <w:left w:val="single" w:color="B2A1C6" w:themeColor="accent4" w:themeTint="9A" w:sz="4" w:space="0"/>
          <w:bottom w:val="nil"/>
          <w:right w:val="nil"/>
        </w:tcBorders>
        <w:shd w:val="clear" w:color="FFFFFF" w:fill="auto"/>
      </w:tcPr>
    </w:tblStylePr>
    <w:tblStylePr w:type="band1Vert">
      <w:tcPr>
        <w:shd w:val="clear" w:color="DFD8E7" w:themeColor="accent4" w:themeTint="40" w:fill="DFD8E7" w:themeFill="accent4" w:themeFillTint="40"/>
      </w:tcPr>
    </w:tblStylePr>
    <w:tblStylePr w:type="band1Horz">
      <w:rPr>
        <w:rFonts w:ascii="Arial" w:hAnsi="Arial"/>
        <w:color w:val="B3A2C7" w:themeColor="accent4" w:themeTint="99"/>
        <w:sz w:val="22"/>
        <w14:textFill>
          <w14:solidFill>
            <w14:schemeClr w14:val="accent4">
              <w14:lumMod w14:val="60000"/>
              <w14:lumOff w14:val="40000"/>
            </w14:schemeClr>
          </w14:solidFill>
        </w14:textFill>
      </w:rPr>
      <w:tcPr>
        <w:shd w:val="clear" w:color="DFD8E7" w:themeColor="accent4" w:themeTint="40" w:fill="DFD8E7" w:themeFill="accent4" w:themeFillTint="40"/>
      </w:tcPr>
    </w:tblStylePr>
    <w:tblStylePr w:type="band2Horz">
      <w:rPr>
        <w:rFonts w:ascii="Arial" w:hAnsi="Arial"/>
        <w:color w:val="B3A2C7" w:themeColor="accent4" w:themeTint="99"/>
        <w:sz w:val="22"/>
        <w14:textFill>
          <w14:solidFill>
            <w14:schemeClr w14:val="accent4">
              <w14:lumMod w14:val="60000"/>
              <w14:lumOff w14:val="40000"/>
            </w14:schemeClr>
          </w14:solidFill>
        </w14:textFill>
      </w:rPr>
    </w:tblStylePr>
  </w:style>
  <w:style w:type="table" w:customStyle="1" w:styleId="176">
    <w:name w:val="List Table 7 Colorful - Accent 5"/>
    <w:basedOn w:val="37"/>
    <w:qFormat/>
    <w:uiPriority w:val="99"/>
    <w:pPr>
      <w:spacing w:after="0" w:line="240" w:lineRule="auto"/>
    </w:pPr>
    <w:tblPr>
      <w:tblBorders>
        <w:right w:val="single" w:color="92CCDC" w:themeColor="accent5" w:themeTint="9A" w:sz="4" w:space="0"/>
      </w:tblBorders>
    </w:tblPr>
    <w:tblStylePr w:type="firstRow">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single" w:color="92CCDC" w:themeColor="accent5" w:themeTint="9A" w:sz="4" w:space="0"/>
          <w:right w:val="nil"/>
        </w:tcBorders>
        <w:shd w:val="clear" w:color="FFFFFF" w:themeColor="light1" w:fill="FFFFFF" w:themeFill="light1"/>
      </w:tcPr>
    </w:tblStylePr>
    <w:tblStylePr w:type="lastRow">
      <w:rPr>
        <w:rFonts w:ascii="Arial" w:hAnsi="Arial"/>
        <w:i/>
        <w:color w:val="93CDDD" w:themeColor="accent5" w:themeTint="99"/>
        <w:sz w:val="22"/>
        <w14:textFill>
          <w14:solidFill>
            <w14:schemeClr w14:val="accent5">
              <w14:lumMod w14:val="60000"/>
              <w14:lumOff w14:val="40000"/>
            </w14:schemeClr>
          </w14:solidFill>
        </w14:textFill>
      </w:rPr>
      <w:tcPr>
        <w:tcBorders>
          <w:top w:val="single" w:color="92CCDC" w:themeColor="accent5" w:themeTint="9A" w:sz="4" w:space="0"/>
          <w:left w:val="nil"/>
          <w:bottom w:val="nil"/>
          <w:right w:val="nil"/>
        </w:tcBorders>
        <w:shd w:val="clear" w:color="FFFFFF" w:themeColor="light1" w:fill="FFFFFF" w:themeFill="light1"/>
      </w:tcPr>
    </w:tblStylePr>
    <w:tblStylePr w:type="firstCol">
      <w:pPr>
        <w:jc w:val="right"/>
      </w:pPr>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nil"/>
          <w:bottom w:val="nil"/>
          <w:right w:val="single" w:color="92CCDC" w:themeColor="accent5" w:themeTint="9A" w:sz="4" w:space="0"/>
        </w:tcBorders>
        <w:shd w:val="clear" w:color="FFFFFF" w:fill="auto"/>
      </w:tcPr>
    </w:tblStylePr>
    <w:tblStylePr w:type="lastCol">
      <w:rPr>
        <w:rFonts w:ascii="Arial" w:hAnsi="Arial"/>
        <w:i/>
        <w:color w:val="93CDDD" w:themeColor="accent5" w:themeTint="99"/>
        <w:sz w:val="22"/>
        <w14:textFill>
          <w14:solidFill>
            <w14:schemeClr w14:val="accent5">
              <w14:lumMod w14:val="60000"/>
              <w14:lumOff w14:val="40000"/>
            </w14:schemeClr>
          </w14:solidFill>
        </w14:textFill>
      </w:rPr>
      <w:tcPr>
        <w:tcBorders>
          <w:top w:val="nil"/>
          <w:left w:val="single" w:color="92CCDC" w:themeColor="accent5" w:themeTint="9A" w:sz="4" w:space="0"/>
          <w:bottom w:val="nil"/>
          <w:right w:val="nil"/>
        </w:tcBorders>
        <w:shd w:val="clear" w:color="FFFFFF" w:fill="auto"/>
      </w:tcPr>
    </w:tblStylePr>
    <w:tblStylePr w:type="band1Vert">
      <w:tcPr>
        <w:shd w:val="clear" w:color="D1EAF0" w:themeColor="accent5" w:themeTint="40" w:fill="D1EAF0" w:themeFill="accent5" w:themeFillTint="40"/>
      </w:tcPr>
    </w:tblStylePr>
    <w:tblStylePr w:type="band1Horz">
      <w:rPr>
        <w:rFonts w:ascii="Arial" w:hAnsi="Arial"/>
        <w:color w:val="93CDDD" w:themeColor="accent5" w:themeTint="99"/>
        <w:sz w:val="22"/>
        <w14:textFill>
          <w14:solidFill>
            <w14:schemeClr w14:val="accent5">
              <w14:lumMod w14:val="60000"/>
              <w14:lumOff w14:val="40000"/>
            </w14:schemeClr>
          </w14:solidFill>
        </w14:textFill>
      </w:rPr>
      <w:tcPr>
        <w:shd w:val="clear" w:color="D1EAF0" w:themeColor="accent5" w:themeTint="40" w:fill="D1EAF0" w:themeFill="accent5" w:themeFillTint="40"/>
      </w:tcPr>
    </w:tblStylePr>
    <w:tblStylePr w:type="band2Horz">
      <w:rPr>
        <w:rFonts w:ascii="Arial" w:hAnsi="Arial"/>
        <w:color w:val="93CDDD" w:themeColor="accent5" w:themeTint="99"/>
        <w:sz w:val="22"/>
        <w14:textFill>
          <w14:solidFill>
            <w14:schemeClr w14:val="accent5">
              <w14:lumMod w14:val="60000"/>
              <w14:lumOff w14:val="40000"/>
            </w14:schemeClr>
          </w14:solidFill>
        </w14:textFill>
      </w:rPr>
    </w:tblStylePr>
  </w:style>
  <w:style w:type="table" w:customStyle="1" w:styleId="177">
    <w:name w:val="List Table 7 Colorful - Accent 6"/>
    <w:basedOn w:val="37"/>
    <w:qFormat/>
    <w:uiPriority w:val="99"/>
    <w:pPr>
      <w:spacing w:after="0" w:line="240" w:lineRule="auto"/>
    </w:pPr>
    <w:tblPr>
      <w:tblBorders>
        <w:right w:val="single" w:color="FAC090" w:themeColor="accent6" w:themeTint="98" w:sz="4" w:space="0"/>
      </w:tblBorders>
    </w:tblPr>
    <w:tblStylePr w:type="firstRow">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single" w:color="FAC090" w:themeColor="accent6" w:themeTint="98" w:sz="4" w:space="0"/>
          <w:right w:val="nil"/>
        </w:tcBorders>
        <w:shd w:val="clear" w:color="FFFFFF" w:themeColor="light1" w:fill="FFFFFF" w:themeFill="light1"/>
      </w:tcPr>
    </w:tblStylePr>
    <w:tblStylePr w:type="lastRow">
      <w:rPr>
        <w:rFonts w:ascii="Arial" w:hAnsi="Arial"/>
        <w:i/>
        <w:color w:val="FAC090" w:themeColor="accent6" w:themeTint="99"/>
        <w:sz w:val="22"/>
        <w14:textFill>
          <w14:solidFill>
            <w14:schemeClr w14:val="accent6">
              <w14:lumMod w14:val="60000"/>
              <w14:lumOff w14:val="40000"/>
            </w14:schemeClr>
          </w14:solidFill>
        </w14:textFill>
      </w:rPr>
      <w:tcPr>
        <w:tcBorders>
          <w:top w:val="single" w:color="FAC090" w:themeColor="accent6" w:themeTint="98" w:sz="4" w:space="0"/>
          <w:left w:val="nil"/>
          <w:bottom w:val="nil"/>
          <w:right w:val="nil"/>
        </w:tcBorders>
        <w:shd w:val="clear" w:color="FFFFFF" w:themeColor="light1" w:fill="FFFFFF" w:themeFill="light1"/>
      </w:tcPr>
    </w:tblStylePr>
    <w:tblStylePr w:type="firstCol">
      <w:pPr>
        <w:jc w:val="right"/>
      </w:pPr>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nil"/>
          <w:bottom w:val="nil"/>
          <w:right w:val="single" w:color="FAC090" w:themeColor="accent6" w:themeTint="98" w:sz="4" w:space="0"/>
        </w:tcBorders>
        <w:shd w:val="clear" w:color="FFFFFF" w:fill="auto"/>
      </w:tcPr>
    </w:tblStylePr>
    <w:tblStylePr w:type="lastCol">
      <w:rPr>
        <w:rFonts w:ascii="Arial" w:hAnsi="Arial"/>
        <w:i/>
        <w:color w:val="FAC090" w:themeColor="accent6" w:themeTint="99"/>
        <w:sz w:val="22"/>
        <w14:textFill>
          <w14:solidFill>
            <w14:schemeClr w14:val="accent6">
              <w14:lumMod w14:val="60000"/>
              <w14:lumOff w14:val="40000"/>
            </w14:schemeClr>
          </w14:solidFill>
        </w14:textFill>
      </w:rPr>
      <w:tcPr>
        <w:tcBorders>
          <w:top w:val="nil"/>
          <w:left w:val="single" w:color="FAC090" w:themeColor="accent6" w:themeTint="98" w:sz="4" w:space="0"/>
          <w:bottom w:val="nil"/>
          <w:right w:val="nil"/>
        </w:tcBorders>
        <w:shd w:val="clear" w:color="FFFFFF" w:fill="auto"/>
      </w:tcPr>
    </w:tblStylePr>
    <w:tblStylePr w:type="band1Vert">
      <w:tcPr>
        <w:shd w:val="clear" w:color="FCE4D0" w:themeColor="accent6" w:themeTint="40" w:fill="FCE4D0" w:themeFill="accent6" w:themeFillTint="40"/>
      </w:tcPr>
    </w:tblStylePr>
    <w:tblStylePr w:type="band1Horz">
      <w:rPr>
        <w:rFonts w:ascii="Arial" w:hAnsi="Arial"/>
        <w:color w:val="FAC090" w:themeColor="accent6" w:themeTint="99"/>
        <w:sz w:val="22"/>
        <w14:textFill>
          <w14:solidFill>
            <w14:schemeClr w14:val="accent6">
              <w14:lumMod w14:val="60000"/>
              <w14:lumOff w14:val="40000"/>
            </w14:schemeClr>
          </w14:solidFill>
        </w14:textFill>
      </w:rPr>
      <w:tcPr>
        <w:shd w:val="clear" w:color="FCE4D0" w:themeColor="accent6" w:themeTint="40" w:fill="FCE4D0" w:themeFill="accent6" w:themeFillTint="40"/>
      </w:tcPr>
    </w:tblStylePr>
    <w:tblStylePr w:type="band2Horz">
      <w:rPr>
        <w:rFonts w:ascii="Arial" w:hAnsi="Arial"/>
        <w:color w:val="FAC090" w:themeColor="accent6" w:themeTint="99"/>
        <w:sz w:val="22"/>
        <w14:textFill>
          <w14:solidFill>
            <w14:schemeClr w14:val="accent6">
              <w14:lumMod w14:val="60000"/>
              <w14:lumOff w14:val="40000"/>
            </w14:schemeClr>
          </w14:solidFill>
        </w14:textFill>
      </w:rPr>
    </w:tblStylePr>
  </w:style>
  <w:style w:type="table" w:customStyle="1" w:styleId="178">
    <w:name w:val="Lined - Accent"/>
    <w:basedOn w:val="37"/>
    <w:qFormat/>
    <w:uiPriority w:val="99"/>
    <w:pPr>
      <w:spacing w:after="0" w:line="240" w:lineRule="auto"/>
    </w:pPr>
    <w:rPr>
      <w:color w:val="404040"/>
    </w:r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79">
    <w:name w:val="Lined - Accent 1"/>
    <w:basedOn w:val="37"/>
    <w:qFormat/>
    <w:uiPriority w:val="99"/>
    <w:pPr>
      <w:spacing w:after="0" w:line="240" w:lineRule="auto"/>
    </w:pPr>
    <w:rPr>
      <w:color w:val="404040"/>
    </w:r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0">
    <w:name w:val="Lined - Accent 2"/>
    <w:basedOn w:val="37"/>
    <w:qFormat/>
    <w:uiPriority w:val="99"/>
    <w:pPr>
      <w:spacing w:after="0" w:line="240" w:lineRule="auto"/>
    </w:pPr>
    <w:rPr>
      <w:color w:val="404040"/>
    </w:r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1">
    <w:name w:val="Lined - Accent 3"/>
    <w:basedOn w:val="37"/>
    <w:qFormat/>
    <w:uiPriority w:val="99"/>
    <w:pPr>
      <w:spacing w:after="0" w:line="240" w:lineRule="auto"/>
    </w:pPr>
    <w:rPr>
      <w:color w:val="404040"/>
    </w:r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2">
    <w:name w:val="Lined - Accent 4"/>
    <w:basedOn w:val="37"/>
    <w:qFormat/>
    <w:uiPriority w:val="99"/>
    <w:pPr>
      <w:spacing w:after="0" w:line="240" w:lineRule="auto"/>
    </w:pPr>
    <w:rPr>
      <w:color w:val="404040"/>
    </w:r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83">
    <w:name w:val="Lined - Accent 5"/>
    <w:basedOn w:val="37"/>
    <w:qFormat/>
    <w:uiPriority w:val="99"/>
    <w:pPr>
      <w:spacing w:after="0" w:line="240" w:lineRule="auto"/>
    </w:pPr>
    <w:rPr>
      <w:color w:val="404040"/>
    </w:r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84">
    <w:name w:val="Lined - Accent 6"/>
    <w:basedOn w:val="37"/>
    <w:qFormat/>
    <w:uiPriority w:val="99"/>
    <w:pPr>
      <w:spacing w:after="0" w:line="240" w:lineRule="auto"/>
    </w:pPr>
    <w:rPr>
      <w:color w:val="404040"/>
    </w:r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85">
    <w:name w:val="Bordered &amp; Lined - Accent"/>
    <w:basedOn w:val="37"/>
    <w:qFormat/>
    <w:uiPriority w:val="99"/>
    <w:pPr>
      <w:spacing w:after="0" w:line="240" w:lineRule="auto"/>
    </w:pPr>
    <w:rPr>
      <w:color w:val="404040"/>
    </w:rPr>
    <w:tblPr>
      <w:tblBorders>
        <w:top w:val="single" w:color="585858" w:themeColor="text1" w:themeTint="A6" w:sz="4" w:space="0"/>
        <w:left w:val="single" w:color="585858" w:themeColor="text1" w:themeTint="A6" w:sz="4" w:space="0"/>
        <w:bottom w:val="single" w:color="585858" w:themeColor="text1" w:themeTint="A6" w:sz="4" w:space="0"/>
        <w:right w:val="single" w:color="585858" w:themeColor="text1" w:themeTint="A6" w:sz="4" w:space="0"/>
        <w:insideH w:val="single" w:color="585858" w:themeColor="text1" w:themeTint="A6" w:sz="4" w:space="0"/>
        <w:insideV w:val="single" w:color="585858" w:themeColor="text1" w:themeTint="A6" w:sz="4" w:space="0"/>
      </w:tblBorders>
    </w:tblPr>
    <w:tblStylePr w:type="firstRow">
      <w:rPr>
        <w:rFonts w:ascii="Arial" w:hAnsi="Arial"/>
        <w:color w:val="F2F2F2"/>
        <w:sz w:val="22"/>
      </w:rPr>
      <w:tcPr>
        <w:shd w:val="clear" w:color="7E7E7E" w:themeColor="text1" w:themeTint="80" w:fill="7E7E7E" w:themeFill="text1" w:themeFillTint="80"/>
      </w:tcPr>
    </w:tblStylePr>
    <w:tblStylePr w:type="lastRow">
      <w:rPr>
        <w:rFonts w:ascii="Arial" w:hAnsi="Arial"/>
        <w:color w:val="F2F2F2"/>
        <w:sz w:val="22"/>
      </w:rPr>
      <w:tcPr>
        <w:shd w:val="clear" w:color="7E7E7E" w:themeColor="text1" w:themeTint="80" w:fill="7E7E7E" w:themeFill="text1" w:themeFillTint="80"/>
      </w:tcPr>
    </w:tblStylePr>
    <w:tblStylePr w:type="firstCol">
      <w:rPr>
        <w:rFonts w:ascii="Arial" w:hAnsi="Arial"/>
        <w:color w:val="F2F2F2"/>
        <w:sz w:val="22"/>
      </w:rPr>
      <w:tcPr>
        <w:shd w:val="clear" w:color="7E7E7E" w:themeColor="text1" w:themeTint="80" w:fill="7E7E7E" w:themeFill="text1" w:themeFillTint="80"/>
      </w:tcPr>
    </w:tblStylePr>
    <w:tblStylePr w:type="lastCol">
      <w:rPr>
        <w:rFonts w:ascii="Arial" w:hAnsi="Arial"/>
        <w:color w:val="F2F2F2"/>
        <w:sz w:val="22"/>
      </w:rPr>
      <w:tcPr>
        <w:shd w:val="clear" w:color="7E7E7E" w:themeColor="text1" w:themeTint="80" w:fill="7E7E7E" w:themeFill="text1" w:themeFillTint="80"/>
      </w:tcPr>
    </w:tblStylePr>
    <w:tblStylePr w:type="band1Vert">
      <w:rPr>
        <w:rFonts w:ascii="Arial" w:hAnsi="Arial"/>
        <w:color w:val="404040"/>
        <w:sz w:val="22"/>
      </w:rPr>
    </w:tblStylePr>
    <w:tblStylePr w:type="band2Vert">
      <w:rPr>
        <w:rFonts w:ascii="Arial" w:hAnsi="Arial"/>
        <w:color w:val="404040"/>
        <w:sz w:val="22"/>
      </w:rPr>
      <w:tcPr>
        <w:shd w:val="clear" w:color="F1F1F1" w:themeColor="text1" w:themeTint="0D" w:fill="F1F1F1" w:themeFill="text1" w:themeFillTint="0D"/>
      </w:tcPr>
    </w:tblStylePr>
    <w:tblStylePr w:type="band1Horz">
      <w:rPr>
        <w:rFonts w:ascii="Arial" w:hAnsi="Arial"/>
        <w:color w:val="404040"/>
        <w:sz w:val="22"/>
      </w:rPr>
    </w:tblStylePr>
    <w:tblStylePr w:type="band2Horz">
      <w:rPr>
        <w:rFonts w:ascii="Arial" w:hAnsi="Arial"/>
        <w:color w:val="404040"/>
        <w:sz w:val="22"/>
      </w:rPr>
      <w:tcPr>
        <w:shd w:val="clear" w:color="F1F1F1" w:themeColor="text1" w:themeTint="0D" w:fill="F1F1F1" w:themeFill="text1" w:themeFillTint="0D"/>
      </w:tcPr>
    </w:tblStylePr>
  </w:style>
  <w:style w:type="table" w:customStyle="1" w:styleId="186">
    <w:name w:val="Bordered &amp; Lined - Accent 1"/>
    <w:basedOn w:val="37"/>
    <w:qFormat/>
    <w:uiPriority w:val="99"/>
    <w:pPr>
      <w:spacing w:after="0" w:line="240" w:lineRule="auto"/>
    </w:pPr>
    <w:rPr>
      <w:color w:val="404040"/>
    </w:rPr>
    <w:tblPr>
      <w:tblBorders>
        <w:top w:val="single" w:color="2A4B71" w:themeColor="accent1" w:themeShade="95" w:sz="4" w:space="0"/>
        <w:left w:val="single" w:color="2A4B71" w:themeColor="accent1" w:themeShade="95" w:sz="4" w:space="0"/>
        <w:bottom w:val="single" w:color="2A4B71" w:themeColor="accent1" w:themeShade="95" w:sz="4" w:space="0"/>
        <w:right w:val="single" w:color="2A4B71" w:themeColor="accent1" w:themeShade="95" w:sz="4" w:space="0"/>
        <w:insideH w:val="single" w:color="2A4B71" w:themeColor="accent1" w:themeShade="95" w:sz="4" w:space="0"/>
        <w:insideV w:val="single" w:color="2A4B71" w:themeColor="accent1" w:themeShade="95" w:sz="4" w:space="0"/>
      </w:tblBorders>
    </w:tblPr>
    <w:tblStylePr w:type="firstRow">
      <w:rPr>
        <w:rFonts w:ascii="Arial" w:hAnsi="Arial"/>
        <w:color w:val="F2F2F2"/>
        <w:sz w:val="22"/>
      </w:rPr>
      <w:tcPr>
        <w:shd w:val="clear" w:color="5D8BC2" w:themeColor="accent1" w:themeTint="EA" w:fill="5D8BC2" w:themeFill="accent1" w:themeFillTint="EA"/>
      </w:tcPr>
    </w:tblStylePr>
    <w:tblStylePr w:type="lastRow">
      <w:rPr>
        <w:rFonts w:ascii="Arial" w:hAnsi="Arial"/>
        <w:color w:val="F2F2F2"/>
        <w:sz w:val="22"/>
      </w:rPr>
      <w:tcPr>
        <w:shd w:val="clear" w:color="5D8BC2" w:themeColor="accent1" w:themeTint="EA" w:fill="5D8BC2" w:themeFill="accent1" w:themeFillTint="EA"/>
      </w:tcPr>
    </w:tblStylePr>
    <w:tblStylePr w:type="firstCol">
      <w:rPr>
        <w:rFonts w:ascii="Arial" w:hAnsi="Arial"/>
        <w:color w:val="F2F2F2"/>
        <w:sz w:val="22"/>
      </w:rPr>
      <w:tcPr>
        <w:shd w:val="clear" w:color="5D8BC2" w:themeColor="accent1" w:themeTint="EA" w:fill="5D8BC2" w:themeFill="accent1" w:themeFillTint="EA"/>
      </w:tcPr>
    </w:tblStylePr>
    <w:tblStylePr w:type="lastCol">
      <w:rPr>
        <w:rFonts w:ascii="Arial" w:hAnsi="Arial"/>
        <w:color w:val="F2F2F2"/>
        <w:sz w:val="22"/>
      </w:rPr>
      <w:tcPr>
        <w:shd w:val="clear" w:color="5D8BC2" w:themeColor="accent1" w:themeTint="EA" w:fill="5D8BC2" w:themeFill="accent1" w:themeFillTint="EA"/>
      </w:tcPr>
    </w:tblStylePr>
    <w:tblStylePr w:type="band1Vert">
      <w:rPr>
        <w:rFonts w:ascii="Arial" w:hAnsi="Arial"/>
        <w:color w:val="404040"/>
        <w:sz w:val="22"/>
      </w:rPr>
    </w:tblStylePr>
    <w:tblStylePr w:type="band2Vert">
      <w:rPr>
        <w:rFonts w:ascii="Arial" w:hAnsi="Arial"/>
        <w:color w:val="404040"/>
        <w:sz w:val="22"/>
      </w:rPr>
      <w:tcPr>
        <w:shd w:val="clear" w:color="C7D7EA" w:themeColor="accent1" w:themeTint="50" w:fill="C7D7EA" w:themeFill="accent1" w:themeFillTint="50"/>
      </w:tcPr>
    </w:tblStylePr>
    <w:tblStylePr w:type="band1Horz">
      <w:rPr>
        <w:rFonts w:ascii="Arial" w:hAnsi="Arial"/>
        <w:color w:val="404040"/>
        <w:sz w:val="22"/>
      </w:rPr>
    </w:tblStylePr>
    <w:tblStylePr w:type="band2Horz">
      <w:rPr>
        <w:rFonts w:ascii="Arial" w:hAnsi="Arial"/>
        <w:color w:val="404040"/>
        <w:sz w:val="22"/>
      </w:rPr>
      <w:tcPr>
        <w:shd w:val="clear" w:color="C7D7EA" w:themeColor="accent1" w:themeTint="50" w:fill="C7D7EA" w:themeFill="accent1" w:themeFillTint="50"/>
      </w:tcPr>
    </w:tblStylePr>
  </w:style>
  <w:style w:type="table" w:customStyle="1" w:styleId="187">
    <w:name w:val="Bordered &amp; Lined - Accent 2"/>
    <w:basedOn w:val="37"/>
    <w:qFormat/>
    <w:uiPriority w:val="99"/>
    <w:pPr>
      <w:spacing w:after="0" w:line="240" w:lineRule="auto"/>
    </w:pPr>
    <w:rPr>
      <w:color w:val="404040"/>
    </w:rPr>
    <w:tblPr>
      <w:tblBorders>
        <w:top w:val="single" w:color="742B29" w:themeColor="accent2" w:themeShade="95" w:sz="4" w:space="0"/>
        <w:left w:val="single" w:color="742B29" w:themeColor="accent2" w:themeShade="95" w:sz="4" w:space="0"/>
        <w:bottom w:val="single" w:color="742B29" w:themeColor="accent2" w:themeShade="95" w:sz="4" w:space="0"/>
        <w:right w:val="single" w:color="742B29" w:themeColor="accent2" w:themeShade="95" w:sz="4" w:space="0"/>
        <w:insideH w:val="single" w:color="742B29" w:themeColor="accent2" w:themeShade="95" w:sz="4" w:space="0"/>
        <w:insideV w:val="single" w:color="742B29" w:themeColor="accent2" w:themeShade="95" w:sz="4" w:space="0"/>
      </w:tblBorders>
    </w:tblPr>
    <w:tblStylePr w:type="firstRow">
      <w:rPr>
        <w:rFonts w:ascii="Arial" w:hAnsi="Arial"/>
        <w:color w:val="F2F2F2"/>
        <w:sz w:val="22"/>
      </w:rPr>
      <w:tcPr>
        <w:shd w:val="clear" w:color="D99795" w:themeColor="accent2" w:themeTint="97" w:fill="D99795" w:themeFill="accent2" w:themeFillTint="97"/>
      </w:tcPr>
    </w:tblStylePr>
    <w:tblStylePr w:type="lastRow">
      <w:rPr>
        <w:rFonts w:ascii="Arial" w:hAnsi="Arial"/>
        <w:color w:val="F2F2F2"/>
        <w:sz w:val="22"/>
      </w:rPr>
      <w:tcPr>
        <w:shd w:val="clear" w:color="D99795" w:themeColor="accent2" w:themeTint="97" w:fill="D99795" w:themeFill="accent2" w:themeFillTint="97"/>
      </w:tcPr>
    </w:tblStylePr>
    <w:tblStylePr w:type="firstCol">
      <w:rPr>
        <w:rFonts w:ascii="Arial" w:hAnsi="Arial"/>
        <w:color w:val="F2F2F2"/>
        <w:sz w:val="22"/>
      </w:rPr>
      <w:tcPr>
        <w:shd w:val="clear" w:color="D99795" w:themeColor="accent2" w:themeTint="97" w:fill="D99795" w:themeFill="accent2" w:themeFillTint="97"/>
      </w:tcPr>
    </w:tblStylePr>
    <w:tblStylePr w:type="lastCol">
      <w:rPr>
        <w:rFonts w:ascii="Arial" w:hAnsi="Arial"/>
        <w:color w:val="F2F2F2"/>
        <w:sz w:val="22"/>
      </w:rPr>
      <w:tcPr>
        <w:shd w:val="clear" w:color="D99795" w:themeColor="accent2" w:themeTint="97" w:fill="D99795" w:themeFill="accent2" w:themeFillTint="97"/>
      </w:tcPr>
    </w:tblStylePr>
    <w:tblStylePr w:type="band1Vert">
      <w:rPr>
        <w:rFonts w:ascii="Arial" w:hAnsi="Arial"/>
        <w:color w:val="404040"/>
        <w:sz w:val="22"/>
      </w:rPr>
    </w:tblStylePr>
    <w:tblStylePr w:type="band2Vert">
      <w:rPr>
        <w:rFonts w:ascii="Arial" w:hAnsi="Arial"/>
        <w:color w:val="404040"/>
        <w:sz w:val="22"/>
      </w:rPr>
      <w:tcPr>
        <w:shd w:val="clear" w:color="F2DCDC" w:themeColor="accent2" w:themeTint="32" w:fill="F2DCDC" w:themeFill="accent2" w:themeFillTint="32"/>
      </w:tcPr>
    </w:tblStylePr>
    <w:tblStylePr w:type="band1Horz">
      <w:rPr>
        <w:rFonts w:ascii="Arial" w:hAnsi="Arial"/>
        <w:color w:val="404040"/>
        <w:sz w:val="22"/>
      </w:rPr>
    </w:tblStylePr>
    <w:tblStylePr w:type="band2Horz">
      <w:rPr>
        <w:rFonts w:ascii="Arial" w:hAnsi="Arial"/>
        <w:color w:val="404040"/>
        <w:sz w:val="22"/>
      </w:rPr>
      <w:tcPr>
        <w:shd w:val="clear" w:color="F2DCDC" w:themeColor="accent2" w:themeTint="32" w:fill="F2DCDC" w:themeFill="accent2" w:themeFillTint="32"/>
      </w:tcPr>
    </w:tblStylePr>
  </w:style>
  <w:style w:type="table" w:customStyle="1" w:styleId="188">
    <w:name w:val="Bordered &amp; Lined - Accent 3"/>
    <w:basedOn w:val="37"/>
    <w:qFormat/>
    <w:uiPriority w:val="99"/>
    <w:pPr>
      <w:spacing w:after="0" w:line="240" w:lineRule="auto"/>
    </w:pPr>
    <w:rPr>
      <w:color w:val="404040"/>
    </w:rPr>
    <w:tblPr>
      <w:tblBorders>
        <w:top w:val="single" w:color="5C722E" w:themeColor="accent3" w:themeShade="95" w:sz="4" w:space="0"/>
        <w:left w:val="single" w:color="5C722E" w:themeColor="accent3" w:themeShade="95" w:sz="4" w:space="0"/>
        <w:bottom w:val="single" w:color="5C722E" w:themeColor="accent3" w:themeShade="95" w:sz="4" w:space="0"/>
        <w:right w:val="single" w:color="5C722E" w:themeColor="accent3" w:themeShade="95" w:sz="4" w:space="0"/>
        <w:insideH w:val="single" w:color="5C722E" w:themeColor="accent3" w:themeShade="95" w:sz="4" w:space="0"/>
        <w:insideV w:val="single" w:color="5C722E" w:themeColor="accent3" w:themeShade="95" w:sz="4" w:space="0"/>
      </w:tblBorders>
    </w:tblPr>
    <w:tblStylePr w:type="firstRow">
      <w:rPr>
        <w:rFonts w:ascii="Arial" w:hAnsi="Arial"/>
        <w:color w:val="F2F2F2"/>
        <w:sz w:val="22"/>
      </w:rPr>
      <w:tcPr>
        <w:shd w:val="clear" w:color="9BBB59" w:themeColor="accent3" w:themeTint="FE" w:fill="9BBB59" w:themeFill="accent3" w:themeFillTint="FE"/>
      </w:tcPr>
    </w:tblStylePr>
    <w:tblStylePr w:type="lastRow">
      <w:rPr>
        <w:rFonts w:ascii="Arial" w:hAnsi="Arial"/>
        <w:color w:val="F2F2F2"/>
        <w:sz w:val="22"/>
      </w:rPr>
      <w:tcPr>
        <w:shd w:val="clear" w:color="9BBB59" w:themeColor="accent3" w:themeTint="FE" w:fill="9BBB59" w:themeFill="accent3" w:themeFillTint="FE"/>
      </w:tcPr>
    </w:tblStylePr>
    <w:tblStylePr w:type="firstCol">
      <w:rPr>
        <w:rFonts w:ascii="Arial" w:hAnsi="Arial"/>
        <w:color w:val="F2F2F2"/>
        <w:sz w:val="22"/>
      </w:rPr>
      <w:tcPr>
        <w:shd w:val="clear" w:color="9BBB59" w:themeColor="accent3" w:themeTint="FE" w:fill="9BBB59" w:themeFill="accent3" w:themeFillTint="FE"/>
      </w:tcPr>
    </w:tblStylePr>
    <w:tblStylePr w:type="lastCol">
      <w:rPr>
        <w:rFonts w:ascii="Arial" w:hAnsi="Arial"/>
        <w:color w:val="F2F2F2"/>
        <w:sz w:val="22"/>
      </w:rPr>
      <w:tcPr>
        <w:shd w:val="clear" w:color="9BBB59" w:themeColor="accent3" w:themeTint="FE" w:fill="9BBB59" w:themeFill="accent3" w:themeFillTint="FE"/>
      </w:tcPr>
    </w:tblStylePr>
    <w:tblStylePr w:type="band1Vert">
      <w:rPr>
        <w:rFonts w:ascii="Arial" w:hAnsi="Arial"/>
        <w:color w:val="404040"/>
        <w:sz w:val="22"/>
      </w:rPr>
    </w:tblStylePr>
    <w:tblStylePr w:type="band2Vert">
      <w:rPr>
        <w:rFonts w:ascii="Arial" w:hAnsi="Arial"/>
        <w:color w:val="404040"/>
        <w:sz w:val="22"/>
      </w:rPr>
      <w:tcPr>
        <w:shd w:val="clear" w:color="EAF1DD" w:themeColor="accent3" w:themeTint="34" w:fill="EAF1DD" w:themeFill="accent3" w:themeFillTint="34"/>
      </w:tcPr>
    </w:tblStylePr>
    <w:tblStylePr w:type="band1Horz">
      <w:rPr>
        <w:rFonts w:ascii="Arial" w:hAnsi="Arial"/>
        <w:color w:val="404040"/>
        <w:sz w:val="22"/>
      </w:rPr>
    </w:tblStylePr>
    <w:tblStylePr w:type="band2Horz">
      <w:rPr>
        <w:rFonts w:ascii="Arial" w:hAnsi="Arial"/>
        <w:color w:val="404040"/>
        <w:sz w:val="22"/>
      </w:rPr>
      <w:tcPr>
        <w:shd w:val="clear" w:color="EAF1DD" w:themeColor="accent3" w:themeTint="34" w:fill="EAF1DD" w:themeFill="accent3" w:themeFillTint="34"/>
      </w:tcPr>
    </w:tblStylePr>
  </w:style>
  <w:style w:type="table" w:customStyle="1" w:styleId="189">
    <w:name w:val="Bordered &amp; Lined - Accent 4"/>
    <w:basedOn w:val="37"/>
    <w:qFormat/>
    <w:uiPriority w:val="99"/>
    <w:pPr>
      <w:spacing w:after="0" w:line="240" w:lineRule="auto"/>
    </w:pPr>
    <w:rPr>
      <w:color w:val="404040"/>
    </w:rPr>
    <w:tblPr>
      <w:tblBorders>
        <w:top w:val="single" w:color="4A395F" w:themeColor="accent4" w:themeShade="95" w:sz="4" w:space="0"/>
        <w:left w:val="single" w:color="4A395F" w:themeColor="accent4" w:themeShade="95" w:sz="4" w:space="0"/>
        <w:bottom w:val="single" w:color="4A395F" w:themeColor="accent4" w:themeShade="95" w:sz="4" w:space="0"/>
        <w:right w:val="single" w:color="4A395F" w:themeColor="accent4" w:themeShade="95" w:sz="4" w:space="0"/>
        <w:insideH w:val="single" w:color="4A395F" w:themeColor="accent4" w:themeShade="95" w:sz="4" w:space="0"/>
        <w:insideV w:val="single" w:color="4A395F" w:themeColor="accent4" w:themeShade="95" w:sz="4" w:space="0"/>
      </w:tblBorders>
    </w:tblPr>
    <w:tblStylePr w:type="firstRow">
      <w:rPr>
        <w:rFonts w:ascii="Arial" w:hAnsi="Arial"/>
        <w:color w:val="F2F2F2"/>
        <w:sz w:val="22"/>
      </w:rPr>
      <w:tcPr>
        <w:shd w:val="clear" w:color="B2A1C6" w:themeColor="accent4" w:themeTint="9A" w:fill="B2A1C6" w:themeFill="accent4" w:themeFillTint="9A"/>
      </w:tcPr>
    </w:tblStylePr>
    <w:tblStylePr w:type="lastRow">
      <w:rPr>
        <w:rFonts w:ascii="Arial" w:hAnsi="Arial"/>
        <w:color w:val="F2F2F2"/>
        <w:sz w:val="22"/>
      </w:rPr>
      <w:tcPr>
        <w:shd w:val="clear" w:color="B2A1C6" w:themeColor="accent4" w:themeTint="9A" w:fill="B2A1C6" w:themeFill="accent4" w:themeFillTint="9A"/>
      </w:tcPr>
    </w:tblStylePr>
    <w:tblStylePr w:type="firstCol">
      <w:rPr>
        <w:rFonts w:ascii="Arial" w:hAnsi="Arial"/>
        <w:color w:val="F2F2F2"/>
        <w:sz w:val="22"/>
      </w:rPr>
      <w:tcPr>
        <w:shd w:val="clear" w:color="B2A1C6" w:themeColor="accent4" w:themeTint="9A" w:fill="B2A1C6" w:themeFill="accent4" w:themeFillTint="9A"/>
      </w:tcPr>
    </w:tblStylePr>
    <w:tblStylePr w:type="lastCol">
      <w:rPr>
        <w:rFonts w:ascii="Arial" w:hAnsi="Arial"/>
        <w:color w:val="F2F2F2"/>
        <w:sz w:val="22"/>
      </w:rPr>
      <w:tcPr>
        <w:shd w:val="clear" w:color="B2A1C6" w:themeColor="accent4" w:themeTint="9A" w:fill="B2A1C6" w:themeFill="accent4" w:themeFillTint="9A"/>
      </w:tcPr>
    </w:tblStylePr>
    <w:tblStylePr w:type="band1Vert">
      <w:rPr>
        <w:rFonts w:ascii="Arial" w:hAnsi="Arial"/>
        <w:color w:val="404040"/>
        <w:sz w:val="22"/>
      </w:rPr>
    </w:tblStylePr>
    <w:tblStylePr w:type="band2Vert">
      <w:rPr>
        <w:rFonts w:ascii="Arial" w:hAnsi="Arial"/>
        <w:color w:val="404040"/>
        <w:sz w:val="22"/>
      </w:rPr>
      <w:tcPr>
        <w:shd w:val="clear" w:color="E5DFEC" w:themeColor="accent4" w:themeTint="34" w:fill="E5DFEC" w:themeFill="accent4" w:themeFillTint="34"/>
      </w:tcPr>
    </w:tblStylePr>
    <w:tblStylePr w:type="band1Horz">
      <w:rPr>
        <w:rFonts w:ascii="Arial" w:hAnsi="Arial"/>
        <w:color w:val="404040"/>
        <w:sz w:val="22"/>
      </w:rPr>
    </w:tblStylePr>
    <w:tblStylePr w:type="band2Horz">
      <w:rPr>
        <w:rFonts w:ascii="Arial" w:hAnsi="Arial"/>
        <w:color w:val="404040"/>
        <w:sz w:val="22"/>
      </w:rPr>
      <w:tcPr>
        <w:shd w:val="clear" w:color="E5DFEC" w:themeColor="accent4" w:themeTint="34" w:fill="E5DFEC" w:themeFill="accent4" w:themeFillTint="34"/>
      </w:tcPr>
    </w:tblStylePr>
  </w:style>
  <w:style w:type="table" w:customStyle="1" w:styleId="190">
    <w:name w:val="Bordered &amp; Lined - Accent 5"/>
    <w:basedOn w:val="37"/>
    <w:qFormat/>
    <w:uiPriority w:val="99"/>
    <w:pPr>
      <w:spacing w:after="0" w:line="240" w:lineRule="auto"/>
    </w:pPr>
    <w:rPr>
      <w:color w:val="404040"/>
    </w:rPr>
    <w:tblPr>
      <w:tblBorders>
        <w:top w:val="single" w:color="266779" w:themeColor="accent5" w:themeShade="95" w:sz="4" w:space="0"/>
        <w:left w:val="single" w:color="266779" w:themeColor="accent5" w:themeShade="95" w:sz="4" w:space="0"/>
        <w:bottom w:val="single" w:color="266779" w:themeColor="accent5" w:themeShade="95" w:sz="4" w:space="0"/>
        <w:right w:val="single" w:color="266779" w:themeColor="accent5" w:themeShade="95" w:sz="4" w:space="0"/>
        <w:insideH w:val="single" w:color="266779" w:themeColor="accent5" w:themeShade="95" w:sz="4" w:space="0"/>
        <w:insideV w:val="single" w:color="266779" w:themeColor="accent5" w:themeShade="95" w:sz="4" w:space="0"/>
      </w:tblBorders>
    </w:tblPr>
    <w:tblStylePr w:type="firstRow">
      <w:rPr>
        <w:rFonts w:ascii="Arial" w:hAnsi="Arial"/>
        <w:color w:val="F2F2F2"/>
        <w:sz w:val="22"/>
      </w:rPr>
      <w:tcPr>
        <w:shd w:val="clear" w:color="4BACC6" w:themeColor="accent5" w:fill="4BACC6" w:themeFill="accent5"/>
      </w:tcPr>
    </w:tblStylePr>
    <w:tblStylePr w:type="lastRow">
      <w:rPr>
        <w:rFonts w:ascii="Arial" w:hAnsi="Arial"/>
        <w:color w:val="F2F2F2"/>
        <w:sz w:val="22"/>
      </w:rPr>
      <w:tcPr>
        <w:shd w:val="clear" w:color="4BACC6" w:themeColor="accent5" w:fill="4BACC6" w:themeFill="accent5"/>
      </w:tcPr>
    </w:tblStylePr>
    <w:tblStylePr w:type="firstCol">
      <w:rPr>
        <w:rFonts w:ascii="Arial" w:hAnsi="Arial"/>
        <w:color w:val="F2F2F2"/>
        <w:sz w:val="22"/>
      </w:rPr>
      <w:tcPr>
        <w:shd w:val="clear" w:color="4BACC6" w:themeColor="accent5" w:fill="4BACC6" w:themeFill="accent5"/>
      </w:tcPr>
    </w:tblStylePr>
    <w:tblStylePr w:type="lastCol">
      <w:rPr>
        <w:rFonts w:ascii="Arial" w:hAnsi="Arial"/>
        <w:color w:val="F2F2F2"/>
        <w:sz w:val="22"/>
      </w:rPr>
      <w:tcPr>
        <w:shd w:val="clear" w:color="4BACC6" w:themeColor="accent5" w:fill="4BACC6" w:themeFill="accent5"/>
      </w:tcPr>
    </w:tblStylePr>
    <w:tblStylePr w:type="band1Vert">
      <w:rPr>
        <w:rFonts w:ascii="Arial" w:hAnsi="Arial"/>
        <w:color w:val="404040"/>
        <w:sz w:val="22"/>
      </w:rPr>
    </w:tblStylePr>
    <w:tblStylePr w:type="band2Vert">
      <w:rPr>
        <w:rFonts w:ascii="Arial" w:hAnsi="Arial"/>
        <w:color w:val="404040"/>
        <w:sz w:val="22"/>
      </w:rPr>
      <w:tcPr>
        <w:shd w:val="clear" w:color="DAEEF3" w:themeColor="accent5" w:themeTint="34" w:fill="DAEEF3" w:themeFill="accent5" w:themeFillTint="34"/>
      </w:tcPr>
    </w:tblStylePr>
    <w:tblStylePr w:type="band1Horz">
      <w:rPr>
        <w:rFonts w:ascii="Arial" w:hAnsi="Arial"/>
        <w:color w:val="404040"/>
        <w:sz w:val="22"/>
      </w:rPr>
    </w:tblStylePr>
    <w:tblStylePr w:type="band2Horz">
      <w:rPr>
        <w:rFonts w:ascii="Arial" w:hAnsi="Arial"/>
        <w:color w:val="404040"/>
        <w:sz w:val="22"/>
      </w:rPr>
      <w:tcPr>
        <w:shd w:val="clear" w:color="DAEEF3" w:themeColor="accent5" w:themeTint="34" w:fill="DAEEF3" w:themeFill="accent5" w:themeFillTint="34"/>
      </w:tcPr>
    </w:tblStylePr>
  </w:style>
  <w:style w:type="table" w:customStyle="1" w:styleId="191">
    <w:name w:val="Bordered &amp; Lined - Accent 6"/>
    <w:basedOn w:val="37"/>
    <w:qFormat/>
    <w:uiPriority w:val="99"/>
    <w:pPr>
      <w:spacing w:after="0" w:line="240" w:lineRule="auto"/>
    </w:pPr>
    <w:rPr>
      <w:color w:val="404040"/>
    </w:rPr>
    <w:tblPr>
      <w:tblBorders>
        <w:top w:val="single" w:color="B15407" w:themeColor="accent6" w:themeShade="95" w:sz="4" w:space="0"/>
        <w:left w:val="single" w:color="B15407" w:themeColor="accent6" w:themeShade="95" w:sz="4" w:space="0"/>
        <w:bottom w:val="single" w:color="B15407" w:themeColor="accent6" w:themeShade="95" w:sz="4" w:space="0"/>
        <w:right w:val="single" w:color="B15407" w:themeColor="accent6" w:themeShade="95" w:sz="4" w:space="0"/>
        <w:insideH w:val="single" w:color="B15407" w:themeColor="accent6" w:themeShade="95" w:sz="4" w:space="0"/>
        <w:insideV w:val="single" w:color="B15407" w:themeColor="accent6" w:themeShade="95" w:sz="4" w:space="0"/>
      </w:tblBorders>
    </w:tblPr>
    <w:tblStylePr w:type="firstRow">
      <w:rPr>
        <w:rFonts w:ascii="Arial" w:hAnsi="Arial"/>
        <w:color w:val="F2F2F2"/>
        <w:sz w:val="22"/>
      </w:rPr>
      <w:tcPr>
        <w:shd w:val="clear" w:color="F79646" w:themeColor="accent6" w:fill="F79646" w:themeFill="accent6"/>
      </w:tcPr>
    </w:tblStylePr>
    <w:tblStylePr w:type="lastRow">
      <w:rPr>
        <w:rFonts w:ascii="Arial" w:hAnsi="Arial"/>
        <w:color w:val="F2F2F2"/>
        <w:sz w:val="22"/>
      </w:rPr>
      <w:tcPr>
        <w:shd w:val="clear" w:color="F79646" w:themeColor="accent6" w:fill="F79646" w:themeFill="accent6"/>
      </w:tcPr>
    </w:tblStylePr>
    <w:tblStylePr w:type="firstCol">
      <w:rPr>
        <w:rFonts w:ascii="Arial" w:hAnsi="Arial"/>
        <w:color w:val="F2F2F2"/>
        <w:sz w:val="22"/>
      </w:rPr>
      <w:tcPr>
        <w:shd w:val="clear" w:color="F79646" w:themeColor="accent6" w:fill="F79646" w:themeFill="accent6"/>
      </w:tcPr>
    </w:tblStylePr>
    <w:tblStylePr w:type="lastCol">
      <w:rPr>
        <w:rFonts w:ascii="Arial" w:hAnsi="Arial"/>
        <w:color w:val="F2F2F2"/>
        <w:sz w:val="22"/>
      </w:rPr>
      <w:tcPr>
        <w:shd w:val="clear" w:color="F79646" w:themeColor="accent6" w:fill="F79646" w:themeFill="accent6"/>
      </w:tcPr>
    </w:tblStylePr>
    <w:tblStylePr w:type="band1Vert">
      <w:rPr>
        <w:rFonts w:ascii="Arial" w:hAnsi="Arial"/>
        <w:color w:val="404040"/>
        <w:sz w:val="22"/>
      </w:rPr>
    </w:tblStylePr>
    <w:tblStylePr w:type="band2Vert">
      <w:rPr>
        <w:rFonts w:ascii="Arial" w:hAnsi="Arial"/>
        <w:color w:val="404040"/>
        <w:sz w:val="22"/>
      </w:rPr>
      <w:tcPr>
        <w:shd w:val="clear" w:color="FDE9D9" w:themeColor="accent6" w:themeTint="34" w:fill="FDE9D9" w:themeFill="accent6" w:themeFillTint="34"/>
      </w:tcPr>
    </w:tblStylePr>
    <w:tblStylePr w:type="band1Horz">
      <w:rPr>
        <w:rFonts w:ascii="Arial" w:hAnsi="Arial"/>
        <w:color w:val="404040"/>
        <w:sz w:val="22"/>
      </w:rPr>
    </w:tblStylePr>
    <w:tblStylePr w:type="band2Horz">
      <w:rPr>
        <w:rFonts w:ascii="Arial" w:hAnsi="Arial"/>
        <w:color w:val="404040"/>
        <w:sz w:val="22"/>
      </w:rPr>
      <w:tcPr>
        <w:shd w:val="clear" w:color="FDE9D9" w:themeColor="accent6" w:themeTint="34" w:fill="FDE9D9" w:themeFill="accent6" w:themeFillTint="34"/>
      </w:tcPr>
    </w:tblStylePr>
  </w:style>
  <w:style w:type="table" w:customStyle="1" w:styleId="192">
    <w:name w:val="Bordered"/>
    <w:basedOn w:val="37"/>
    <w:qFormat/>
    <w:uiPriority w:val="99"/>
    <w:pPr>
      <w:spacing w:after="0" w:line="240" w:lineRule="auto"/>
    </w:pPr>
    <w:tblPr>
      <w:tbl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insideH w:val="single" w:color="D8D8D8" w:themeColor="text1" w:themeTint="26" w:sz="4" w:space="0"/>
        <w:insideV w:val="single" w:color="D8D8D8" w:themeColor="text1" w:themeTint="26" w:sz="4" w:space="0"/>
      </w:tblBorders>
    </w:tblPr>
    <w:tblStylePr w:type="firstRow">
      <w:rPr>
        <w:rFonts w:ascii="Arial" w:hAnsi="Arial"/>
        <w:color w:val="404040"/>
        <w:sz w:val="22"/>
      </w:rPr>
      <w:tcPr>
        <w:tcBorders>
          <w:bottom w:val="single" w:color="7E7E7E" w:themeColor="text1" w:themeTint="80" w:sz="12" w:space="0"/>
        </w:tcBorders>
      </w:tcPr>
    </w:tblStylePr>
    <w:tblStylePr w:type="lastRow">
      <w:rPr>
        <w:rFonts w:ascii="Arial" w:hAnsi="Arial"/>
        <w:color w:val="404040"/>
        <w:sz w:val="22"/>
      </w:rPr>
      <w:tcPr>
        <w:tcBorders>
          <w:top w:val="single" w:color="7E7E7E" w:themeColor="text1" w:themeTint="80"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7E7E7E" w:themeColor="text1" w:themeTint="80" w:sz="12" w:space="0"/>
        </w:tcBorders>
      </w:tcPr>
    </w:tblStylePr>
    <w:tblStylePr w:type="band1Horz">
      <w:rPr>
        <w:rFonts w:ascii="Arial" w:hAnsi="Arial"/>
        <w:color w:val="404040"/>
        <w:sz w:val="22"/>
      </w:rPr>
      <w:tcPr>
        <w:tcBorders>
          <w:top w:val="single" w:color="D8D8D8" w:themeColor="text1" w:themeTint="26" w:sz="4" w:space="0"/>
          <w:left w:val="single" w:color="D8D8D8" w:themeColor="text1" w:themeTint="26" w:sz="4" w:space="0"/>
          <w:bottom w:val="single" w:color="D8D8D8" w:themeColor="text1" w:themeTint="26" w:sz="4" w:space="0"/>
          <w:right w:val="single" w:color="D8D8D8" w:themeColor="text1" w:themeTint="26" w:sz="4" w:space="0"/>
        </w:tcBorders>
      </w:tcPr>
    </w:tblStylePr>
  </w:style>
  <w:style w:type="table" w:customStyle="1" w:styleId="193">
    <w:name w:val="Bordered - Accent 1"/>
    <w:basedOn w:val="37"/>
    <w:qFormat/>
    <w:uiPriority w:val="99"/>
    <w:pPr>
      <w:spacing w:after="0" w:line="240" w:lineRule="auto"/>
    </w:pPr>
    <w:tblPr>
      <w:tbl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insideH w:val="single" w:color="B7CCE4" w:themeColor="accent1" w:themeTint="67" w:sz="4" w:space="0"/>
        <w:insideV w:val="single" w:color="B7CCE4" w:themeColor="accent1" w:themeTint="67" w:sz="4" w:space="0"/>
      </w:tblBorders>
    </w:tblPr>
    <w:tblStylePr w:type="firstRow">
      <w:rPr>
        <w:rFonts w:ascii="Arial" w:hAnsi="Arial"/>
        <w:color w:val="404040"/>
        <w:sz w:val="22"/>
      </w:rPr>
      <w:tcPr>
        <w:tcBorders>
          <w:bottom w:val="single" w:color="4F81BD" w:themeColor="accent1" w:sz="12" w:space="0"/>
        </w:tcBorders>
      </w:tcPr>
    </w:tblStylePr>
    <w:tblStylePr w:type="lastRow">
      <w:rPr>
        <w:rFonts w:ascii="Arial" w:hAnsi="Arial"/>
        <w:color w:val="404040"/>
        <w:sz w:val="22"/>
      </w:rPr>
      <w:tcPr>
        <w:tcBorders>
          <w:top w:val="single" w:color="4F81BD" w:themeColor="accent1"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4F81BD" w:themeColor="accent1" w:sz="12" w:space="0"/>
        </w:tcBorders>
      </w:tcPr>
    </w:tblStylePr>
    <w:tblStylePr w:type="band1Horz">
      <w:rPr>
        <w:rFonts w:ascii="Arial" w:hAnsi="Arial"/>
        <w:color w:val="404040"/>
        <w:sz w:val="22"/>
      </w:rPr>
      <w:tcPr>
        <w:tcBorders>
          <w:top w:val="single" w:color="B7CCE4" w:themeColor="accent1" w:themeTint="67" w:sz="4" w:space="0"/>
          <w:left w:val="single" w:color="B7CCE4" w:themeColor="accent1" w:themeTint="67" w:sz="4" w:space="0"/>
          <w:bottom w:val="single" w:color="B7CCE4" w:themeColor="accent1" w:themeTint="67" w:sz="4" w:space="0"/>
          <w:right w:val="single" w:color="B7CCE4" w:themeColor="accent1" w:themeTint="67" w:sz="4" w:space="0"/>
        </w:tcBorders>
      </w:tcPr>
    </w:tblStylePr>
  </w:style>
  <w:style w:type="table" w:customStyle="1" w:styleId="194">
    <w:name w:val="Bordered - Accent 2"/>
    <w:basedOn w:val="37"/>
    <w:qFormat/>
    <w:uiPriority w:val="99"/>
    <w:pPr>
      <w:spacing w:after="0" w:line="240" w:lineRule="auto"/>
    </w:pPr>
    <w:tblPr>
      <w:tbl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insideH w:val="single" w:color="E5B8B7" w:themeColor="accent2" w:themeTint="67" w:sz="4" w:space="0"/>
        <w:insideV w:val="single" w:color="E5B8B7" w:themeColor="accent2" w:themeTint="67" w:sz="4" w:space="0"/>
      </w:tblBorders>
    </w:tblPr>
    <w:tblStylePr w:type="firstRow">
      <w:rPr>
        <w:rFonts w:ascii="Arial" w:hAnsi="Arial"/>
        <w:color w:val="404040"/>
        <w:sz w:val="22"/>
      </w:rPr>
      <w:tcPr>
        <w:tcBorders>
          <w:bottom w:val="single" w:color="D99795" w:themeColor="accent2" w:themeTint="97" w:sz="12" w:space="0"/>
        </w:tcBorders>
      </w:tcPr>
    </w:tblStylePr>
    <w:tblStylePr w:type="lastRow">
      <w:rPr>
        <w:rFonts w:ascii="Arial" w:hAnsi="Arial"/>
        <w:color w:val="404040"/>
        <w:sz w:val="22"/>
      </w:rPr>
      <w:tcPr>
        <w:tcBorders>
          <w:top w:val="single" w:color="D99795" w:themeColor="accent2" w:themeTint="97"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D99795" w:themeColor="accent2" w:themeTint="97" w:sz="12" w:space="0"/>
        </w:tcBorders>
      </w:tcPr>
    </w:tblStylePr>
    <w:tblStylePr w:type="band1Horz">
      <w:rPr>
        <w:rFonts w:ascii="Arial" w:hAnsi="Arial"/>
        <w:color w:val="404040"/>
        <w:sz w:val="22"/>
      </w:rPr>
      <w:tcPr>
        <w:tcBorders>
          <w:top w:val="single" w:color="E5B8B7" w:themeColor="accent2" w:themeTint="67" w:sz="4" w:space="0"/>
          <w:left w:val="single" w:color="E5B8B7" w:themeColor="accent2" w:themeTint="67" w:sz="4" w:space="0"/>
          <w:bottom w:val="single" w:color="E5B8B7" w:themeColor="accent2" w:themeTint="67" w:sz="4" w:space="0"/>
          <w:right w:val="single" w:color="E5B8B7" w:themeColor="accent2" w:themeTint="67" w:sz="4" w:space="0"/>
        </w:tcBorders>
      </w:tcPr>
    </w:tblStylePr>
  </w:style>
  <w:style w:type="table" w:customStyle="1" w:styleId="195">
    <w:name w:val="Bordered - Accent 3"/>
    <w:basedOn w:val="37"/>
    <w:qFormat/>
    <w:uiPriority w:val="99"/>
    <w:pPr>
      <w:spacing w:after="0" w:line="240" w:lineRule="auto"/>
    </w:pPr>
    <w:tblPr>
      <w:tbl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insideH w:val="single" w:color="D6E3BB" w:themeColor="accent3" w:themeTint="67" w:sz="4" w:space="0"/>
        <w:insideV w:val="single" w:color="D6E3BB" w:themeColor="accent3" w:themeTint="67" w:sz="4" w:space="0"/>
      </w:tblBorders>
    </w:tblPr>
    <w:tblStylePr w:type="firstRow">
      <w:rPr>
        <w:rFonts w:ascii="Arial" w:hAnsi="Arial"/>
        <w:color w:val="404040"/>
        <w:sz w:val="22"/>
      </w:rPr>
      <w:tcPr>
        <w:tcBorders>
          <w:bottom w:val="single" w:color="C3D69C" w:themeColor="accent3" w:themeTint="98" w:sz="12" w:space="0"/>
        </w:tcBorders>
      </w:tcPr>
    </w:tblStylePr>
    <w:tblStylePr w:type="lastRow">
      <w:rPr>
        <w:rFonts w:ascii="Arial" w:hAnsi="Arial"/>
        <w:color w:val="404040"/>
        <w:sz w:val="22"/>
      </w:rPr>
      <w:tcPr>
        <w:tcBorders>
          <w:top w:val="single" w:color="C3D69C" w:themeColor="accent3"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C3D69C" w:themeColor="accent3" w:themeTint="98" w:sz="12" w:space="0"/>
        </w:tcBorders>
      </w:tcPr>
    </w:tblStylePr>
    <w:tblStylePr w:type="band1Horz">
      <w:rPr>
        <w:rFonts w:ascii="Arial" w:hAnsi="Arial"/>
        <w:color w:val="404040"/>
        <w:sz w:val="22"/>
      </w:rPr>
      <w:tcPr>
        <w:tcBorders>
          <w:top w:val="single" w:color="D6E3BB" w:themeColor="accent3" w:themeTint="67" w:sz="4" w:space="0"/>
          <w:left w:val="single" w:color="D6E3BB" w:themeColor="accent3" w:themeTint="67" w:sz="4" w:space="0"/>
          <w:bottom w:val="single" w:color="D6E3BB" w:themeColor="accent3" w:themeTint="67" w:sz="4" w:space="0"/>
          <w:right w:val="single" w:color="D6E3BB" w:themeColor="accent3" w:themeTint="67" w:sz="4" w:space="0"/>
        </w:tcBorders>
      </w:tcPr>
    </w:tblStylePr>
  </w:style>
  <w:style w:type="table" w:customStyle="1" w:styleId="196">
    <w:name w:val="Bordered - Accent 4"/>
    <w:basedOn w:val="37"/>
    <w:qFormat/>
    <w:uiPriority w:val="99"/>
    <w:pPr>
      <w:spacing w:after="0" w:line="240" w:lineRule="auto"/>
    </w:pPr>
    <w:tblPr>
      <w:tbl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insideH w:val="single" w:color="CBC0D9" w:themeColor="accent4" w:themeTint="67" w:sz="4" w:space="0"/>
        <w:insideV w:val="single" w:color="CBC0D9" w:themeColor="accent4" w:themeTint="67" w:sz="4" w:space="0"/>
      </w:tblBorders>
    </w:tblPr>
    <w:tblStylePr w:type="firstRow">
      <w:rPr>
        <w:rFonts w:ascii="Arial" w:hAnsi="Arial"/>
        <w:color w:val="404040"/>
        <w:sz w:val="22"/>
      </w:rPr>
      <w:tcPr>
        <w:tcBorders>
          <w:bottom w:val="single" w:color="B2A1C6" w:themeColor="accent4" w:themeTint="9A" w:sz="12" w:space="0"/>
        </w:tcBorders>
      </w:tcPr>
    </w:tblStylePr>
    <w:tblStylePr w:type="lastRow">
      <w:rPr>
        <w:rFonts w:ascii="Arial" w:hAnsi="Arial"/>
        <w:color w:val="404040"/>
        <w:sz w:val="22"/>
      </w:rPr>
      <w:tcPr>
        <w:tcBorders>
          <w:top w:val="single" w:color="B2A1C6" w:themeColor="accent4"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B2A1C6" w:themeColor="accent4" w:themeTint="9A" w:sz="12" w:space="0"/>
        </w:tcBorders>
      </w:tcPr>
    </w:tblStylePr>
    <w:tblStylePr w:type="band1Horz">
      <w:rPr>
        <w:rFonts w:ascii="Arial" w:hAnsi="Arial"/>
        <w:color w:val="404040"/>
        <w:sz w:val="22"/>
      </w:rPr>
      <w:tcPr>
        <w:tcBorders>
          <w:top w:val="single" w:color="CBC0D9" w:themeColor="accent4" w:themeTint="67" w:sz="4" w:space="0"/>
          <w:left w:val="single" w:color="CBC0D9" w:themeColor="accent4" w:themeTint="67" w:sz="4" w:space="0"/>
          <w:bottom w:val="single" w:color="CBC0D9" w:themeColor="accent4" w:themeTint="67" w:sz="4" w:space="0"/>
          <w:right w:val="single" w:color="CBC0D9" w:themeColor="accent4" w:themeTint="67" w:sz="4" w:space="0"/>
        </w:tcBorders>
      </w:tcPr>
    </w:tblStylePr>
  </w:style>
  <w:style w:type="table" w:customStyle="1" w:styleId="197">
    <w:name w:val="Bordered - Accent 5"/>
    <w:basedOn w:val="37"/>
    <w:qFormat/>
    <w:uiPriority w:val="99"/>
    <w:pPr>
      <w:spacing w:after="0" w:line="240" w:lineRule="auto"/>
    </w:pPr>
    <w:tblPr>
      <w:tbl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insideH w:val="single" w:color="B6DDE7" w:themeColor="accent5" w:themeTint="67" w:sz="4" w:space="0"/>
        <w:insideV w:val="single" w:color="B6DDE7" w:themeColor="accent5" w:themeTint="67" w:sz="4" w:space="0"/>
      </w:tblBorders>
    </w:tblPr>
    <w:tblStylePr w:type="firstRow">
      <w:rPr>
        <w:rFonts w:ascii="Arial" w:hAnsi="Arial"/>
        <w:color w:val="404040"/>
        <w:sz w:val="22"/>
      </w:rPr>
      <w:tcPr>
        <w:tcBorders>
          <w:bottom w:val="single" w:color="92CCDC" w:themeColor="accent5" w:themeTint="9A" w:sz="12" w:space="0"/>
        </w:tcBorders>
      </w:tcPr>
    </w:tblStylePr>
    <w:tblStylePr w:type="lastRow">
      <w:rPr>
        <w:rFonts w:ascii="Arial" w:hAnsi="Arial"/>
        <w:color w:val="404040"/>
        <w:sz w:val="22"/>
      </w:rPr>
      <w:tcPr>
        <w:tcBorders>
          <w:top w:val="single" w:color="92CCDC" w:themeColor="accent5" w:themeTint="9A"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92CCDC" w:themeColor="accent5" w:themeTint="9A" w:sz="12" w:space="0"/>
        </w:tcBorders>
      </w:tcPr>
    </w:tblStylePr>
    <w:tblStylePr w:type="band1Horz">
      <w:rPr>
        <w:rFonts w:ascii="Arial" w:hAnsi="Arial"/>
        <w:color w:val="404040"/>
        <w:sz w:val="22"/>
      </w:rPr>
      <w:tcPr>
        <w:tcBorders>
          <w:top w:val="single" w:color="B6DDE7" w:themeColor="accent5" w:themeTint="67" w:sz="4" w:space="0"/>
          <w:left w:val="single" w:color="B6DDE7" w:themeColor="accent5" w:themeTint="67" w:sz="4" w:space="0"/>
          <w:bottom w:val="single" w:color="B6DDE7" w:themeColor="accent5" w:themeTint="67" w:sz="4" w:space="0"/>
          <w:right w:val="single" w:color="B6DDE7" w:themeColor="accent5" w:themeTint="67" w:sz="4" w:space="0"/>
        </w:tcBorders>
      </w:tcPr>
    </w:tblStylePr>
  </w:style>
  <w:style w:type="table" w:customStyle="1" w:styleId="198">
    <w:name w:val="Bordered - Accent 6"/>
    <w:basedOn w:val="37"/>
    <w:qFormat/>
    <w:uiPriority w:val="99"/>
    <w:pPr>
      <w:spacing w:after="0" w:line="240" w:lineRule="auto"/>
    </w:pPr>
    <w:tblPr>
      <w:tbl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insideH w:val="single" w:color="FBD4B4" w:themeColor="accent6" w:themeTint="67" w:sz="4" w:space="0"/>
        <w:insideV w:val="single" w:color="FBD4B4" w:themeColor="accent6" w:themeTint="67" w:sz="4" w:space="0"/>
      </w:tblBorders>
    </w:tblPr>
    <w:tblStylePr w:type="firstRow">
      <w:rPr>
        <w:rFonts w:ascii="Arial" w:hAnsi="Arial"/>
        <w:color w:val="404040"/>
        <w:sz w:val="22"/>
      </w:rPr>
      <w:tcPr>
        <w:tcBorders>
          <w:bottom w:val="single" w:color="FAC090" w:themeColor="accent6" w:themeTint="98" w:sz="12" w:space="0"/>
        </w:tcBorders>
      </w:tcPr>
    </w:tblStylePr>
    <w:tblStylePr w:type="lastRow">
      <w:rPr>
        <w:rFonts w:ascii="Arial" w:hAnsi="Arial"/>
        <w:color w:val="404040"/>
        <w:sz w:val="22"/>
      </w:rPr>
      <w:tcPr>
        <w:tcBorders>
          <w:top w:val="single" w:color="FAC090" w:themeColor="accent6" w:themeTint="98" w:sz="12" w:space="0"/>
        </w:tcBorders>
      </w:tcPr>
    </w:tblStylePr>
    <w:tblStylePr w:type="firstCol">
      <w:rPr>
        <w:rFonts w:ascii="Arial" w:hAnsi="Arial"/>
        <w:color w:val="404040"/>
        <w:sz w:val="22"/>
      </w:rPr>
    </w:tblStylePr>
    <w:tblStylePr w:type="lastCol">
      <w:rPr>
        <w:rFonts w:ascii="Arial" w:hAnsi="Arial"/>
        <w:color w:val="404040"/>
        <w:sz w:val="22"/>
      </w:rPr>
      <w:tcPr>
        <w:tcBorders>
          <w:left w:val="single" w:color="FAC090" w:themeColor="accent6" w:themeTint="98" w:sz="12" w:space="0"/>
        </w:tcBorders>
      </w:tcPr>
    </w:tblStylePr>
    <w:tblStylePr w:type="band1Horz">
      <w:rPr>
        <w:rFonts w:ascii="Arial" w:hAnsi="Arial"/>
        <w:color w:val="404040"/>
        <w:sz w:val="22"/>
      </w:rPr>
      <w:tcPr>
        <w:tcBorders>
          <w:top w:val="single" w:color="FBD4B4" w:themeColor="accent6" w:themeTint="67" w:sz="4" w:space="0"/>
          <w:left w:val="single" w:color="FBD4B4" w:themeColor="accent6" w:themeTint="67" w:sz="4" w:space="0"/>
          <w:bottom w:val="single" w:color="FBD4B4" w:themeColor="accent6" w:themeTint="67" w:sz="4" w:space="0"/>
          <w:right w:val="single" w:color="FBD4B4" w:themeColor="accent6" w:themeTint="67" w:sz="4" w:space="0"/>
        </w:tcBorders>
      </w:tcPr>
    </w:tblStylePr>
  </w:style>
  <w:style w:type="character" w:customStyle="1" w:styleId="199">
    <w:name w:val="Footnote Text Char"/>
    <w:link w:val="29"/>
    <w:qFormat/>
    <w:uiPriority w:val="99"/>
    <w:rPr>
      <w:sz w:val="18"/>
    </w:rPr>
  </w:style>
  <w:style w:type="character" w:customStyle="1" w:styleId="200">
    <w:name w:val="Endnote Text Char"/>
    <w:link w:val="23"/>
    <w:qFormat/>
    <w:uiPriority w:val="99"/>
    <w:rPr>
      <w:sz w:val="20"/>
    </w:rPr>
  </w:style>
  <w:style w:type="paragraph" w:customStyle="1" w:styleId="201">
    <w:name w:val="TOC Heading"/>
    <w:unhideWhenUsed/>
    <w:qFormat/>
    <w:uiPriority w:val="39"/>
    <w:rPr>
      <w:rFonts w:hint="default" w:ascii="Calibri" w:hAnsi="Calibri" w:eastAsia="宋体" w:cs="Times New Roman"/>
    </w:rPr>
  </w:style>
  <w:style w:type="paragraph" w:customStyle="1" w:styleId="202">
    <w:name w:val="标题 11"/>
    <w:basedOn w:val="1"/>
    <w:link w:val="209"/>
    <w:qFormat/>
    <w:uiPriority w:val="0"/>
    <w:pPr>
      <w:keepNext/>
      <w:keepLines/>
      <w:spacing w:line="578" w:lineRule="auto"/>
      <w:jc w:val="center"/>
      <w:outlineLvl w:val="0"/>
    </w:pPr>
    <w:rPr>
      <w:rFonts w:eastAsia="新宋体"/>
      <w:b/>
      <w:bCs/>
      <w:sz w:val="30"/>
      <w:szCs w:val="44"/>
    </w:rPr>
  </w:style>
  <w:style w:type="paragraph" w:customStyle="1" w:styleId="203">
    <w:name w:val="标题 21"/>
    <w:basedOn w:val="1"/>
    <w:qFormat/>
    <w:uiPriority w:val="0"/>
    <w:pPr>
      <w:keepNext/>
      <w:keepLines/>
      <w:spacing w:before="260" w:after="260" w:line="360" w:lineRule="auto"/>
      <w:jc w:val="center"/>
      <w:outlineLvl w:val="1"/>
    </w:pPr>
    <w:rPr>
      <w:rFonts w:ascii="Arial" w:hAnsi="Arial" w:eastAsia="仿宋"/>
      <w:bCs/>
      <w:sz w:val="24"/>
      <w:szCs w:val="32"/>
    </w:rPr>
  </w:style>
  <w:style w:type="paragraph" w:customStyle="1" w:styleId="204">
    <w:name w:val="标题 31"/>
    <w:basedOn w:val="1"/>
    <w:link w:val="210"/>
    <w:qFormat/>
    <w:uiPriority w:val="0"/>
    <w:pPr>
      <w:keepNext/>
      <w:keepLines/>
      <w:widowControl/>
      <w:spacing w:before="260" w:after="260" w:line="416" w:lineRule="auto"/>
      <w:jc w:val="left"/>
      <w:outlineLvl w:val="2"/>
    </w:pPr>
    <w:rPr>
      <w:rFonts w:ascii="Tahoma" w:hAnsi="Tahoma" w:eastAsia="微软雅黑"/>
      <w:b/>
      <w:bCs/>
      <w:sz w:val="32"/>
      <w:szCs w:val="32"/>
    </w:rPr>
  </w:style>
  <w:style w:type="paragraph" w:customStyle="1" w:styleId="205">
    <w:name w:val="标题 411"/>
    <w:basedOn w:val="1"/>
    <w:link w:val="211"/>
    <w:qFormat/>
    <w:uiPriority w:val="0"/>
    <w:pPr>
      <w:keepNext/>
      <w:keepLines/>
      <w:spacing w:before="280" w:after="290" w:line="376" w:lineRule="auto"/>
      <w:outlineLvl w:val="3"/>
    </w:pPr>
    <w:rPr>
      <w:rFonts w:ascii="Calibri Light" w:hAnsi="Calibri Light" w:eastAsia="宋体"/>
      <w:b/>
      <w:bCs/>
      <w:sz w:val="28"/>
      <w:szCs w:val="28"/>
    </w:rPr>
  </w:style>
  <w:style w:type="character" w:customStyle="1" w:styleId="206">
    <w:name w:val="默认段落字体11"/>
    <w:link w:val="1"/>
    <w:qFormat/>
    <w:uiPriority w:val="0"/>
  </w:style>
  <w:style w:type="table" w:customStyle="1" w:styleId="207">
    <w:name w:val="普通表格1"/>
    <w:qFormat/>
    <w:uiPriority w:val="0"/>
  </w:style>
  <w:style w:type="paragraph" w:customStyle="1" w:styleId="208">
    <w:name w:val="Default"/>
    <w:qFormat/>
    <w:uiPriority w:val="0"/>
    <w:pPr>
      <w:widowControl w:val="0"/>
    </w:pPr>
    <w:rPr>
      <w:rFonts w:hint="default" w:ascii="宋体" w:hAnsi="Calibri" w:eastAsia="宋体" w:cs="Times New Roman"/>
      <w:color w:val="000000"/>
      <w:sz w:val="24"/>
      <w:szCs w:val="24"/>
      <w:lang w:val="en-US" w:eastAsia="zh-CN" w:bidi="ar-SA"/>
    </w:rPr>
  </w:style>
  <w:style w:type="character" w:customStyle="1" w:styleId="209">
    <w:name w:val="标题 1 字符"/>
    <w:link w:val="202"/>
    <w:qFormat/>
    <w:uiPriority w:val="0"/>
    <w:rPr>
      <w:rFonts w:eastAsia="新宋体"/>
      <w:b/>
      <w:bCs/>
      <w:sz w:val="30"/>
      <w:szCs w:val="44"/>
    </w:rPr>
  </w:style>
  <w:style w:type="character" w:customStyle="1" w:styleId="210">
    <w:name w:val="标题 3 字符"/>
    <w:link w:val="204"/>
    <w:qFormat/>
    <w:uiPriority w:val="0"/>
    <w:rPr>
      <w:rFonts w:ascii="Tahoma" w:hAnsi="Tahoma" w:eastAsia="微软雅黑"/>
      <w:b/>
      <w:bCs/>
      <w:sz w:val="32"/>
      <w:szCs w:val="32"/>
    </w:rPr>
  </w:style>
  <w:style w:type="character" w:customStyle="1" w:styleId="211">
    <w:name w:val="标题 4 字符"/>
    <w:link w:val="205"/>
    <w:semiHidden/>
    <w:qFormat/>
    <w:uiPriority w:val="0"/>
    <w:rPr>
      <w:rFonts w:ascii="Calibri Light" w:hAnsi="Calibri Light" w:eastAsia="宋体"/>
      <w:b/>
      <w:bCs/>
      <w:sz w:val="28"/>
      <w:szCs w:val="28"/>
    </w:rPr>
  </w:style>
  <w:style w:type="paragraph" w:customStyle="1" w:styleId="212">
    <w:name w:val="正文缩进1"/>
    <w:basedOn w:val="1"/>
    <w:qFormat/>
    <w:uiPriority w:val="0"/>
    <w:pPr>
      <w:ind w:firstLine="420"/>
    </w:pPr>
  </w:style>
  <w:style w:type="paragraph" w:customStyle="1" w:styleId="213">
    <w:name w:val="索引 511"/>
    <w:basedOn w:val="1"/>
    <w:next w:val="46"/>
    <w:qFormat/>
    <w:uiPriority w:val="0"/>
    <w:pPr>
      <w:ind w:left="798"/>
      <w:jc w:val="left"/>
    </w:pPr>
    <w:rPr>
      <w:rFonts w:ascii="Calibri" w:hAnsi="Calibri"/>
    </w:rPr>
  </w:style>
  <w:style w:type="paragraph" w:customStyle="1" w:styleId="214">
    <w:name w:val="批注文字1"/>
    <w:basedOn w:val="1"/>
    <w:qFormat/>
    <w:uiPriority w:val="0"/>
    <w:pPr>
      <w:jc w:val="left"/>
    </w:pPr>
  </w:style>
  <w:style w:type="paragraph" w:customStyle="1" w:styleId="215">
    <w:name w:val="正文文本1"/>
    <w:basedOn w:val="216"/>
    <w:next w:val="1"/>
    <w:qFormat/>
    <w:uiPriority w:val="0"/>
    <w:pPr>
      <w:spacing w:after="120"/>
    </w:pPr>
    <w:rPr>
      <w:rFonts w:ascii="Calibri" w:hAnsi="Calibri"/>
    </w:rPr>
  </w:style>
  <w:style w:type="paragraph" w:customStyle="1" w:styleId="216">
    <w:name w:val="正文13"/>
    <w:next w:val="217"/>
    <w:qFormat/>
    <w:uiPriority w:val="0"/>
    <w:pPr>
      <w:widowControl w:val="0"/>
      <w:jc w:val="both"/>
    </w:pPr>
    <w:rPr>
      <w:rFonts w:hint="default" w:ascii="Times New Roman" w:hAnsi="Times New Roman" w:eastAsia="宋体" w:cs="Times New Roman"/>
      <w:sz w:val="21"/>
      <w:szCs w:val="24"/>
      <w:lang w:eastAsia="zh-CN"/>
    </w:rPr>
  </w:style>
  <w:style w:type="paragraph" w:customStyle="1" w:styleId="217">
    <w:name w:val="正文首行缩进1"/>
    <w:basedOn w:val="218"/>
    <w:qFormat/>
    <w:uiPriority w:val="0"/>
    <w:pPr>
      <w:ind w:firstLine="420"/>
    </w:pPr>
    <w:rPr>
      <w:rFonts w:ascii="仿宋_GB2312" w:hAnsi="Times New Roman" w:eastAsia="仿宋_GB2312"/>
      <w:sz w:val="30"/>
      <w:szCs w:val="30"/>
    </w:rPr>
  </w:style>
  <w:style w:type="paragraph" w:customStyle="1" w:styleId="218">
    <w:name w:val="正文文本11"/>
    <w:basedOn w:val="219"/>
    <w:next w:val="48"/>
    <w:qFormat/>
    <w:uiPriority w:val="0"/>
    <w:pPr>
      <w:spacing w:after="120"/>
    </w:pPr>
  </w:style>
  <w:style w:type="paragraph" w:customStyle="1" w:styleId="219">
    <w:name w:val="正文112"/>
    <w:next w:val="218"/>
    <w:qFormat/>
    <w:uiPriority w:val="0"/>
    <w:pPr>
      <w:widowControl w:val="0"/>
      <w:jc w:val="both"/>
    </w:pPr>
    <w:rPr>
      <w:rFonts w:hint="default" w:ascii="Times New Roman" w:hAnsi="Times New Roman" w:eastAsia="宋体" w:cs="Times New Roman"/>
      <w:sz w:val="21"/>
      <w:szCs w:val="24"/>
      <w:lang w:eastAsia="zh-CN"/>
    </w:rPr>
  </w:style>
  <w:style w:type="paragraph" w:customStyle="1" w:styleId="220">
    <w:name w:val="纯文本1"/>
    <w:basedOn w:val="1"/>
    <w:qFormat/>
    <w:uiPriority w:val="0"/>
    <w:rPr>
      <w:rFonts w:ascii="宋体" w:hAnsi="Courier New"/>
      <w:szCs w:val="20"/>
    </w:rPr>
  </w:style>
  <w:style w:type="paragraph" w:customStyle="1" w:styleId="221">
    <w:name w:val="日期1"/>
    <w:basedOn w:val="1"/>
    <w:qFormat/>
    <w:uiPriority w:val="0"/>
    <w:rPr>
      <w:rFonts w:eastAsia="仿宋_GB2312"/>
      <w:sz w:val="28"/>
      <w:szCs w:val="20"/>
    </w:rPr>
  </w:style>
  <w:style w:type="paragraph" w:customStyle="1" w:styleId="222">
    <w:name w:val="批注框文本1"/>
    <w:basedOn w:val="1"/>
    <w:link w:val="223"/>
    <w:qFormat/>
    <w:uiPriority w:val="0"/>
    <w:rPr>
      <w:sz w:val="18"/>
      <w:szCs w:val="18"/>
    </w:rPr>
  </w:style>
  <w:style w:type="character" w:customStyle="1" w:styleId="223">
    <w:name w:val="批注框文本 字符"/>
    <w:link w:val="222"/>
    <w:qFormat/>
    <w:uiPriority w:val="0"/>
    <w:rPr>
      <w:rFonts w:ascii="Times New Roman" w:hAnsi="Times New Roman" w:eastAsia="宋体"/>
      <w:sz w:val="18"/>
      <w:szCs w:val="18"/>
    </w:rPr>
  </w:style>
  <w:style w:type="paragraph" w:customStyle="1" w:styleId="224">
    <w:name w:val="页脚11"/>
    <w:basedOn w:val="1"/>
    <w:link w:val="225"/>
    <w:qFormat/>
    <w:uiPriority w:val="0"/>
    <w:pPr>
      <w:tabs>
        <w:tab w:val="center" w:pos="4153"/>
        <w:tab w:val="right" w:pos="8306"/>
      </w:tabs>
      <w:jc w:val="left"/>
    </w:pPr>
    <w:rPr>
      <w:sz w:val="18"/>
      <w:szCs w:val="18"/>
    </w:rPr>
  </w:style>
  <w:style w:type="character" w:customStyle="1" w:styleId="225">
    <w:name w:val="页脚 字符"/>
    <w:link w:val="224"/>
    <w:qFormat/>
    <w:uiPriority w:val="0"/>
    <w:rPr>
      <w:rFonts w:ascii="Times New Roman" w:hAnsi="Times New Roman" w:eastAsia="宋体"/>
      <w:sz w:val="18"/>
      <w:szCs w:val="18"/>
    </w:rPr>
  </w:style>
  <w:style w:type="paragraph" w:customStyle="1" w:styleId="226">
    <w:name w:val="页眉1"/>
    <w:basedOn w:val="1"/>
    <w:qFormat/>
    <w:uiPriority w:val="0"/>
    <w:pPr>
      <w:pBdr>
        <w:bottom w:val="single" w:color="000000" w:sz="6" w:space="1"/>
      </w:pBdr>
      <w:tabs>
        <w:tab w:val="center" w:pos="4153"/>
        <w:tab w:val="right" w:pos="8306"/>
      </w:tabs>
      <w:jc w:val="center"/>
    </w:pPr>
    <w:rPr>
      <w:sz w:val="18"/>
      <w:szCs w:val="18"/>
    </w:rPr>
  </w:style>
  <w:style w:type="paragraph" w:customStyle="1" w:styleId="227">
    <w:name w:val="脚注文本11"/>
    <w:basedOn w:val="3"/>
    <w:next w:val="213"/>
    <w:link w:val="228"/>
    <w:qFormat/>
    <w:uiPriority w:val="0"/>
    <w:pPr>
      <w:jc w:val="left"/>
    </w:pPr>
    <w:rPr>
      <w:rFonts w:ascii="宋体" w:eastAsia="Times New Roman"/>
      <w:sz w:val="18"/>
      <w:szCs w:val="18"/>
    </w:rPr>
  </w:style>
  <w:style w:type="character" w:customStyle="1" w:styleId="228">
    <w:name w:val="脚注文本 字符"/>
    <w:link w:val="227"/>
    <w:qFormat/>
    <w:uiPriority w:val="0"/>
    <w:rPr>
      <w:rFonts w:ascii="宋体" w:hAnsi="Times New Roman" w:eastAsia="Times New Roman"/>
      <w:sz w:val="18"/>
      <w:szCs w:val="18"/>
    </w:rPr>
  </w:style>
  <w:style w:type="paragraph" w:customStyle="1" w:styleId="229">
    <w:name w:val="普通(网站)1"/>
    <w:basedOn w:val="1"/>
    <w:qFormat/>
    <w:uiPriority w:val="0"/>
    <w:pPr>
      <w:widowControl/>
      <w:spacing w:before="100" w:beforeAutospacing="1" w:after="100" w:afterAutospacing="1"/>
      <w:jc w:val="left"/>
    </w:pPr>
    <w:rPr>
      <w:rFonts w:ascii="宋体" w:hAnsi="宋体"/>
      <w:sz w:val="24"/>
    </w:rPr>
  </w:style>
  <w:style w:type="paragraph" w:customStyle="1" w:styleId="230">
    <w:name w:val="正文文本首行缩进"/>
    <w:basedOn w:val="215"/>
    <w:qFormat/>
    <w:uiPriority w:val="0"/>
    <w:pPr>
      <w:ind w:firstLine="420"/>
    </w:pPr>
  </w:style>
  <w:style w:type="paragraph" w:customStyle="1" w:styleId="231">
    <w:name w:val="正文文本首行缩进 2"/>
    <w:basedOn w:val="50"/>
    <w:qFormat/>
    <w:uiPriority w:val="0"/>
    <w:pPr>
      <w:ind w:firstLine="420"/>
    </w:pPr>
  </w:style>
  <w:style w:type="table" w:customStyle="1" w:styleId="232">
    <w:name w:val="网格型1"/>
    <w:basedOn w:val="207"/>
    <w:qFormat/>
    <w:uiPriority w:val="0"/>
  </w:style>
  <w:style w:type="character" w:customStyle="1" w:styleId="233">
    <w:name w:val="页码11"/>
    <w:link w:val="1"/>
    <w:qFormat/>
    <w:uiPriority w:val="0"/>
  </w:style>
  <w:style w:type="character" w:customStyle="1" w:styleId="234">
    <w:name w:val="超链接11"/>
    <w:link w:val="1"/>
    <w:qFormat/>
    <w:uiPriority w:val="0"/>
    <w:rPr>
      <w:color w:val="0000FF"/>
      <w:u w:val="single"/>
    </w:rPr>
  </w:style>
  <w:style w:type="character" w:customStyle="1" w:styleId="235">
    <w:name w:val="NormalCharacter"/>
    <w:link w:val="1"/>
    <w:semiHidden/>
    <w:qFormat/>
    <w:uiPriority w:val="0"/>
    <w:rPr>
      <w:sz w:val="28"/>
      <w:lang w:val="en-US" w:eastAsia="zh-CN" w:bidi="ar-SA"/>
    </w:rPr>
  </w:style>
  <w:style w:type="character" w:customStyle="1" w:styleId="236">
    <w:name w:val="font121"/>
    <w:link w:val="1"/>
    <w:qFormat/>
    <w:uiPriority w:val="0"/>
    <w:rPr>
      <w:rFonts w:hint="eastAsia" w:ascii="宋体" w:hAnsi="宋体" w:eastAsia="宋体"/>
      <w:color w:val="000000"/>
      <w:sz w:val="20"/>
      <w:szCs w:val="20"/>
      <w:u w:val="none"/>
    </w:rPr>
  </w:style>
  <w:style w:type="character" w:customStyle="1" w:styleId="237">
    <w:name w:val="font01"/>
    <w:link w:val="1"/>
    <w:qFormat/>
    <w:uiPriority w:val="0"/>
    <w:rPr>
      <w:rFonts w:hint="eastAsia" w:ascii="宋体" w:hAnsi="宋体" w:eastAsia="宋体"/>
      <w:b/>
      <w:color w:val="000000"/>
      <w:sz w:val="20"/>
      <w:szCs w:val="20"/>
      <w:u w:val="none"/>
    </w:rPr>
  </w:style>
  <w:style w:type="character" w:customStyle="1" w:styleId="238">
    <w:name w:val="超链接1"/>
    <w:link w:val="48"/>
    <w:qFormat/>
    <w:uiPriority w:val="0"/>
    <w:rPr>
      <w:sz w:val="21"/>
      <w:szCs w:val="24"/>
      <w:lang w:val="en-US" w:eastAsia="zh-CN" w:bidi="ar-SA"/>
    </w:rPr>
  </w:style>
  <w:style w:type="paragraph" w:customStyle="1" w:styleId="239">
    <w:name w:val="正文首行缩进11"/>
    <w:basedOn w:val="218"/>
    <w:next w:val="240"/>
    <w:qFormat/>
    <w:uiPriority w:val="0"/>
    <w:pPr>
      <w:ind w:firstLine="420"/>
    </w:pPr>
    <w:rPr>
      <w:rFonts w:ascii="仿宋_GB2312" w:eastAsia="仿宋_GB2312"/>
      <w:sz w:val="30"/>
      <w:szCs w:val="30"/>
    </w:rPr>
  </w:style>
  <w:style w:type="paragraph" w:customStyle="1" w:styleId="240">
    <w:name w:val="正文首行缩进 211"/>
    <w:basedOn w:val="241"/>
    <w:qFormat/>
    <w:uiPriority w:val="0"/>
    <w:pPr>
      <w:ind w:firstLine="420"/>
    </w:pPr>
    <w:rPr>
      <w:rFonts w:ascii="Times New Roman" w:hAnsi="Times New Roman"/>
    </w:rPr>
  </w:style>
  <w:style w:type="paragraph" w:customStyle="1" w:styleId="241">
    <w:name w:val="正文文本缩进11"/>
    <w:basedOn w:val="3"/>
    <w:next w:val="242"/>
    <w:qFormat/>
    <w:uiPriority w:val="0"/>
    <w:pPr>
      <w:spacing w:line="200" w:lineRule="exact"/>
      <w:ind w:firstLine="301"/>
    </w:pPr>
    <w:rPr>
      <w:rFonts w:ascii="宋体" w:hAnsi="Courier New"/>
      <w:spacing w:val="-4"/>
      <w:sz w:val="18"/>
      <w:szCs w:val="20"/>
    </w:rPr>
  </w:style>
  <w:style w:type="paragraph" w:customStyle="1" w:styleId="242">
    <w:name w:val="寄信人地址11"/>
    <w:basedOn w:val="48"/>
    <w:qFormat/>
    <w:uiPriority w:val="0"/>
    <w:rPr>
      <w:rFonts w:ascii="Arial" w:hAnsi="Arial"/>
    </w:rPr>
  </w:style>
  <w:style w:type="paragraph" w:customStyle="1" w:styleId="243">
    <w:name w:val="脚注文本1"/>
    <w:basedOn w:val="45"/>
    <w:next w:val="244"/>
    <w:qFormat/>
    <w:uiPriority w:val="0"/>
    <w:pPr>
      <w:jc w:val="left"/>
    </w:pPr>
    <w:rPr>
      <w:rFonts w:ascii="宋体" w:eastAsia="Times New Roman"/>
      <w:sz w:val="18"/>
      <w:szCs w:val="18"/>
    </w:rPr>
  </w:style>
  <w:style w:type="paragraph" w:customStyle="1" w:styleId="244">
    <w:name w:val="索引 51"/>
    <w:basedOn w:val="45"/>
    <w:next w:val="45"/>
    <w:qFormat/>
    <w:uiPriority w:val="0"/>
    <w:pPr>
      <w:ind w:left="798"/>
      <w:jc w:val="left"/>
    </w:pPr>
    <w:rPr>
      <w:rFonts w:ascii="Calibri" w:hAnsi="Calibri"/>
    </w:rPr>
  </w:style>
  <w:style w:type="paragraph" w:customStyle="1" w:styleId="245">
    <w:name w:val="文本块1"/>
    <w:basedOn w:val="45"/>
    <w:qFormat/>
    <w:uiPriority w:val="0"/>
    <w:pPr>
      <w:spacing w:after="120"/>
      <w:ind w:left="1440" w:right="1440"/>
    </w:pPr>
  </w:style>
  <w:style w:type="paragraph" w:customStyle="1" w:styleId="246">
    <w:name w:val="标题 41"/>
    <w:basedOn w:val="45"/>
    <w:qFormat/>
    <w:uiPriority w:val="0"/>
    <w:pPr>
      <w:keepNext/>
      <w:keepLines/>
      <w:spacing w:before="280" w:after="290" w:line="376" w:lineRule="auto"/>
      <w:outlineLvl w:val="3"/>
    </w:pPr>
    <w:rPr>
      <w:rFonts w:ascii="Cambria" w:hAnsi="Cambria"/>
      <w:b/>
      <w:bCs/>
      <w:sz w:val="28"/>
      <w:szCs w:val="28"/>
    </w:rPr>
  </w:style>
  <w:style w:type="character" w:customStyle="1" w:styleId="247">
    <w:name w:val="默认段落字体1"/>
    <w:link w:val="1"/>
    <w:semiHidden/>
    <w:qFormat/>
    <w:uiPriority w:val="0"/>
  </w:style>
  <w:style w:type="character" w:customStyle="1" w:styleId="248">
    <w:name w:val="页码1"/>
    <w:link w:val="1"/>
    <w:qFormat/>
    <w:uiPriority w:val="0"/>
  </w:style>
  <w:style w:type="character" w:customStyle="1" w:styleId="249">
    <w:name w:val="font141"/>
    <w:link w:val="1"/>
    <w:qFormat/>
    <w:uiPriority w:val="0"/>
    <w:rPr>
      <w:rFonts w:hint="eastAsia" w:ascii="仿宋" w:hAnsi="仿宋" w:eastAsia="仿宋"/>
      <w:color w:val="000000"/>
      <w:sz w:val="22"/>
      <w:szCs w:val="22"/>
      <w:u w:val="none"/>
    </w:rPr>
  </w:style>
  <w:style w:type="paragraph" w:customStyle="1" w:styleId="250">
    <w:name w:val="BlockQuote"/>
    <w:basedOn w:val="46"/>
    <w:qFormat/>
    <w:uiPriority w:val="0"/>
    <w:pPr>
      <w:ind w:left="256" w:right="6" w:firstLine="624"/>
    </w:pPr>
    <w:rPr>
      <w:rFonts w:eastAsia="仿宋_GB2312"/>
      <w:sz w:val="28"/>
    </w:rPr>
  </w:style>
  <w:style w:type="paragraph" w:customStyle="1" w:styleId="251">
    <w:name w:val="样式 样式 样式 样式 小四 左 首行缩进:  2 字符 + 首行缩进:  2 字符 Char + 右  0 字符1 + 首行缩...3"/>
    <w:basedOn w:val="1"/>
    <w:qFormat/>
    <w:uiPriority w:val="0"/>
    <w:pPr>
      <w:spacing w:line="360" w:lineRule="auto"/>
      <w:ind w:firstLine="480"/>
      <w:jc w:val="left"/>
    </w:pPr>
    <w:rPr>
      <w:sz w:val="24"/>
    </w:rPr>
  </w:style>
  <w:style w:type="paragraph" w:customStyle="1" w:styleId="252">
    <w:name w:val="标准"/>
    <w:basedOn w:val="1"/>
    <w:qFormat/>
    <w:uiPriority w:val="0"/>
    <w:pPr>
      <w:spacing w:line="360" w:lineRule="auto"/>
      <w:ind w:firstLine="200"/>
    </w:pPr>
    <w:rPr>
      <w:szCs w:val="21"/>
    </w:rPr>
  </w:style>
  <w:style w:type="paragraph" w:customStyle="1" w:styleId="253">
    <w:name w:val="Table Paragraph"/>
    <w:basedOn w:val="1"/>
    <w:qFormat/>
    <w:uiPriority w:val="0"/>
    <w:pPr>
      <w:jc w:val="left"/>
    </w:pPr>
    <w:rPr>
      <w:rFonts w:ascii="Arial Unicode MS" w:hAnsi="Arial Unicode MS" w:eastAsia="Arial Unicode MS"/>
      <w:sz w:val="22"/>
      <w:szCs w:val="22"/>
      <w:lang w:val="zh-CN" w:bidi="zh-CN"/>
    </w:rPr>
  </w:style>
  <w:style w:type="paragraph" w:customStyle="1" w:styleId="254">
    <w:name w:val="页脚1"/>
    <w:basedOn w:val="45"/>
    <w:qFormat/>
    <w:uiPriority w:val="0"/>
    <w:pPr>
      <w:tabs>
        <w:tab w:val="center" w:pos="4153"/>
        <w:tab w:val="right" w:pos="8306"/>
      </w:tabs>
      <w:jc w:val="left"/>
    </w:pPr>
    <w:rPr>
      <w:sz w:val="18"/>
      <w:szCs w:val="18"/>
    </w:rPr>
  </w:style>
  <w:style w:type="paragraph" w:customStyle="1" w:styleId="255">
    <w:name w:val="Heading 2"/>
    <w:basedOn w:val="1"/>
    <w:qFormat/>
    <w:uiPriority w:val="0"/>
    <w:pPr>
      <w:keepNext/>
      <w:keepLines/>
      <w:spacing w:before="260" w:after="260" w:line="416" w:lineRule="auto"/>
      <w:jc w:val="left"/>
    </w:pPr>
    <w:rPr>
      <w:rFonts w:ascii="Calibri Light" w:hAnsi="Calibri Light"/>
      <w:b/>
      <w:bCs/>
      <w:sz w:val="24"/>
      <w:szCs w:val="32"/>
    </w:rPr>
  </w:style>
  <w:style w:type="paragraph" w:customStyle="1" w:styleId="256">
    <w:name w:val="179"/>
    <w:basedOn w:val="1"/>
    <w:qFormat/>
    <w:uiPriority w:val="0"/>
    <w:pPr>
      <w:widowControl/>
      <w:ind w:firstLine="420"/>
      <w:jc w:val="left"/>
    </w:pPr>
    <w:rPr>
      <w:rFonts w:ascii="宋体" w:hAnsi="宋体"/>
      <w:sz w:val="24"/>
    </w:rPr>
  </w:style>
  <w:style w:type="paragraph" w:customStyle="1" w:styleId="257">
    <w:name w:val="列表段落1"/>
    <w:basedOn w:val="1"/>
    <w:qFormat/>
    <w:uiPriority w:val="0"/>
    <w:pPr>
      <w:ind w:firstLine="420"/>
    </w:pPr>
  </w:style>
  <w:style w:type="paragraph" w:customStyle="1" w:styleId="258">
    <w:name w:val="p0"/>
    <w:basedOn w:val="48"/>
    <w:qFormat/>
    <w:uiPriority w:val="0"/>
    <w:pPr>
      <w:widowControl/>
    </w:pPr>
    <w:rPr>
      <w:szCs w:val="21"/>
    </w:rPr>
  </w:style>
  <w:style w:type="paragraph" w:customStyle="1" w:styleId="259">
    <w:name w:val="2"/>
    <w:qFormat/>
    <w:uiPriority w:val="0"/>
    <w:pPr>
      <w:widowControl w:val="0"/>
      <w:spacing w:line="440" w:lineRule="atLeast"/>
      <w:ind w:firstLine="420"/>
      <w:jc w:val="both"/>
    </w:pPr>
    <w:rPr>
      <w:rFonts w:hint="default" w:ascii="Calibri" w:hAnsi="Calibri" w:eastAsia="宋体" w:cs="Times New Roman"/>
      <w:sz w:val="24"/>
      <w:lang w:val="en-US" w:eastAsia="zh-CN" w:bidi="ar-SA"/>
    </w:rPr>
  </w:style>
  <w:style w:type="paragraph" w:customStyle="1" w:styleId="260">
    <w:name w:val="*正文"/>
    <w:basedOn w:val="1"/>
    <w:qFormat/>
    <w:uiPriority w:val="0"/>
    <w:pPr>
      <w:spacing w:line="440" w:lineRule="exact"/>
      <w:ind w:firstLine="480"/>
    </w:pPr>
    <w:rPr>
      <w:rFonts w:ascii="仿宋" w:hAnsi="仿宋" w:eastAsia="仿宋"/>
      <w:sz w:val="24"/>
    </w:rPr>
  </w:style>
  <w:style w:type="paragraph" w:customStyle="1" w:styleId="261">
    <w:name w:val="列表段落"/>
    <w:basedOn w:val="3"/>
    <w:qFormat/>
    <w:uiPriority w:val="0"/>
    <w:pPr>
      <w:ind w:firstLine="420"/>
    </w:pPr>
  </w:style>
  <w:style w:type="paragraph" w:customStyle="1" w:styleId="262">
    <w:name w:val="style4"/>
    <w:qFormat/>
    <w:uiPriority w:val="0"/>
    <w:pPr>
      <w:spacing w:before="280" w:after="280"/>
      <w:jc w:val="both"/>
    </w:pPr>
    <w:rPr>
      <w:rFonts w:hint="default" w:ascii="宋体" w:hAnsi="Calibri" w:eastAsia="宋体" w:cs="Times New Roman"/>
      <w:sz w:val="18"/>
      <w:szCs w:val="24"/>
      <w:lang w:val="en-US" w:eastAsia="zh-CN" w:bidi="ar-SA"/>
    </w:rPr>
  </w:style>
  <w:style w:type="paragraph" w:customStyle="1" w:styleId="263">
    <w:name w:val="UserStyle_0"/>
    <w:qFormat/>
    <w:uiPriority w:val="0"/>
    <w:rPr>
      <w:rFonts w:hint="default" w:ascii="Calibri" w:hAnsi="Calibri" w:eastAsia="宋体" w:cs="Times New Roman"/>
      <w:color w:val="000000"/>
      <w:sz w:val="24"/>
      <w:szCs w:val="24"/>
      <w:lang w:val="en-US" w:eastAsia="zh-CN" w:bidi="ar-SA"/>
    </w:rPr>
  </w:style>
  <w:style w:type="character" w:customStyle="1" w:styleId="264">
    <w:name w:val="标题 1 Char"/>
    <w:link w:val="5"/>
    <w:qFormat/>
    <w:uiPriority w:val="0"/>
    <w:rPr>
      <w:b/>
      <w:sz w:val="44"/>
    </w:rPr>
  </w:style>
  <w:style w:type="paragraph" w:customStyle="1" w:styleId="265">
    <w:name w:val="标题 111"/>
    <w:basedOn w:val="48"/>
    <w:next w:val="48"/>
    <w:qFormat/>
    <w:uiPriority w:val="0"/>
    <w:pPr>
      <w:keepNext/>
      <w:keepLines/>
      <w:spacing w:line="578" w:lineRule="auto"/>
      <w:jc w:val="center"/>
      <w:outlineLvl w:val="0"/>
    </w:pPr>
    <w:rPr>
      <w:rFonts w:eastAsia="新宋体"/>
      <w:b/>
      <w:bCs/>
      <w:sz w:val="30"/>
      <w:szCs w:val="44"/>
    </w:rPr>
  </w:style>
  <w:style w:type="paragraph" w:customStyle="1" w:styleId="266">
    <w:name w:val="正文（缩进）"/>
    <w:basedOn w:val="1"/>
    <w:unhideWhenUsed/>
    <w:qFormat/>
    <w:uiPriority w:val="0"/>
    <w:pPr>
      <w:spacing w:line="240" w:lineRule="auto"/>
      <w:jc w:val="both"/>
    </w:pPr>
    <w:rPr>
      <w:rFonts w:hint="eastAsia" w:ascii="宋体" w:eastAsia="宋体" w:cs="Times New Roman"/>
      <w:sz w:val="21"/>
      <w:szCs w:val="21"/>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header" Target="header1.xml"/><Relationship Id="rId3" Type="http://schemas.openxmlformats.org/officeDocument/2006/relationships/footer" Target="foot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jpeg"/><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Arial"/>
        <a:cs typeface="Arial"/>
      </a:majorFont>
      <a:minorFont>
        <a:latin typeface="Calibri"/>
        <a:ea typeface="Arial"/>
        <a:cs typeface="Arial"/>
      </a:minorFont>
    </a:fontScheme>
    <a:fmtScheme name="Office">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Pages>45</Pages>
  <Words>8482</Words>
  <Characters>8865</Characters>
  <TotalTime>74</TotalTime>
  <ScaleCrop>false</ScaleCrop>
  <LinksUpToDate>false</LinksUpToDate>
  <CharactersWithSpaces>9034</CharactersWithSpaces>
  <Application>WPS Office_12.1.0.19770_F1E327BC-269C-435d-A152-05C5408002CA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2024-04-10T06:07:00Z</dcterms:created>
  <dc:creator>我家有只小仙女</dc:creator>
  <cp:lastModifiedBy>Administrator</cp:lastModifiedBy>
  <dcterms:modified xsi:type="dcterms:W3CDTF">2025-04-10T01:55:56Z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2052-12.1.0.19770</vt:lpwstr>
  </property>
  <property fmtid="{D5CDD505-2E9C-101B-9397-08002B2CF9AE}" pid="3" name="ICV">
    <vt:lpwstr>EB8BC7CE98E34FF5A4FFE013C2018AEB_13</vt:lpwstr>
  </property>
  <property fmtid="{D5CDD505-2E9C-101B-9397-08002B2CF9AE}" pid="4" name="KSOTemplateDocerSaveRecord">
    <vt:lpwstr>eyJoZGlkIjoiNWYyNTZiOTI2NzJmYmJhYjY1NDQwOGRkYmFhMTBlY2UifQ==</vt:lpwstr>
  </property>
</Properties>
</file>