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37908">
      <w:pPr>
        <w:ind w:firstLine="643" w:firstLineChars="2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如有建议或意见，请以书面形式并加盖公章、注明联系人、联系方式，于2025年</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lang w:val="en-US" w:eastAsia="zh-CN"/>
        </w:rPr>
        <w:t>月</w:t>
      </w:r>
      <w:r>
        <w:rPr>
          <w:rFonts w:hint="eastAsia" w:ascii="宋体" w:hAnsi="宋体" w:cs="宋体"/>
          <w:b/>
          <w:color w:val="auto"/>
          <w:sz w:val="32"/>
          <w:szCs w:val="32"/>
          <w:highlight w:val="none"/>
          <w:lang w:val="en-US" w:eastAsia="zh-CN"/>
        </w:rPr>
        <w:t>24</w:t>
      </w:r>
      <w:r>
        <w:rPr>
          <w:rFonts w:hint="eastAsia" w:ascii="宋体" w:hAnsi="宋体" w:eastAsia="宋体" w:cs="宋体"/>
          <w:b/>
          <w:color w:val="auto"/>
          <w:sz w:val="32"/>
          <w:szCs w:val="32"/>
          <w:highlight w:val="none"/>
          <w:lang w:val="en-US" w:eastAsia="zh-CN"/>
        </w:rPr>
        <w:t>日17:30之前送至采购人单位，逾期不受理（如邮寄，2025年</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lang w:val="en-US" w:eastAsia="zh-CN"/>
        </w:rPr>
        <w:t>月</w:t>
      </w:r>
      <w:r>
        <w:rPr>
          <w:rFonts w:hint="eastAsia" w:ascii="宋体" w:hAnsi="宋体" w:cs="宋体"/>
          <w:b/>
          <w:color w:val="auto"/>
          <w:sz w:val="32"/>
          <w:szCs w:val="32"/>
          <w:highlight w:val="none"/>
          <w:lang w:val="en-US" w:eastAsia="zh-CN"/>
        </w:rPr>
        <w:t>24</w:t>
      </w:r>
      <w:r>
        <w:rPr>
          <w:rFonts w:hint="eastAsia" w:ascii="宋体" w:hAnsi="宋体" w:eastAsia="宋体" w:cs="宋体"/>
          <w:b/>
          <w:color w:val="auto"/>
          <w:sz w:val="32"/>
          <w:szCs w:val="32"/>
          <w:highlight w:val="none"/>
          <w:lang w:val="en-US" w:eastAsia="zh-CN"/>
        </w:rPr>
        <w:t>日17:30之后到达采购人单位的邮件将不再受理）。</w:t>
      </w:r>
    </w:p>
    <w:p w14:paraId="02FAB648">
      <w:pPr>
        <w:pStyle w:val="3"/>
        <w:jc w:val="center"/>
        <w:rPr>
          <w:rFonts w:hint="eastAsia" w:ascii="仿宋" w:hAnsi="仿宋" w:eastAsia="仿宋" w:cs="仿宋"/>
          <w:b/>
          <w:bCs/>
        </w:rPr>
      </w:pPr>
    </w:p>
    <w:p w14:paraId="35DC7EC3">
      <w:pPr>
        <w:pStyle w:val="3"/>
        <w:jc w:val="center"/>
        <w:rPr>
          <w:rFonts w:hint="eastAsia" w:ascii="仿宋" w:hAnsi="仿宋" w:eastAsia="仿宋" w:cs="仿宋"/>
          <w:b/>
          <w:bCs/>
        </w:rPr>
      </w:pPr>
    </w:p>
    <w:p w14:paraId="0676A558">
      <w:pPr>
        <w:pStyle w:val="3"/>
        <w:jc w:val="center"/>
        <w:rPr>
          <w:rFonts w:hint="eastAsia" w:ascii="仿宋" w:hAnsi="仿宋" w:eastAsia="仿宋" w:cs="仿宋"/>
          <w:b/>
          <w:bCs/>
        </w:rPr>
      </w:pPr>
    </w:p>
    <w:p w14:paraId="18F1E49E">
      <w:pPr>
        <w:pStyle w:val="3"/>
        <w:jc w:val="center"/>
        <w:rPr>
          <w:rFonts w:hint="eastAsia" w:ascii="仿宋" w:hAnsi="仿宋" w:eastAsia="仿宋" w:cs="仿宋"/>
          <w:b/>
          <w:bCs/>
        </w:rPr>
      </w:pPr>
    </w:p>
    <w:p w14:paraId="23BFD414">
      <w:pPr>
        <w:rPr>
          <w:rFonts w:hint="eastAsia" w:ascii="仿宋" w:hAnsi="仿宋" w:eastAsia="仿宋" w:cs="仿宋"/>
          <w:b/>
          <w:bCs/>
        </w:rPr>
      </w:pPr>
    </w:p>
    <w:p w14:paraId="011CC404">
      <w:pPr>
        <w:pStyle w:val="4"/>
        <w:rPr>
          <w:rFonts w:hint="eastAsia" w:ascii="仿宋" w:hAnsi="仿宋" w:eastAsia="仿宋" w:cs="仿宋"/>
          <w:b/>
          <w:bCs/>
        </w:rPr>
      </w:pPr>
    </w:p>
    <w:p w14:paraId="222953B6">
      <w:pPr>
        <w:pStyle w:val="5"/>
        <w:rPr>
          <w:rFonts w:hint="eastAsia" w:ascii="仿宋" w:hAnsi="仿宋" w:eastAsia="仿宋" w:cs="仿宋"/>
          <w:b/>
          <w:bCs/>
        </w:rPr>
      </w:pPr>
    </w:p>
    <w:p w14:paraId="5407D4F0">
      <w:pPr>
        <w:pStyle w:val="22"/>
        <w:rPr>
          <w:rFonts w:hint="eastAsia" w:ascii="仿宋" w:hAnsi="仿宋" w:eastAsia="仿宋" w:cs="仿宋"/>
          <w:b/>
          <w:bCs/>
        </w:rPr>
      </w:pPr>
    </w:p>
    <w:p w14:paraId="096FCCE9">
      <w:pPr>
        <w:pStyle w:val="14"/>
        <w:rPr>
          <w:rFonts w:hint="eastAsia" w:ascii="仿宋" w:hAnsi="仿宋" w:eastAsia="仿宋" w:cs="仿宋"/>
          <w:b/>
          <w:bCs/>
        </w:rPr>
      </w:pPr>
    </w:p>
    <w:p w14:paraId="321733E7">
      <w:pPr>
        <w:pStyle w:val="27"/>
        <w:rPr>
          <w:rFonts w:hint="eastAsia" w:ascii="仿宋" w:hAnsi="仿宋" w:eastAsia="仿宋" w:cs="仿宋"/>
          <w:b/>
          <w:bCs/>
        </w:rPr>
      </w:pPr>
    </w:p>
    <w:p w14:paraId="65142B76">
      <w:pPr>
        <w:pStyle w:val="14"/>
        <w:rPr>
          <w:rFonts w:hint="eastAsia" w:ascii="仿宋" w:hAnsi="仿宋" w:eastAsia="仿宋" w:cs="仿宋"/>
          <w:b/>
          <w:bCs/>
        </w:rPr>
      </w:pPr>
    </w:p>
    <w:p w14:paraId="490444C1">
      <w:pPr>
        <w:pStyle w:val="27"/>
        <w:rPr>
          <w:rFonts w:hint="eastAsia" w:ascii="仿宋" w:hAnsi="仿宋" w:eastAsia="仿宋" w:cs="仿宋"/>
          <w:b/>
          <w:bCs/>
        </w:rPr>
      </w:pPr>
    </w:p>
    <w:p w14:paraId="2648907C">
      <w:pPr>
        <w:pStyle w:val="14"/>
        <w:rPr>
          <w:rFonts w:hint="eastAsia" w:ascii="仿宋" w:hAnsi="仿宋" w:eastAsia="仿宋" w:cs="仿宋"/>
          <w:b/>
          <w:bCs/>
        </w:rPr>
      </w:pPr>
    </w:p>
    <w:p w14:paraId="5EA7C240">
      <w:pPr>
        <w:pStyle w:val="27"/>
        <w:rPr>
          <w:rFonts w:hint="eastAsia" w:ascii="仿宋" w:hAnsi="仿宋" w:eastAsia="仿宋" w:cs="仿宋"/>
          <w:b/>
          <w:bCs/>
        </w:rPr>
      </w:pPr>
    </w:p>
    <w:p w14:paraId="751422AC">
      <w:pPr>
        <w:pStyle w:val="14"/>
        <w:rPr>
          <w:rFonts w:hint="eastAsia" w:ascii="仿宋" w:hAnsi="仿宋" w:eastAsia="仿宋" w:cs="仿宋"/>
          <w:b/>
          <w:bCs/>
        </w:rPr>
      </w:pPr>
    </w:p>
    <w:p w14:paraId="4FF2727B">
      <w:pPr>
        <w:pStyle w:val="27"/>
        <w:rPr>
          <w:rFonts w:hint="eastAsia" w:ascii="仿宋" w:hAnsi="仿宋" w:eastAsia="仿宋" w:cs="仿宋"/>
          <w:b/>
          <w:bCs/>
        </w:rPr>
      </w:pPr>
    </w:p>
    <w:p w14:paraId="2332C5C9">
      <w:pPr>
        <w:pStyle w:val="14"/>
        <w:rPr>
          <w:rFonts w:hint="eastAsia" w:ascii="仿宋" w:hAnsi="仿宋" w:eastAsia="仿宋" w:cs="仿宋"/>
          <w:b/>
          <w:bCs/>
        </w:rPr>
      </w:pPr>
    </w:p>
    <w:p w14:paraId="28C0F5E8">
      <w:pPr>
        <w:pStyle w:val="27"/>
        <w:rPr>
          <w:rFonts w:hint="eastAsia" w:ascii="仿宋" w:hAnsi="仿宋" w:eastAsia="仿宋" w:cs="仿宋"/>
          <w:b/>
          <w:bCs/>
        </w:rPr>
      </w:pPr>
    </w:p>
    <w:p w14:paraId="29B438C6">
      <w:pPr>
        <w:pStyle w:val="14"/>
        <w:rPr>
          <w:rFonts w:hint="eastAsia" w:ascii="仿宋" w:hAnsi="仿宋" w:eastAsia="仿宋" w:cs="仿宋"/>
          <w:b/>
          <w:bCs/>
        </w:rPr>
      </w:pPr>
    </w:p>
    <w:p w14:paraId="46D88D5A">
      <w:pPr>
        <w:pStyle w:val="27"/>
        <w:rPr>
          <w:rFonts w:hint="eastAsia" w:ascii="仿宋" w:hAnsi="仿宋" w:eastAsia="仿宋" w:cs="仿宋"/>
          <w:b/>
          <w:bCs/>
        </w:rPr>
      </w:pPr>
    </w:p>
    <w:p w14:paraId="1302A31B">
      <w:pPr>
        <w:pStyle w:val="14"/>
        <w:rPr>
          <w:rFonts w:hint="eastAsia"/>
        </w:rPr>
      </w:pPr>
    </w:p>
    <w:p w14:paraId="6E7A4628">
      <w:pPr>
        <w:pStyle w:val="18"/>
        <w:spacing w:line="360" w:lineRule="auto"/>
        <w:ind w:firstLine="492"/>
        <w:rPr>
          <w:rFonts w:hint="eastAsia" w:ascii="仿宋" w:hAnsi="仿宋" w:eastAsia="仿宋" w:cs="仿宋"/>
          <w:sz w:val="24"/>
        </w:rPr>
      </w:pPr>
    </w:p>
    <w:p w14:paraId="7D83F333">
      <w:pPr>
        <w:pStyle w:val="19"/>
        <w:rPr>
          <w:rFonts w:hint="eastAsia" w:ascii="仿宋" w:hAnsi="仿宋" w:eastAsia="仿宋" w:cs="仿宋"/>
          <w:sz w:val="24"/>
        </w:rPr>
      </w:pPr>
    </w:p>
    <w:p w14:paraId="1C99EFA8">
      <w:pPr>
        <w:pStyle w:val="19"/>
        <w:rPr>
          <w:rFonts w:hint="eastAsia" w:ascii="仿宋" w:hAnsi="仿宋" w:eastAsia="仿宋" w:cs="仿宋"/>
          <w:sz w:val="24"/>
        </w:rPr>
      </w:pPr>
    </w:p>
    <w:p w14:paraId="2A33EC96">
      <w:pPr>
        <w:pStyle w:val="19"/>
        <w:rPr>
          <w:rFonts w:hint="eastAsia" w:ascii="仿宋" w:hAnsi="仿宋" w:eastAsia="仿宋" w:cs="仿宋"/>
          <w:sz w:val="24"/>
        </w:rPr>
      </w:pPr>
    </w:p>
    <w:p w14:paraId="07CA1237">
      <w:pPr>
        <w:pStyle w:val="19"/>
        <w:rPr>
          <w:rFonts w:hint="eastAsia" w:ascii="仿宋" w:hAnsi="仿宋" w:eastAsia="仿宋" w:cs="仿宋"/>
          <w:sz w:val="24"/>
        </w:rPr>
      </w:pPr>
    </w:p>
    <w:p w14:paraId="3CE9FD3A">
      <w:pPr>
        <w:pStyle w:val="19"/>
        <w:rPr>
          <w:rFonts w:hint="eastAsia" w:ascii="仿宋" w:hAnsi="仿宋" w:eastAsia="仿宋" w:cs="仿宋"/>
          <w:sz w:val="24"/>
        </w:rPr>
      </w:pPr>
    </w:p>
    <w:p w14:paraId="1E53F787">
      <w:pPr>
        <w:pStyle w:val="29"/>
        <w:spacing w:before="0" w:after="0" w:line="360" w:lineRule="auto"/>
        <w:jc w:val="center"/>
        <w:rPr>
          <w:rFonts w:hint="eastAsia" w:ascii="宋体" w:hAnsi="宋体" w:eastAsia="宋体" w:cs="宋体"/>
          <w:color w:val="auto"/>
          <w:sz w:val="28"/>
          <w:szCs w:val="28"/>
          <w:highlight w:val="none"/>
        </w:rPr>
      </w:pPr>
      <w:bookmarkStart w:id="0" w:name="_GoBack"/>
      <w:bookmarkEnd w:id="0"/>
      <w:r>
        <w:rPr>
          <w:rFonts w:hint="eastAsia" w:ascii="宋体" w:hAnsi="宋体" w:eastAsia="宋体" w:cs="宋体"/>
          <w:color w:val="auto"/>
          <w:sz w:val="28"/>
          <w:szCs w:val="28"/>
          <w:highlight w:val="none"/>
        </w:rPr>
        <w:t>采购需求</w:t>
      </w:r>
    </w:p>
    <w:p w14:paraId="5CEDB9EA">
      <w:pPr>
        <w:spacing w:line="440" w:lineRule="exact"/>
        <w:ind w:right="-190" w:rightChars="-95"/>
        <w:rPr>
          <w:rFonts w:hint="eastAsia" w:ascii="宋体" w:hAnsi="宋体" w:eastAsia="宋体" w:cs="宋体"/>
          <w:b/>
          <w:sz w:val="24"/>
          <w:highlight w:val="none"/>
        </w:rPr>
      </w:pPr>
      <w:r>
        <w:rPr>
          <w:rFonts w:hint="eastAsia" w:ascii="宋体" w:hAnsi="宋体" w:eastAsia="宋体" w:cs="宋体"/>
          <w:b/>
          <w:sz w:val="24"/>
          <w:highlight w:val="none"/>
        </w:rPr>
        <w:t>一、采购标的</w:t>
      </w:r>
    </w:p>
    <w:p w14:paraId="730C9F5E">
      <w:pPr>
        <w:pStyle w:val="24"/>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highlight w:val="none"/>
          <w:lang w:val="en-US" w:eastAsia="zh-CN"/>
        </w:rPr>
        <w:t>1、</w:t>
      </w:r>
      <w:r>
        <w:rPr>
          <w:rFonts w:hint="eastAsia" w:ascii="宋体" w:hAnsi="宋体" w:eastAsia="宋体" w:cs="宋体"/>
          <w:color w:val="auto"/>
          <w:highlight w:val="none"/>
        </w:rPr>
        <w:t>本项目采购</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的为</w:t>
      </w:r>
      <w:r>
        <w:rPr>
          <w:rFonts w:hint="eastAsia" w:ascii="宋体" w:hAnsi="宋体" w:eastAsia="宋体" w:cs="宋体"/>
          <w:color w:val="auto"/>
          <w:highlight w:val="none"/>
          <w:lang w:eastAsia="zh-CN"/>
        </w:rPr>
        <w:t>邳州市人防工程配建指标（详细规划）</w:t>
      </w:r>
      <w:r>
        <w:rPr>
          <w:rFonts w:hint="eastAsia" w:ascii="宋体" w:hAnsi="宋体" w:eastAsia="宋体" w:cs="宋体"/>
          <w:color w:val="auto"/>
          <w:highlight w:val="none"/>
        </w:rPr>
        <w:t>。</w:t>
      </w:r>
    </w:p>
    <w:p w14:paraId="751404BC">
      <w:pPr>
        <w:pStyle w:val="24"/>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b/>
          <w:bCs/>
          <w:color w:val="auto"/>
          <w:highlight w:val="none"/>
        </w:rPr>
        <w:t>本项目不接受超过</w:t>
      </w:r>
      <w:r>
        <w:rPr>
          <w:rFonts w:hint="eastAsia" w:cs="宋体"/>
          <w:b/>
          <w:bCs/>
          <w:color w:val="auto"/>
          <w:highlight w:val="none"/>
          <w:u w:val="single"/>
          <w:lang w:val="en-US" w:eastAsia="zh-CN"/>
        </w:rPr>
        <w:t xml:space="preserve"> 105</w:t>
      </w:r>
      <w:r>
        <w:rPr>
          <w:rFonts w:hint="eastAsia" w:ascii="宋体" w:hAnsi="宋体" w:eastAsia="宋体" w:cs="宋体"/>
          <w:b/>
          <w:bCs/>
          <w:color w:val="auto"/>
          <w:highlight w:val="none"/>
          <w:u w:val="single"/>
        </w:rPr>
        <w:t>万元</w:t>
      </w:r>
      <w:r>
        <w:rPr>
          <w:rFonts w:hint="eastAsia" w:ascii="宋体" w:hAnsi="宋体" w:eastAsia="宋体" w:cs="宋体"/>
          <w:b/>
          <w:bCs/>
          <w:color w:val="auto"/>
          <w:highlight w:val="none"/>
        </w:rPr>
        <w:t>（采购项目预算金额）的报价。</w:t>
      </w:r>
    </w:p>
    <w:p w14:paraId="41F397C0">
      <w:pPr>
        <w:pStyle w:val="24"/>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highlight w:val="none"/>
          <w:lang w:val="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服务期限：</w:t>
      </w:r>
      <w:r>
        <w:rPr>
          <w:rFonts w:hint="eastAsia" w:ascii="宋体" w:eastAsia="宋体" w:cs="宋体"/>
          <w:b/>
          <w:bCs/>
          <w:sz w:val="24"/>
          <w:szCs w:val="24"/>
          <w:highlight w:val="none"/>
          <w:lang w:val="zh-CN"/>
        </w:rPr>
        <w:t>202</w:t>
      </w:r>
      <w:r>
        <w:rPr>
          <w:rFonts w:hint="eastAsia" w:eastAsia="宋体" w:cs="宋体"/>
          <w:b/>
          <w:bCs/>
          <w:sz w:val="24"/>
          <w:szCs w:val="24"/>
          <w:highlight w:val="none"/>
          <w:lang w:val="en-US" w:eastAsia="zh-CN"/>
        </w:rPr>
        <w:t>5</w:t>
      </w:r>
      <w:r>
        <w:rPr>
          <w:rFonts w:hint="eastAsia" w:ascii="宋体" w:eastAsia="宋体" w:cs="宋体"/>
          <w:b/>
          <w:bCs/>
          <w:sz w:val="24"/>
          <w:szCs w:val="24"/>
          <w:highlight w:val="none"/>
          <w:lang w:val="zh-CN"/>
        </w:rPr>
        <w:t>年</w:t>
      </w:r>
      <w:r>
        <w:rPr>
          <w:rFonts w:hint="eastAsia" w:eastAsia="宋体" w:cs="宋体"/>
          <w:b/>
          <w:bCs/>
          <w:sz w:val="24"/>
          <w:szCs w:val="24"/>
          <w:highlight w:val="none"/>
          <w:lang w:val="en-US" w:eastAsia="zh-CN"/>
        </w:rPr>
        <w:t>7</w:t>
      </w:r>
      <w:r>
        <w:rPr>
          <w:rFonts w:hint="eastAsia" w:ascii="宋体" w:eastAsia="宋体" w:cs="宋体"/>
          <w:b/>
          <w:bCs/>
          <w:sz w:val="24"/>
          <w:szCs w:val="24"/>
          <w:highlight w:val="none"/>
          <w:lang w:val="zh-CN"/>
        </w:rPr>
        <w:t>月底</w:t>
      </w:r>
      <w:r>
        <w:rPr>
          <w:rFonts w:hint="eastAsia" w:ascii="宋体" w:eastAsia="宋体" w:cs="宋体"/>
          <w:b/>
          <w:bCs/>
          <w:sz w:val="24"/>
          <w:szCs w:val="24"/>
          <w:highlight w:val="none"/>
          <w:lang w:val="en-US" w:eastAsia="zh-CN"/>
        </w:rPr>
        <w:t>前向采购人提交</w:t>
      </w:r>
      <w:r>
        <w:rPr>
          <w:rFonts w:hint="eastAsia" w:ascii="宋体" w:eastAsia="宋体" w:cs="宋体"/>
          <w:b/>
          <w:bCs/>
          <w:sz w:val="24"/>
          <w:szCs w:val="24"/>
          <w:highlight w:val="none"/>
          <w:lang w:val="zh-CN"/>
        </w:rPr>
        <w:t>初步成果，2025年</w:t>
      </w:r>
      <w:r>
        <w:rPr>
          <w:rFonts w:hint="eastAsia" w:eastAsia="宋体" w:cs="宋体"/>
          <w:b/>
          <w:bCs/>
          <w:sz w:val="24"/>
          <w:szCs w:val="24"/>
          <w:highlight w:val="none"/>
          <w:lang w:val="en-US" w:eastAsia="zh-CN"/>
        </w:rPr>
        <w:t>10</w:t>
      </w:r>
      <w:r>
        <w:rPr>
          <w:rFonts w:hint="eastAsia" w:ascii="宋体" w:eastAsia="宋体" w:cs="宋体"/>
          <w:b/>
          <w:bCs/>
          <w:sz w:val="24"/>
          <w:szCs w:val="24"/>
          <w:highlight w:val="none"/>
          <w:lang w:val="zh-CN"/>
        </w:rPr>
        <w:t>月底完成专家评审。</w:t>
      </w:r>
    </w:p>
    <w:p w14:paraId="3028EEE4">
      <w:pPr>
        <w:pStyle w:val="24"/>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szCs w:val="24"/>
          <w:lang w:val="en-US" w:eastAsia="zh-CN"/>
        </w:rPr>
      </w:pPr>
      <w:r>
        <w:rPr>
          <w:rFonts w:hint="eastAsia" w:ascii="宋体" w:eastAsia="宋体" w:cs="宋体"/>
          <w:sz w:val="24"/>
          <w:szCs w:val="24"/>
          <w:lang w:val="en-US" w:eastAsia="zh-CN"/>
        </w:rPr>
        <w:t>4、服务质量：</w:t>
      </w:r>
      <w:r>
        <w:rPr>
          <w:rFonts w:hint="eastAsia" w:ascii="宋体" w:eastAsia="宋体" w:cs="宋体"/>
          <w:b/>
          <w:bCs/>
          <w:sz w:val="24"/>
          <w:szCs w:val="24"/>
          <w:lang w:val="en-US" w:eastAsia="zh-CN"/>
        </w:rPr>
        <w:t>符合现行国家、地方强制性、行业性等相关规范和采购人的要求，成果文件通过专家论证并协助采购人完成报批。</w:t>
      </w:r>
    </w:p>
    <w:p w14:paraId="5DFFD215">
      <w:pPr>
        <w:pStyle w:val="30"/>
        <w:spacing w:line="360" w:lineRule="auto"/>
        <w:ind w:left="0" w:leftChars="0" w:firstLine="0" w:firstLineChars="0"/>
        <w:contextualSpacing/>
        <w:rPr>
          <w:rFonts w:hint="eastAsia" w:ascii="宋体" w:eastAsia="宋体" w:cs="宋体"/>
          <w:b/>
          <w:sz w:val="24"/>
          <w:szCs w:val="24"/>
          <w:lang w:val="zh-CN"/>
        </w:rPr>
      </w:pPr>
      <w:r>
        <w:rPr>
          <w:rFonts w:hint="eastAsia" w:ascii="宋体" w:eastAsia="宋体" w:cs="宋体"/>
          <w:b/>
          <w:sz w:val="24"/>
          <w:szCs w:val="24"/>
          <w:lang w:val="en-US" w:eastAsia="zh-CN"/>
        </w:rPr>
        <w:t>二</w:t>
      </w:r>
      <w:r>
        <w:rPr>
          <w:rFonts w:hint="eastAsia" w:ascii="宋体" w:eastAsia="宋体" w:cs="宋体"/>
          <w:b/>
          <w:sz w:val="24"/>
          <w:szCs w:val="24"/>
          <w:lang w:val="zh-CN"/>
        </w:rPr>
        <w:t>、项目背景</w:t>
      </w:r>
    </w:p>
    <w:p w14:paraId="38DF566E">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根据《省国动办省自然资源厅关于做好人防工程规划建设管理工作的通知》（苏国动办（2023）37号）的要求，要进一步加强详细规划深化落实，将专项规划核心内容纳入详细规划中，明确重点人防工程的具体位置和建设规模。</w:t>
      </w:r>
    </w:p>
    <w:p w14:paraId="08901BC1">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邳州市人防工程专项规划》已编制完成，对全市提出了人防建设目标和要求。针对邳州市人防工程体系不完善、发展不平衡、布局不合理等突出问题，深化落实“一张图”系统中的人防工程建设专项规划要求，结合《江苏省人民防空工程建设使用规定》等要求，拟开展《邳州市人防工程配建指标（详细规划）》（简称《规划》）的编制工作。</w:t>
      </w:r>
    </w:p>
    <w:p w14:paraId="0BAB29C2">
      <w:pPr>
        <w:pStyle w:val="30"/>
        <w:spacing w:line="360" w:lineRule="auto"/>
        <w:ind w:left="0" w:leftChars="0" w:firstLine="0" w:firstLineChars="0"/>
        <w:contextualSpacing/>
        <w:rPr>
          <w:rFonts w:hint="eastAsia" w:ascii="宋体" w:eastAsia="宋体" w:cs="宋体"/>
          <w:b/>
          <w:sz w:val="24"/>
          <w:szCs w:val="24"/>
          <w:lang w:val="zh-CN"/>
        </w:rPr>
      </w:pPr>
      <w:r>
        <w:rPr>
          <w:rFonts w:hint="eastAsia" w:ascii="宋体" w:eastAsia="宋体" w:cs="宋体"/>
          <w:b/>
          <w:sz w:val="24"/>
          <w:szCs w:val="24"/>
          <w:lang w:val="en-US" w:eastAsia="zh-CN"/>
        </w:rPr>
        <w:t>三</w:t>
      </w:r>
      <w:r>
        <w:rPr>
          <w:rFonts w:hint="eastAsia" w:ascii="宋体" w:eastAsia="宋体" w:cs="宋体"/>
          <w:b/>
          <w:sz w:val="24"/>
          <w:szCs w:val="24"/>
          <w:lang w:val="zh-CN"/>
        </w:rPr>
        <w:t>、规划范围</w:t>
      </w:r>
    </w:p>
    <w:p w14:paraId="0AFC5E96">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本次规划范围邳州市中心城区以及人防重点镇。</w:t>
      </w:r>
    </w:p>
    <w:p w14:paraId="47BA1089">
      <w:pPr>
        <w:pStyle w:val="30"/>
        <w:spacing w:line="360" w:lineRule="auto"/>
        <w:ind w:left="0" w:leftChars="0" w:firstLine="0" w:firstLineChars="0"/>
        <w:contextualSpacing/>
        <w:rPr>
          <w:rFonts w:hint="eastAsia" w:ascii="宋体" w:eastAsia="宋体" w:cs="宋体"/>
          <w:b/>
          <w:sz w:val="24"/>
          <w:szCs w:val="24"/>
          <w:lang w:val="zh-CN"/>
        </w:rPr>
      </w:pPr>
      <w:r>
        <w:rPr>
          <w:rFonts w:hint="eastAsia" w:ascii="宋体" w:eastAsia="宋体" w:cs="宋体"/>
          <w:b/>
          <w:sz w:val="24"/>
          <w:szCs w:val="24"/>
          <w:lang w:val="en-US" w:eastAsia="zh-CN"/>
        </w:rPr>
        <w:t>四</w:t>
      </w:r>
      <w:r>
        <w:rPr>
          <w:rFonts w:hint="eastAsia" w:ascii="宋体" w:eastAsia="宋体" w:cs="宋体"/>
          <w:b/>
          <w:sz w:val="24"/>
          <w:szCs w:val="24"/>
          <w:lang w:val="zh-CN"/>
        </w:rPr>
        <w:t>、编制依据</w:t>
      </w:r>
    </w:p>
    <w:p w14:paraId="0C176D24">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1</w:t>
      </w:r>
      <w:r>
        <w:rPr>
          <w:rFonts w:hint="eastAsia" w:ascii="宋体" w:eastAsia="宋体" w:cs="宋体"/>
          <w:sz w:val="24"/>
          <w:szCs w:val="24"/>
          <w:lang w:val="zh-CN"/>
        </w:rPr>
        <w:t>、</w:t>
      </w:r>
      <w:r>
        <w:rPr>
          <w:rFonts w:ascii="宋体" w:eastAsia="宋体" w:cs="宋体"/>
          <w:sz w:val="24"/>
          <w:szCs w:val="24"/>
          <w:lang w:val="zh-CN"/>
        </w:rPr>
        <w:t>法律法规</w:t>
      </w:r>
    </w:p>
    <w:p w14:paraId="4EB4F02F">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《中华人民共和国人民防空法》（2009年修正）；</w:t>
      </w:r>
    </w:p>
    <w:p w14:paraId="5F4AFF07">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《中华人民共和国土地管理法》（2019年修正）；</w:t>
      </w:r>
    </w:p>
    <w:p w14:paraId="3D502EBF">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《中华人民共和国城乡规划法》（2019年修正）；</w:t>
      </w:r>
    </w:p>
    <w:p w14:paraId="278709BC">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《中华人民共和国土地管理法》（2019年修正）；</w:t>
      </w:r>
    </w:p>
    <w:p w14:paraId="67A22AE6">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《人民防空工程建设管理规定》（国人防办字〔2003〕第18号）；</w:t>
      </w:r>
    </w:p>
    <w:p w14:paraId="2AD1E33E">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其他相关法律法规</w:t>
      </w:r>
    </w:p>
    <w:p w14:paraId="163D0E0C">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2</w:t>
      </w:r>
      <w:r>
        <w:rPr>
          <w:rFonts w:hint="eastAsia" w:ascii="宋体" w:eastAsia="宋体" w:cs="宋体"/>
          <w:sz w:val="24"/>
          <w:szCs w:val="24"/>
          <w:lang w:val="zh-CN"/>
        </w:rPr>
        <w:t>、</w:t>
      </w:r>
      <w:r>
        <w:rPr>
          <w:rFonts w:ascii="宋体" w:eastAsia="宋体" w:cs="宋体"/>
          <w:sz w:val="24"/>
          <w:szCs w:val="24"/>
          <w:lang w:val="zh-CN"/>
        </w:rPr>
        <w:t>标准规范</w:t>
      </w:r>
    </w:p>
    <w:p w14:paraId="1207389A">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《人民防空工程战术技术要求》(国动字〔2003〕第8号)</w:t>
      </w:r>
    </w:p>
    <w:p w14:paraId="37BE2349">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《城市居住区人民防空工程规划规范》（GB50828-2013）</w:t>
      </w:r>
    </w:p>
    <w:p w14:paraId="4B23010A">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《人民防空地下室设计规范》（GB50038-2005）；</w:t>
      </w:r>
    </w:p>
    <w:p w14:paraId="35CA1093">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《城市地下空间利用基本术语标准》（JGJ/T 335-2014）；</w:t>
      </w:r>
    </w:p>
    <w:p w14:paraId="1C182174">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《城市公共建筑人防工程规划设计规范》（DB32/T-2018）；</w:t>
      </w:r>
    </w:p>
    <w:p w14:paraId="156047A5">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《城市居住区人防工程规划设计规范》（DGJ32/TJ120-2011）；</w:t>
      </w:r>
    </w:p>
    <w:p w14:paraId="00AE745C">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其他相关标准规范</w:t>
      </w:r>
    </w:p>
    <w:p w14:paraId="59AC32D6">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3</w:t>
      </w:r>
      <w:r>
        <w:rPr>
          <w:rFonts w:hint="eastAsia" w:ascii="宋体" w:eastAsia="宋体" w:cs="宋体"/>
          <w:sz w:val="24"/>
          <w:szCs w:val="24"/>
          <w:lang w:val="zh-CN"/>
        </w:rPr>
        <w:t>、</w:t>
      </w:r>
      <w:r>
        <w:rPr>
          <w:rFonts w:ascii="宋体" w:eastAsia="宋体" w:cs="宋体"/>
          <w:sz w:val="24"/>
          <w:szCs w:val="24"/>
          <w:lang w:val="zh-CN"/>
        </w:rPr>
        <w:t>政策文件</w:t>
      </w:r>
    </w:p>
    <w:p w14:paraId="414B3FCA">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《人民防空工程规划编制办法》（国人防〔2010〕189号）</w:t>
      </w:r>
    </w:p>
    <w:p w14:paraId="00A46441">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《关于深入推进人民防空改革发展若干问题的决定》（中发〔2014〕15号）</w:t>
      </w:r>
    </w:p>
    <w:p w14:paraId="3F6417CE">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《中共中央国务院中央军委关于加强人民防空工作的决定》（中发〔2001〕9号）</w:t>
      </w:r>
    </w:p>
    <w:p w14:paraId="2B061338">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《国务院中央军委关于进一步推进人民防空事业发展的若干意见》（国发〔2008〕4号）</w:t>
      </w:r>
    </w:p>
    <w:p w14:paraId="7FF8E034">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其他相关政策文件</w:t>
      </w:r>
    </w:p>
    <w:p w14:paraId="2F2EE404">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4</w:t>
      </w:r>
      <w:r>
        <w:rPr>
          <w:rFonts w:hint="eastAsia" w:ascii="宋体" w:eastAsia="宋体" w:cs="宋体"/>
          <w:sz w:val="24"/>
          <w:szCs w:val="24"/>
          <w:lang w:val="zh-CN"/>
        </w:rPr>
        <w:t>、</w:t>
      </w:r>
      <w:r>
        <w:rPr>
          <w:rFonts w:ascii="宋体" w:eastAsia="宋体" w:cs="宋体"/>
          <w:sz w:val="24"/>
          <w:szCs w:val="24"/>
          <w:lang w:val="zh-CN"/>
        </w:rPr>
        <w:t>相关规划</w:t>
      </w:r>
    </w:p>
    <w:p w14:paraId="3E6D9439">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徐州市人防工程专项规划；</w:t>
      </w:r>
    </w:p>
    <w:p w14:paraId="738FC542">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徐州市城市防空袭预案；</w:t>
      </w:r>
    </w:p>
    <w:p w14:paraId="6E9F2229">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邳州市</w:t>
      </w:r>
      <w:r>
        <w:rPr>
          <w:rFonts w:ascii="宋体" w:eastAsia="宋体" w:cs="宋体"/>
          <w:sz w:val="24"/>
          <w:szCs w:val="24"/>
          <w:lang w:val="zh-CN"/>
        </w:rPr>
        <w:t>相关城市控制性详细规划；</w:t>
      </w:r>
    </w:p>
    <w:p w14:paraId="59A7E71A">
      <w:pPr>
        <w:pStyle w:val="30"/>
        <w:spacing w:line="360" w:lineRule="auto"/>
        <w:ind w:firstLine="480"/>
        <w:contextualSpacing/>
        <w:rPr>
          <w:rFonts w:hint="eastAsia" w:ascii="宋体" w:eastAsia="宋体" w:cs="宋体"/>
          <w:sz w:val="24"/>
          <w:szCs w:val="24"/>
          <w:lang w:val="zh-CN"/>
        </w:rPr>
      </w:pPr>
      <w:r>
        <w:rPr>
          <w:rFonts w:ascii="宋体" w:eastAsia="宋体" w:cs="宋体"/>
          <w:sz w:val="24"/>
          <w:szCs w:val="24"/>
          <w:lang w:val="zh-CN"/>
        </w:rPr>
        <w:t>人民防空相关战术技术标准。</w:t>
      </w:r>
    </w:p>
    <w:p w14:paraId="242336E4">
      <w:pPr>
        <w:pStyle w:val="30"/>
        <w:snapToGrid w:val="0"/>
        <w:spacing w:line="360" w:lineRule="auto"/>
        <w:ind w:left="0" w:leftChars="0" w:firstLine="0" w:firstLineChars="0"/>
        <w:rPr>
          <w:rFonts w:hint="eastAsia" w:ascii="宋体" w:eastAsia="宋体" w:cs="宋体"/>
          <w:b/>
          <w:sz w:val="24"/>
          <w:szCs w:val="24"/>
          <w:lang w:val="zh-CN"/>
        </w:rPr>
      </w:pPr>
      <w:r>
        <w:rPr>
          <w:rFonts w:hint="eastAsia" w:ascii="宋体" w:eastAsia="宋体" w:cs="宋体"/>
          <w:b/>
          <w:sz w:val="24"/>
          <w:szCs w:val="24"/>
          <w:lang w:val="en-US" w:eastAsia="zh-CN"/>
        </w:rPr>
        <w:t>五</w:t>
      </w:r>
      <w:r>
        <w:rPr>
          <w:rFonts w:hint="eastAsia" w:ascii="宋体" w:eastAsia="宋体" w:cs="宋体"/>
          <w:b/>
          <w:sz w:val="24"/>
          <w:szCs w:val="24"/>
          <w:lang w:val="zh-CN"/>
        </w:rPr>
        <w:t>、编制要求</w:t>
      </w:r>
    </w:p>
    <w:p w14:paraId="680A2CFE">
      <w:pPr>
        <w:pStyle w:val="30"/>
        <w:snapToGrid w:val="0"/>
        <w:spacing w:line="360" w:lineRule="auto"/>
        <w:ind w:firstLine="480"/>
        <w:rPr>
          <w:rFonts w:hint="eastAsia" w:ascii="宋体" w:eastAsia="宋体" w:cs="宋体"/>
          <w:sz w:val="24"/>
          <w:szCs w:val="24"/>
        </w:rPr>
      </w:pPr>
      <w:r>
        <w:rPr>
          <w:rFonts w:hint="eastAsia" w:ascii="宋体" w:eastAsia="宋体" w:cs="宋体"/>
          <w:sz w:val="24"/>
          <w:szCs w:val="24"/>
        </w:rPr>
        <w:t>1、编制要求</w:t>
      </w:r>
    </w:p>
    <w:p w14:paraId="73966E1A">
      <w:pPr>
        <w:pStyle w:val="30"/>
        <w:snapToGrid w:val="0"/>
        <w:spacing w:line="360" w:lineRule="auto"/>
        <w:ind w:firstLine="480"/>
        <w:rPr>
          <w:rFonts w:hint="eastAsia" w:ascii="宋体" w:eastAsia="宋体" w:cs="宋体"/>
          <w:sz w:val="24"/>
          <w:szCs w:val="24"/>
        </w:rPr>
      </w:pPr>
      <w:r>
        <w:rPr>
          <w:rFonts w:hint="eastAsia" w:ascii="宋体" w:eastAsia="宋体" w:cs="宋体"/>
          <w:sz w:val="24"/>
          <w:szCs w:val="24"/>
        </w:rPr>
        <w:t>规划编制内容包含但不限于以下内容：落实上位规划确定的指标要求，提出各项人防工程（人防医疗救护工程、人防专业队工程、人员掩蔽工程、人防配套工程等）的配建要求，</w:t>
      </w:r>
      <w:r>
        <w:rPr>
          <w:rFonts w:ascii="宋体" w:eastAsia="宋体" w:cs="宋体"/>
          <w:color w:val="000000"/>
          <w:sz w:val="24"/>
        </w:rPr>
        <w:t>优化人防工程布局</w:t>
      </w:r>
      <w:r>
        <w:rPr>
          <w:rFonts w:hint="eastAsia" w:ascii="宋体" w:eastAsia="宋体" w:cs="宋体"/>
          <w:color w:val="000000"/>
          <w:sz w:val="24"/>
        </w:rPr>
        <w:t>，</w:t>
      </w:r>
      <w:r>
        <w:rPr>
          <w:rFonts w:ascii="宋体" w:eastAsia="宋体" w:cs="宋体"/>
          <w:color w:val="000000"/>
          <w:sz w:val="24"/>
        </w:rPr>
        <w:t>调整各类专项工程比例结构、平衡建设与易地关系</w:t>
      </w:r>
      <w:r>
        <w:rPr>
          <w:rFonts w:hint="eastAsia" w:ascii="宋体" w:eastAsia="宋体" w:cs="宋体"/>
          <w:color w:val="000000"/>
          <w:sz w:val="24"/>
        </w:rPr>
        <w:t>，</w:t>
      </w:r>
      <w:r>
        <w:rPr>
          <w:rFonts w:hint="eastAsia" w:ascii="宋体" w:eastAsia="宋体" w:cs="宋体"/>
          <w:sz w:val="24"/>
          <w:szCs w:val="24"/>
        </w:rPr>
        <w:t>对人防工程配建指标体系优化，确定人防疏散设施、警报设施、人防工程与地下空间互联互通控制要求等内容。</w:t>
      </w:r>
    </w:p>
    <w:p w14:paraId="330CDA79">
      <w:pPr>
        <w:pStyle w:val="30"/>
        <w:spacing w:line="360" w:lineRule="auto"/>
        <w:ind w:firstLine="480"/>
        <w:contextualSpacing/>
        <w:rPr>
          <w:rFonts w:hint="eastAsia" w:ascii="宋体" w:eastAsia="宋体" w:cs="宋体"/>
          <w:sz w:val="24"/>
          <w:szCs w:val="24"/>
        </w:rPr>
      </w:pPr>
      <w:r>
        <w:rPr>
          <w:rFonts w:hint="eastAsia" w:ascii="宋体" w:eastAsia="宋体" w:cs="宋体"/>
          <w:sz w:val="24"/>
          <w:szCs w:val="24"/>
        </w:rPr>
        <w:t>2、服务要求</w:t>
      </w:r>
    </w:p>
    <w:p w14:paraId="43B12F09">
      <w:pPr>
        <w:widowControl/>
        <w:shd w:val="clear" w:color="auto" w:fill="FFFFFF"/>
        <w:spacing w:line="360" w:lineRule="auto"/>
        <w:ind w:firstLine="480"/>
        <w:rPr>
          <w:color w:val="333333"/>
          <w:szCs w:val="21"/>
        </w:rPr>
      </w:pPr>
      <w:r>
        <w:rPr>
          <w:rFonts w:hint="eastAsia" w:ascii="宋体" w:hAnsi="宋体"/>
          <w:color w:val="000000"/>
          <w:sz w:val="24"/>
        </w:rPr>
        <w:t>（1）摸清现状</w:t>
      </w:r>
    </w:p>
    <w:p w14:paraId="0C657A7B">
      <w:pPr>
        <w:widowControl/>
        <w:shd w:val="clear" w:color="auto" w:fill="FFFFFF"/>
        <w:spacing w:line="360" w:lineRule="auto"/>
        <w:ind w:firstLine="480"/>
        <w:rPr>
          <w:color w:val="333333"/>
          <w:szCs w:val="21"/>
        </w:rPr>
      </w:pPr>
      <w:r>
        <w:rPr>
          <w:rFonts w:hint="eastAsia" w:ascii="宋体" w:hAnsi="宋体"/>
          <w:color w:val="000000"/>
          <w:sz w:val="24"/>
        </w:rPr>
        <w:t>摸清经开区各类工程现状建设情况，包括已建、在建、立项的各类工程。分析现状人防工程的空间分布特征、建设型式、工程结构特征、人均建设情况等，总结现状工程建设问题。</w:t>
      </w:r>
    </w:p>
    <w:p w14:paraId="76A001AA">
      <w:pPr>
        <w:widowControl/>
        <w:shd w:val="clear" w:color="auto" w:fill="FFFFFF"/>
        <w:spacing w:line="360" w:lineRule="auto"/>
        <w:ind w:firstLine="480"/>
        <w:rPr>
          <w:color w:val="333333"/>
          <w:szCs w:val="21"/>
        </w:rPr>
      </w:pPr>
      <w:r>
        <w:rPr>
          <w:rFonts w:hint="eastAsia" w:ascii="宋体" w:hAnsi="宋体"/>
          <w:color w:val="000000"/>
          <w:sz w:val="24"/>
        </w:rPr>
        <w:t>（2）梳理控规情况与分析用地潜力</w:t>
      </w:r>
    </w:p>
    <w:p w14:paraId="09A403BB">
      <w:pPr>
        <w:widowControl/>
        <w:shd w:val="clear" w:color="auto" w:fill="FFFFFF"/>
        <w:spacing w:line="360" w:lineRule="auto"/>
        <w:ind w:firstLine="480"/>
        <w:rPr>
          <w:color w:val="333333"/>
          <w:szCs w:val="21"/>
        </w:rPr>
      </w:pPr>
      <w:r>
        <w:rPr>
          <w:rFonts w:hint="eastAsia" w:ascii="宋体" w:hAnsi="宋体"/>
          <w:color w:val="000000"/>
          <w:sz w:val="24"/>
        </w:rPr>
        <w:t>梳理经开区已经编制的详细规划信息，包括各地块用地性质、用地面积、容积率、规划人口等。依据详细规划情况、已批地块情况和影像情况分析用地潜力，筛选人防建设可利用地块，确保人防工程详细规划与已经编制的详细规划紧密衔接，保障规划可实施性。</w:t>
      </w:r>
    </w:p>
    <w:p w14:paraId="608003EF">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（3）落实上位</w:t>
      </w:r>
      <w:r>
        <w:rPr>
          <w:rFonts w:ascii="宋体" w:hAnsi="宋体"/>
          <w:color w:val="000000"/>
          <w:sz w:val="24"/>
        </w:rPr>
        <w:t>规划指标</w:t>
      </w:r>
    </w:p>
    <w:p w14:paraId="5593A404">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落实经开区人民防空方案</w:t>
      </w:r>
      <w:r>
        <w:rPr>
          <w:rFonts w:ascii="宋体" w:hAnsi="宋体"/>
          <w:color w:val="000000"/>
          <w:sz w:val="24"/>
        </w:rPr>
        <w:t>中对中心城区城镇开发边界内提出的指标要求，统筹并落实各类人防设施（包括医疗救护工程、防空专业队工程、人员掩蔽工程、配套工程、人防疏散设施、警报设施等），因地制宜细化</w:t>
      </w:r>
      <w:r>
        <w:rPr>
          <w:rFonts w:hint="eastAsia" w:ascii="宋体" w:hAnsi="宋体"/>
          <w:color w:val="000000"/>
          <w:sz w:val="24"/>
        </w:rPr>
        <w:t>中心</w:t>
      </w:r>
      <w:r>
        <w:rPr>
          <w:rFonts w:ascii="宋体" w:hAnsi="宋体"/>
          <w:color w:val="000000"/>
          <w:sz w:val="24"/>
        </w:rPr>
        <w:t>城区的人防工程具体指标，明确公共人防工程规模、位置、功能等指标。</w:t>
      </w:r>
    </w:p>
    <w:p w14:paraId="1371F289">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（4）明确重要经济目标防护要求</w:t>
      </w:r>
    </w:p>
    <w:p w14:paraId="339812CE">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依据重要目标的类别和等级，结合经开区人民防空方案</w:t>
      </w:r>
      <w:r>
        <w:rPr>
          <w:rFonts w:ascii="宋体" w:hAnsi="宋体"/>
          <w:color w:val="000000"/>
          <w:sz w:val="24"/>
        </w:rPr>
        <w:t>相关指标要求，分析其毁伤影响范围，提出重要经济目标防护要求和防护措施，明确重要经济目标周边区域人防工程建设要求。</w:t>
      </w:r>
    </w:p>
    <w:p w14:paraId="01D9B18B">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（5）调结构、补短板，优化布局</w:t>
      </w:r>
    </w:p>
    <w:p w14:paraId="13F7617D">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综合考虑国家战略方针、现代战争特点，结合经开区城市地理环境、城市重点目标和重要目标及人口分布等情况，对人防通信警报设施、疏散设施与人防工程的布局、战时可用作人防设施的城市普通地下空间布局等作出统一规划，调结构、补短板、强弱项，优化人防设施布局。</w:t>
      </w:r>
    </w:p>
    <w:p w14:paraId="1D6F71B8">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（6）对接国土空间规划，完善人防规划编制体系</w:t>
      </w:r>
    </w:p>
    <w:p w14:paraId="66F47CCC">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充分与经开区自然资源部门编制的国土空间规划、详细规划对接，构建</w:t>
      </w:r>
      <w:r>
        <w:rPr>
          <w:rFonts w:ascii="宋体" w:hAnsi="宋体"/>
          <w:color w:val="000000"/>
          <w:sz w:val="24"/>
        </w:rPr>
        <w:t>规划传导体系，进一步细化人防设施布局，结合存量挖掘和增量开发，充分考虑战时和平时使用需求，对人防工程的建设规模、结构布局、体系配套，以及配合人防设施体系的管理与保障措施等作出具体规定。</w:t>
      </w:r>
    </w:p>
    <w:p w14:paraId="5F052257">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（7）落实“多规合一”，与相关规划充分衔接</w:t>
      </w:r>
    </w:p>
    <w:p w14:paraId="64754EFE">
      <w:pPr>
        <w:widowControl/>
        <w:shd w:val="clear" w:color="auto" w:fill="FFFFFF"/>
        <w:spacing w:line="360" w:lineRule="auto"/>
        <w:ind w:firstLine="480"/>
        <w:rPr>
          <w:rFonts w:hint="eastAsia" w:ascii="宋体" w:hAnsi="宋体"/>
          <w:color w:val="000000"/>
          <w:sz w:val="24"/>
        </w:rPr>
      </w:pPr>
      <w:r>
        <w:rPr>
          <w:rFonts w:hint="eastAsia" w:ascii="宋体" w:hAnsi="宋体"/>
          <w:color w:val="000000"/>
          <w:sz w:val="24"/>
        </w:rPr>
        <w:t>按照《中共中央国务院关于建立国土空间规划体系并监督实施的若干意见》的相关要求，将人防工程详细规划纳入国土空间规划体系统等人防建设与城市建设同步发展，与城市地下空间、综合交通、综合管廊、抗震防灾、消防、绿地系统、医疗、教育等专项规划同步运用，便于综合分析地下空间开发利用、停车位布局、应急避难场所、交通流线组织、轨道交通互联互通等因素，科学系统规划城市人防工程建设指标。</w:t>
      </w:r>
    </w:p>
    <w:p w14:paraId="6BF3B99E">
      <w:pPr>
        <w:widowControl/>
        <w:shd w:val="clear" w:color="auto" w:fill="FFFFFF"/>
        <w:spacing w:line="360" w:lineRule="auto"/>
        <w:ind w:firstLine="480"/>
        <w:rPr>
          <w:rFonts w:hint="eastAsia" w:ascii="宋体" w:hAnsi="宋体"/>
          <w:sz w:val="24"/>
        </w:rPr>
      </w:pPr>
      <w:r>
        <w:rPr>
          <w:rFonts w:hint="eastAsia" w:ascii="宋体" w:hAnsi="宋体"/>
          <w:sz w:val="24"/>
        </w:rPr>
        <w:t>（8）纳入“一张图”管理</w:t>
      </w:r>
    </w:p>
    <w:p w14:paraId="5B23F9A1">
      <w:pPr>
        <w:widowControl/>
        <w:shd w:val="clear" w:color="auto" w:fill="FFFFFF"/>
        <w:spacing w:line="360" w:lineRule="auto"/>
        <w:ind w:firstLine="480"/>
        <w:rPr>
          <w:rFonts w:hint="eastAsia" w:ascii="宋体" w:hAnsi="宋体"/>
          <w:sz w:val="24"/>
        </w:rPr>
      </w:pPr>
      <w:r>
        <w:rPr>
          <w:rFonts w:hint="eastAsia" w:ascii="宋体" w:hAnsi="宋体"/>
          <w:sz w:val="24"/>
        </w:rPr>
        <w:t>规划成果数据纳入国土空间规划“一张图”系统，支撑国土空间规划“一张图”管理，融入经开区统一信息管理平台，打通人防工程全周期运营壁垒，加强人防工程信息化管理。</w:t>
      </w:r>
    </w:p>
    <w:p w14:paraId="2DEA77BA">
      <w:pPr>
        <w:widowControl/>
        <w:numPr>
          <w:ilvl w:val="0"/>
          <w:numId w:val="1"/>
        </w:numPr>
        <w:shd w:val="clear" w:color="auto" w:fill="FFFFFF"/>
        <w:spacing w:line="360" w:lineRule="auto"/>
        <w:ind w:firstLine="480"/>
        <w:rPr>
          <w:rFonts w:hint="eastAsia" w:ascii="宋体" w:hAnsi="宋体"/>
          <w:sz w:val="24"/>
        </w:rPr>
      </w:pPr>
      <w:r>
        <w:rPr>
          <w:rFonts w:hint="eastAsia" w:ascii="宋体" w:hAnsi="宋体"/>
          <w:sz w:val="24"/>
        </w:rPr>
        <w:t>对规划成果进行动态维护调整</w:t>
      </w:r>
    </w:p>
    <w:p w14:paraId="60558B15">
      <w:pPr>
        <w:pStyle w:val="30"/>
        <w:spacing w:line="360" w:lineRule="auto"/>
        <w:ind w:firstLine="480"/>
        <w:contextualSpacing/>
        <w:rPr>
          <w:rFonts w:hint="eastAsia" w:ascii="宋体" w:eastAsia="宋体" w:cs="宋体"/>
          <w:sz w:val="24"/>
          <w:szCs w:val="24"/>
        </w:rPr>
      </w:pPr>
      <w:r>
        <w:rPr>
          <w:rFonts w:hint="eastAsia" w:ascii="宋体" w:eastAsia="宋体" w:cs="宋体"/>
          <w:sz w:val="24"/>
        </w:rPr>
        <w:t>为确保多规合一的实时联动效果，需依据2035版国土空间规划体系的相关规划成果和国家、省法律法规、规范标准的变动及时对《</w:t>
      </w:r>
      <w:r>
        <w:rPr>
          <w:rFonts w:hint="eastAsia" w:ascii="宋体" w:eastAsia="宋体" w:cs="宋体"/>
          <w:sz w:val="24"/>
          <w:szCs w:val="24"/>
          <w:lang w:val="zh-CN"/>
        </w:rPr>
        <w:t>经开区人防工程详细规划</w:t>
      </w:r>
      <w:r>
        <w:rPr>
          <w:rFonts w:hint="eastAsia" w:ascii="宋体" w:eastAsia="宋体" w:cs="宋体"/>
          <w:sz w:val="24"/>
        </w:rPr>
        <w:t>》进行动态维护调整（维护调整时限不得迟于具体项目规划条件编制时间），按照一年一批次的频率要求提交《</w:t>
      </w:r>
      <w:r>
        <w:rPr>
          <w:rFonts w:hint="eastAsia" w:ascii="宋体" w:eastAsia="宋体" w:cs="宋体"/>
          <w:sz w:val="24"/>
          <w:szCs w:val="24"/>
          <w:lang w:val="zh-CN"/>
        </w:rPr>
        <w:t>经开区人防工程详细规划</w:t>
      </w:r>
      <w:r>
        <w:rPr>
          <w:rFonts w:hint="eastAsia" w:ascii="宋体" w:eastAsia="宋体" w:cs="宋体"/>
          <w:sz w:val="24"/>
        </w:rPr>
        <w:t>年度维护调整成果报告》，维护期自规划正式批复后起算2年，相关费用计入投标报价中，后期不再额外支付。</w:t>
      </w:r>
    </w:p>
    <w:p w14:paraId="45F954D3">
      <w:pPr>
        <w:pStyle w:val="30"/>
        <w:spacing w:line="360" w:lineRule="auto"/>
        <w:ind w:left="0" w:leftChars="0" w:firstLine="0" w:firstLineChars="0"/>
        <w:contextualSpacing/>
        <w:rPr>
          <w:rFonts w:hint="eastAsia" w:ascii="宋体" w:eastAsia="宋体" w:cs="宋体"/>
          <w:b/>
          <w:sz w:val="24"/>
          <w:szCs w:val="24"/>
          <w:lang w:val="zh-CN"/>
        </w:rPr>
      </w:pPr>
      <w:r>
        <w:rPr>
          <w:rFonts w:hint="eastAsia" w:ascii="宋体" w:eastAsia="宋体" w:cs="宋体"/>
          <w:b/>
          <w:sz w:val="24"/>
          <w:szCs w:val="24"/>
          <w:lang w:val="en-US" w:eastAsia="zh-CN"/>
        </w:rPr>
        <w:t>六</w:t>
      </w:r>
      <w:r>
        <w:rPr>
          <w:rFonts w:hint="eastAsia" w:ascii="宋体" w:eastAsia="宋体" w:cs="宋体"/>
          <w:b/>
          <w:sz w:val="24"/>
          <w:szCs w:val="24"/>
          <w:lang w:val="zh-CN"/>
        </w:rPr>
        <w:t>、成果要求</w:t>
      </w:r>
    </w:p>
    <w:p w14:paraId="73460CCD">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（1）设计内容必须清晰完整，应准确、完整地阐述设计意图和内容，设计图纸内容必须全面。</w:t>
      </w:r>
    </w:p>
    <w:p w14:paraId="5527703B">
      <w:pPr>
        <w:pStyle w:val="30"/>
        <w:spacing w:line="360" w:lineRule="auto"/>
        <w:ind w:firstLine="480"/>
        <w:contextualSpacing/>
        <w:rPr>
          <w:rFonts w:hint="eastAsia" w:ascii="宋体" w:eastAsia="宋体" w:cs="宋体"/>
          <w:sz w:val="24"/>
          <w:szCs w:val="24"/>
          <w:lang w:val="zh-CN"/>
        </w:rPr>
      </w:pPr>
      <w:r>
        <w:rPr>
          <w:rFonts w:hint="eastAsia" w:ascii="宋体" w:eastAsia="宋体" w:cs="宋体"/>
          <w:sz w:val="24"/>
          <w:szCs w:val="24"/>
          <w:lang w:val="zh-CN"/>
        </w:rPr>
        <w:t>（2）规划研究成果包括包含文本、图集、图则和附件。提供纸质成果8份（须盖单位公章、项目负责人签字）。提供所有成果的电子文件两套（光盘），其中文本文件使用doc、PPT、PDF格式，图纸文件使用dwg和jpg格式。</w:t>
      </w:r>
    </w:p>
    <w:p w14:paraId="3957A2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B0503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07649"/>
    <w:multiLevelType w:val="multilevel"/>
    <w:tmpl w:val="37C07649"/>
    <w:lvl w:ilvl="0" w:tentative="0">
      <w:start w:val="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1560A"/>
    <w:rsid w:val="2123635E"/>
    <w:rsid w:val="26FE306D"/>
    <w:rsid w:val="49CB4788"/>
    <w:rsid w:val="4AF63941"/>
    <w:rsid w:val="518D1579"/>
    <w:rsid w:val="65954344"/>
    <w:rsid w:val="66D81FE6"/>
    <w:rsid w:val="70B43E06"/>
    <w:rsid w:val="7924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ahoma" w:hAnsi="Tahoma" w:eastAsia="微软雅黑" w:cs="Times New Roman"/>
      <w:lang w:val="en-US" w:eastAsia="zh-CN" w:bidi="ar-SA"/>
    </w:rPr>
  </w:style>
  <w:style w:type="paragraph" w:styleId="3">
    <w:name w:val="heading 3"/>
    <w:basedOn w:val="1"/>
    <w:next w:val="1"/>
    <w:link w:val="28"/>
    <w:unhideWhenUsed/>
    <w:qFormat/>
    <w:uiPriority w:val="9"/>
    <w:pPr>
      <w:keepNext/>
      <w:keepLines/>
      <w:spacing w:before="320" w:after="200"/>
      <w:outlineLvl w:val="2"/>
    </w:pPr>
    <w:rPr>
      <w:rFonts w:ascii="Arial" w:hAnsi="Arial" w:eastAsia="Arial" w:cs="Arial"/>
      <w:sz w:val="30"/>
      <w:szCs w:val="30"/>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1260"/>
    </w:pPr>
  </w:style>
  <w:style w:type="paragraph" w:styleId="4">
    <w:name w:val="Body Text"/>
    <w:basedOn w:val="1"/>
    <w:next w:val="5"/>
    <w:qFormat/>
    <w:uiPriority w:val="0"/>
    <w:rPr>
      <w:rFonts w:ascii="仿宋_GB2312" w:eastAsia="仿宋_GB2312"/>
      <w:color w:val="000000"/>
      <w:sz w:val="24"/>
      <w:u w:val="single"/>
    </w:rPr>
  </w:style>
  <w:style w:type="paragraph" w:customStyle="1" w:styleId="5">
    <w:name w:val="一级条标题"/>
    <w:basedOn w:val="6"/>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
    <w:name w:val="章标题"/>
    <w:basedOn w:val="7"/>
    <w:next w:val="14"/>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7">
    <w:name w:val="正文112"/>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正文首行缩进1"/>
    <w:basedOn w:val="9"/>
    <w:next w:val="10"/>
    <w:qFormat/>
    <w:uiPriority w:val="0"/>
    <w:pPr>
      <w:ind w:firstLine="420"/>
    </w:pPr>
  </w:style>
  <w:style w:type="paragraph" w:customStyle="1" w:styleId="9">
    <w:name w:val="正文文本11"/>
    <w:basedOn w:val="7"/>
    <w:next w:val="5"/>
    <w:qFormat/>
    <w:uiPriority w:val="0"/>
    <w:pPr>
      <w:spacing w:after="120"/>
    </w:pPr>
  </w:style>
  <w:style w:type="paragraph" w:customStyle="1" w:styleId="10">
    <w:name w:val="正文首行缩进 21"/>
    <w:basedOn w:val="11"/>
    <w:next w:val="12"/>
    <w:qFormat/>
    <w:uiPriority w:val="0"/>
    <w:pPr>
      <w:ind w:firstLine="420"/>
    </w:pPr>
    <w:rPr>
      <w:rFonts w:ascii="宋体" w:hAnsi="宋体"/>
      <w:sz w:val="20"/>
      <w:szCs w:val="20"/>
    </w:rPr>
  </w:style>
  <w:style w:type="paragraph" w:customStyle="1" w:styleId="11">
    <w:name w:val="正文文本缩进1"/>
    <w:basedOn w:val="12"/>
    <w:next w:val="21"/>
    <w:unhideWhenUsed/>
    <w:qFormat/>
    <w:uiPriority w:val="99"/>
    <w:pPr>
      <w:spacing w:line="360" w:lineRule="auto"/>
      <w:ind w:firstLine="425"/>
    </w:pPr>
  </w:style>
  <w:style w:type="paragraph" w:customStyle="1" w:styleId="12">
    <w:name w:val="正文12"/>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脚注文本1"/>
    <w:basedOn w:val="14"/>
    <w:next w:val="20"/>
    <w:qFormat/>
    <w:uiPriority w:val="0"/>
    <w:rPr>
      <w:rFonts w:ascii="宋体" w:eastAsia="Times New Roman"/>
      <w:sz w:val="18"/>
      <w:szCs w:val="18"/>
    </w:rPr>
  </w:style>
  <w:style w:type="paragraph" w:customStyle="1" w:styleId="14">
    <w:name w:val="正文1"/>
    <w:basedOn w:val="15"/>
    <w:next w:val="17"/>
    <w:qFormat/>
    <w:uiPriority w:val="0"/>
    <w:rPr>
      <w:rFonts w:hint="default" w:ascii="Times New Roman" w:hAnsi="Times New Roman" w:eastAsia="宋体" w:cs="Times New Roman"/>
      <w:lang w:val="en-US" w:eastAsia="zh-CN" w:bidi="ar-SA"/>
    </w:rPr>
  </w:style>
  <w:style w:type="paragraph" w:customStyle="1" w:styleId="15">
    <w:name w:val="正文111"/>
    <w:next w:val="16"/>
    <w:qFormat/>
    <w:uiPriority w:val="0"/>
    <w:rPr>
      <w:rFonts w:hint="default" w:ascii="Times New Roman" w:hAnsi="Times New Roman" w:eastAsia="宋体" w:cs="Times New Roman"/>
      <w:lang w:val="en-US" w:eastAsia="zh-CN" w:bidi="ar-SA"/>
    </w:rPr>
  </w:style>
  <w:style w:type="paragraph" w:customStyle="1" w:styleId="16">
    <w:name w:val="正文文本缩进11"/>
    <w:basedOn w:val="15"/>
    <w:qFormat/>
    <w:uiPriority w:val="0"/>
    <w:pPr>
      <w:spacing w:line="360" w:lineRule="auto"/>
      <w:ind w:firstLine="425"/>
    </w:pPr>
  </w:style>
  <w:style w:type="paragraph" w:customStyle="1" w:styleId="17">
    <w:name w:val="正文文本1"/>
    <w:basedOn w:val="18"/>
    <w:next w:val="5"/>
    <w:qFormat/>
    <w:uiPriority w:val="0"/>
    <w:rPr>
      <w:rFonts w:ascii="楷体_GB2312" w:hAnsi="Arial" w:eastAsia="楷体_GB2312"/>
      <w:sz w:val="28"/>
      <w:szCs w:val="28"/>
    </w:rPr>
  </w:style>
  <w:style w:type="paragraph" w:customStyle="1" w:styleId="18">
    <w:name w:val="正文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文本块1"/>
    <w:basedOn w:val="18"/>
    <w:qFormat/>
    <w:uiPriority w:val="0"/>
    <w:pPr>
      <w:ind w:left="256" w:right="6" w:firstLine="624"/>
    </w:pPr>
    <w:rPr>
      <w:rFonts w:eastAsia="仿宋_GB2312"/>
      <w:sz w:val="28"/>
      <w:szCs w:val="20"/>
    </w:rPr>
  </w:style>
  <w:style w:type="paragraph" w:customStyle="1" w:styleId="20">
    <w:name w:val="索引 51"/>
    <w:basedOn w:val="1"/>
    <w:next w:val="15"/>
    <w:qFormat/>
    <w:uiPriority w:val="0"/>
    <w:pPr>
      <w:ind w:left="798"/>
      <w:jc w:val="left"/>
    </w:pPr>
    <w:rPr>
      <w:rFonts w:ascii="Calibri" w:hAnsi="Calibri"/>
    </w:rPr>
  </w:style>
  <w:style w:type="paragraph" w:customStyle="1" w:styleId="21">
    <w:name w:val="寄信人地址1"/>
    <w:basedOn w:val="18"/>
    <w:unhideWhenUsed/>
    <w:qFormat/>
    <w:uiPriority w:val="99"/>
    <w:rPr>
      <w:rFonts w:ascii="Arial" w:hAnsi="Arial"/>
    </w:rPr>
  </w:style>
  <w:style w:type="paragraph" w:customStyle="1" w:styleId="22">
    <w:name w:val="段"/>
    <w:basedOn w:val="18"/>
    <w:next w:val="14"/>
    <w:qFormat/>
    <w:uiPriority w:val="0"/>
    <w:pPr>
      <w:widowControl/>
      <w:ind w:firstLine="200"/>
    </w:pPr>
    <w:rPr>
      <w:rFonts w:hint="eastAsia" w:ascii="宋体"/>
      <w:sz w:val="20"/>
      <w:szCs w:val="20"/>
    </w:rPr>
  </w:style>
  <w:style w:type="paragraph" w:styleId="23">
    <w:name w:val="toc 1"/>
    <w:basedOn w:val="1"/>
    <w:next w:val="1"/>
    <w:unhideWhenUsed/>
    <w:qFormat/>
    <w:uiPriority w:val="39"/>
    <w:pPr>
      <w:spacing w:after="57"/>
    </w:p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27">
    <w:name w:val="索引 41"/>
    <w:next w:val="14"/>
    <w:qFormat/>
    <w:uiPriority w:val="0"/>
    <w:pPr>
      <w:widowControl w:val="0"/>
      <w:ind w:left="600"/>
      <w:jc w:val="both"/>
    </w:pPr>
    <w:rPr>
      <w:rFonts w:hint="default" w:ascii="Calibri" w:hAnsi="Calibri" w:eastAsia="宋体" w:cs="Times New Roman"/>
      <w:sz w:val="22"/>
      <w:szCs w:val="22"/>
      <w:lang w:val="en-US" w:eastAsia="zh-CN" w:bidi="ar-SA"/>
    </w:rPr>
  </w:style>
  <w:style w:type="character" w:customStyle="1" w:styleId="28">
    <w:name w:val="标题 3 字符"/>
    <w:link w:val="3"/>
    <w:qFormat/>
    <w:uiPriority w:val="9"/>
    <w:rPr>
      <w:rFonts w:ascii="Arial" w:hAnsi="Arial" w:eastAsia="Arial" w:cs="Arial"/>
      <w:sz w:val="30"/>
      <w:szCs w:val="30"/>
    </w:rPr>
  </w:style>
  <w:style w:type="paragraph" w:customStyle="1" w:styleId="29">
    <w:name w:val="标题 11"/>
    <w:basedOn w:val="14"/>
    <w:next w:val="14"/>
    <w:qFormat/>
    <w:uiPriority w:val="0"/>
    <w:pPr>
      <w:keepNext/>
      <w:keepLines/>
      <w:spacing w:before="340" w:after="330" w:line="578" w:lineRule="atLeast"/>
      <w:outlineLvl w:val="0"/>
    </w:pPr>
    <w:rPr>
      <w:rFonts w:eastAsia="方正仿宋_GBK"/>
      <w:b/>
      <w:sz w:val="44"/>
      <w:szCs w:val="20"/>
    </w:rPr>
  </w:style>
  <w:style w:type="paragraph" w:customStyle="1" w:styleId="30">
    <w:name w:val="正文缩进2格"/>
    <w:basedOn w:val="1"/>
    <w:qFormat/>
    <w:uiPriority w:val="0"/>
    <w:pPr>
      <w:spacing w:line="600" w:lineRule="exact"/>
      <w:ind w:firstLine="639"/>
    </w:pPr>
    <w:rPr>
      <w:rFonts w:ascii="仿宋_GB2312" w:hAnsi="宋体" w:eastAsia="仿宋_GB2312"/>
      <w:kern w:val="0"/>
      <w:sz w:val="3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2538</Words>
  <Characters>2672</Characters>
  <Lines>0</Lines>
  <Paragraphs>0</Paragraphs>
  <TotalTime>4</TotalTime>
  <ScaleCrop>false</ScaleCrop>
  <LinksUpToDate>false</LinksUpToDate>
  <CharactersWithSpaces>2674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2023-03-14T08:45:00Z</dcterms:created>
  <dc:creator>Administrator</dc:creator>
  <cp:lastModifiedBy>A 『子墨 出品』一一偶然</cp:lastModifiedBy>
  <dcterms:modified xsi:type="dcterms:W3CDTF">2025-03-18T07:22:48Z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B21EBCD77E944632982792F5BBEAAB5E</vt:lpwstr>
  </property>
  <property fmtid="{D5CDD505-2E9C-101B-9397-08002B2CF9AE}" pid="4" name="KSOTemplateDocerSaveRecord">
    <vt:lpwstr>eyJoZGlkIjoiZDE0ZWYxZTRiMzE3Y2Y0NzU2ZTUyNWRjOWM1OGM0MjUiLCJ1c2VySWQiOiIxMTM1MjI4NzE4In0=</vt:lpwstr>
  </property>
</Properties>
</file>