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2025年3月20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之前送至我单位，逾期不受理（如邮寄，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2025年3月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之后到达本单位的邮件将不再受理）。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采购需求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一、说明</w:t>
      </w:r>
    </w:p>
    <w:p>
      <w:pPr>
        <w:tabs>
          <w:tab w:val="left" w:pos="0"/>
        </w:tabs>
        <w:spacing w:line="360" w:lineRule="auto"/>
        <w:ind w:firstLine="48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（一）采购人：徐州市铜山区人民政府办公室</w:t>
      </w:r>
    </w:p>
    <w:p>
      <w:pPr>
        <w:tabs>
          <w:tab w:val="left" w:pos="0"/>
        </w:tabs>
        <w:spacing w:line="360" w:lineRule="auto"/>
        <w:ind w:firstLine="48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（二）采购项目名称：</w:t>
      </w:r>
      <w:r>
        <w:rPr>
          <w:rFonts w:hint="eastAsia" w:ascii="宋体" w:hAnsi="宋体" w:cs="宋体"/>
          <w:sz w:val="24"/>
          <w:lang w:eastAsia="zh-CN"/>
        </w:rPr>
        <w:t>徐州市铜山区人民政府办公室会议中心和院内物业服务项目</w:t>
      </w:r>
    </w:p>
    <w:p>
      <w:pPr>
        <w:spacing w:line="360" w:lineRule="auto"/>
        <w:ind w:firstLine="478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（三）采购标的：</w:t>
      </w:r>
      <w:r>
        <w:rPr>
          <w:rFonts w:hint="eastAsia" w:ascii="宋体" w:hAnsi="宋体" w:cs="宋体"/>
          <w:sz w:val="24"/>
          <w:lang w:eastAsia="zh-CN"/>
        </w:rPr>
        <w:t>徐州市铜山区人民政府办公室会议中心和院内物业服务项目</w:t>
      </w:r>
    </w:p>
    <w:p>
      <w:pPr>
        <w:spacing w:line="360" w:lineRule="auto"/>
        <w:ind w:firstLine="47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徐州市铜山区人民政府办公室会议中心和院内物业服务项目</w:t>
      </w:r>
      <w:r>
        <w:rPr>
          <w:rFonts w:hint="eastAsia" w:ascii="宋体" w:hAnsi="宋体" w:cs="宋体"/>
          <w:sz w:val="24"/>
        </w:rPr>
        <w:t>对应的中小企业划分标准所属行业为（物业管理）。</w:t>
      </w:r>
    </w:p>
    <w:p>
      <w:pPr>
        <w:pStyle w:val="6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注：中小企业划分标准所属行业以《关于印发中小企业划型标准规定的通知》（工信部联企业[2011]300号）的规定为准。：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或营业收入500万元以下的为微型企业。</w:t>
      </w:r>
    </w:p>
    <w:p>
      <w:pPr>
        <w:spacing w:line="360" w:lineRule="auto"/>
        <w:ind w:firstLine="47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（四）本项目为专门面向中小企业采购的项目。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（五）本项目不接受超过23万元（采购项目预算金额）的投标报价。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二、项目基本概况</w:t>
      </w:r>
    </w:p>
    <w:p>
      <w:pPr>
        <w:spacing w:line="360" w:lineRule="auto"/>
        <w:ind w:firstLine="47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 物业情况： </w:t>
      </w:r>
    </w:p>
    <w:tbl>
      <w:tblPr>
        <w:tblStyle w:val="8"/>
        <w:tblW w:w="9457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5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447" w:type="dxa"/>
          </w:tcPr>
          <w:p>
            <w:pPr>
              <w:spacing w:line="360" w:lineRule="auto"/>
              <w:ind w:firstLine="4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物业名称</w:t>
            </w:r>
          </w:p>
        </w:tc>
        <w:tc>
          <w:tcPr>
            <w:tcW w:w="5010" w:type="dxa"/>
          </w:tcPr>
          <w:p>
            <w:pPr>
              <w:spacing w:line="360" w:lineRule="auto"/>
              <w:ind w:firstLine="4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44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徐州市铜山区人民政府办公室会议中心和院内物业服务项目</w:t>
            </w:r>
          </w:p>
        </w:tc>
        <w:tc>
          <w:tcPr>
            <w:tcW w:w="501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徐州市铜山区府前路1号</w:t>
            </w:r>
          </w:p>
        </w:tc>
      </w:tr>
    </w:tbl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采购人提供供应商使用的场地: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采购人可提供的办公室，办公室数量：1间；面积：20㎡。</w:t>
      </w:r>
    </w:p>
    <w:p>
      <w:pPr>
        <w:pStyle w:val="6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三、物业服务范围</w:t>
      </w:r>
    </w:p>
    <w:p>
      <w:pPr>
        <w:pStyle w:val="9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1．物业管理（建筑物）</w:t>
      </w:r>
    </w:p>
    <w:tbl>
      <w:tblPr>
        <w:tblStyle w:val="8"/>
        <w:tblW w:w="9457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939"/>
        <w:gridCol w:w="3255"/>
        <w:gridCol w:w="3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812" w:type="dxa"/>
            <w:gridSpan w:val="2"/>
          </w:tcPr>
          <w:p>
            <w:pPr>
              <w:pStyle w:val="10"/>
              <w:spacing w:line="360" w:lineRule="auto"/>
              <w:ind w:right="1565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名称</w:t>
            </w:r>
          </w:p>
        </w:tc>
        <w:tc>
          <w:tcPr>
            <w:tcW w:w="3255" w:type="dxa"/>
          </w:tcPr>
          <w:p>
            <w:pPr>
              <w:pStyle w:val="10"/>
              <w:spacing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明细</w:t>
            </w:r>
          </w:p>
        </w:tc>
        <w:tc>
          <w:tcPr>
            <w:tcW w:w="3390" w:type="dxa"/>
          </w:tcPr>
          <w:p>
            <w:pPr>
              <w:pStyle w:val="10"/>
              <w:spacing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服务内容及标准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812" w:type="dxa"/>
            <w:gridSpan w:val="2"/>
          </w:tcPr>
          <w:p>
            <w:pPr>
              <w:pStyle w:val="10"/>
              <w:spacing w:before="61" w:line="360" w:lineRule="auto"/>
              <w:ind w:left="10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建筑物名称</w:t>
            </w:r>
          </w:p>
        </w:tc>
        <w:tc>
          <w:tcPr>
            <w:tcW w:w="3255" w:type="dxa"/>
          </w:tcPr>
          <w:p>
            <w:pPr>
              <w:pStyle w:val="10"/>
              <w:spacing w:before="61" w:line="360" w:lineRule="auto"/>
              <w:ind w:left="108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办公楼、</w:t>
            </w:r>
            <w:r>
              <w:rPr>
                <w:rFonts w:hint="eastAsia"/>
                <w:sz w:val="24"/>
                <w:lang w:val="en-US"/>
              </w:rPr>
              <w:t>综合楼</w:t>
            </w:r>
          </w:p>
        </w:tc>
        <w:tc>
          <w:tcPr>
            <w:tcW w:w="3390" w:type="dxa"/>
          </w:tcPr>
          <w:p>
            <w:pPr>
              <w:pStyle w:val="10"/>
              <w:spacing w:line="360" w:lineRule="auto"/>
              <w:jc w:val="center"/>
              <w:rPr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3" w:type="dxa"/>
            <w:vMerge w:val="restart"/>
          </w:tcPr>
          <w:p>
            <w:pPr>
              <w:pStyle w:val="10"/>
              <w:spacing w:before="1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总面积</w:t>
            </w:r>
          </w:p>
        </w:tc>
        <w:tc>
          <w:tcPr>
            <w:tcW w:w="1939" w:type="dxa"/>
          </w:tcPr>
          <w:p>
            <w:pPr>
              <w:pStyle w:val="10"/>
              <w:spacing w:before="61" w:line="360" w:lineRule="auto"/>
              <w:ind w:left="105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建筑面积（㎡）</w:t>
            </w:r>
          </w:p>
        </w:tc>
        <w:tc>
          <w:tcPr>
            <w:tcW w:w="3255" w:type="dxa"/>
            <w:vAlign w:val="center"/>
          </w:tcPr>
          <w:p>
            <w:pPr>
              <w:pStyle w:val="10"/>
              <w:spacing w:before="61" w:line="360" w:lineRule="auto"/>
              <w:ind w:left="108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/>
              </w:rPr>
              <w:t>11540</w:t>
            </w:r>
            <w:r>
              <w:rPr>
                <w:rFonts w:hint="eastAsia"/>
                <w:sz w:val="24"/>
                <w:lang w:val="en-US" w:bidi="ar-SA"/>
              </w:rPr>
              <w:t>㎡</w:t>
            </w:r>
          </w:p>
        </w:tc>
        <w:tc>
          <w:tcPr>
            <w:tcW w:w="3390" w:type="dxa"/>
          </w:tcPr>
          <w:p>
            <w:pPr>
              <w:pStyle w:val="10"/>
              <w:spacing w:before="61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3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10"/>
              <w:spacing w:before="61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需保洁面积（㎡）</w:t>
            </w:r>
          </w:p>
        </w:tc>
        <w:tc>
          <w:tcPr>
            <w:tcW w:w="3255" w:type="dxa"/>
            <w:vAlign w:val="center"/>
          </w:tcPr>
          <w:p>
            <w:pPr>
              <w:pStyle w:val="10"/>
              <w:spacing w:before="61" w:line="360" w:lineRule="auto"/>
              <w:ind w:left="108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/>
              </w:rPr>
              <w:t>6700</w:t>
            </w:r>
            <w:r>
              <w:rPr>
                <w:rFonts w:hint="eastAsia"/>
                <w:sz w:val="24"/>
                <w:lang w:val="en-US" w:bidi="ar-SA"/>
              </w:rPr>
              <w:t>㎡</w:t>
            </w:r>
          </w:p>
        </w:tc>
        <w:tc>
          <w:tcPr>
            <w:tcW w:w="3390" w:type="dxa"/>
          </w:tcPr>
          <w:p>
            <w:pPr>
              <w:pStyle w:val="10"/>
              <w:spacing w:before="61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3" w:type="dxa"/>
          </w:tcPr>
          <w:p>
            <w:pPr>
              <w:pStyle w:val="10"/>
              <w:spacing w:before="174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门窗</w:t>
            </w:r>
          </w:p>
        </w:tc>
        <w:tc>
          <w:tcPr>
            <w:tcW w:w="1939" w:type="dxa"/>
          </w:tcPr>
          <w:p>
            <w:pPr>
              <w:pStyle w:val="10"/>
              <w:spacing w:before="3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门窗总数量（个）及总面积（㎡）</w:t>
            </w:r>
          </w:p>
        </w:tc>
        <w:tc>
          <w:tcPr>
            <w:tcW w:w="3255" w:type="dxa"/>
          </w:tcPr>
          <w:p>
            <w:pPr>
              <w:pStyle w:val="10"/>
              <w:spacing w:before="174" w:line="360" w:lineRule="auto"/>
              <w:ind w:left="827" w:leftChars="51" w:hanging="720" w:hangingChars="300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门：25个, 窗：280个。总面积约2000㎡</w:t>
            </w:r>
          </w:p>
        </w:tc>
        <w:tc>
          <w:tcPr>
            <w:tcW w:w="3390" w:type="dxa"/>
          </w:tcPr>
          <w:p>
            <w:pPr>
              <w:pStyle w:val="10"/>
              <w:spacing w:before="174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3" w:type="dxa"/>
            <w:tcBorders>
              <w:bottom w:val="single" w:color="auto" w:sz="4" w:space="0"/>
            </w:tcBorders>
          </w:tcPr>
          <w:p>
            <w:pPr>
              <w:pStyle w:val="10"/>
              <w:spacing w:before="174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地面</w:t>
            </w:r>
          </w:p>
        </w:tc>
        <w:tc>
          <w:tcPr>
            <w:tcW w:w="1939" w:type="dxa"/>
            <w:tcBorders>
              <w:bottom w:val="single" w:color="auto" w:sz="4" w:space="0"/>
            </w:tcBorders>
          </w:tcPr>
          <w:p>
            <w:pPr>
              <w:pStyle w:val="10"/>
              <w:spacing w:before="3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地面各材质及总面积 （㎡）</w:t>
            </w:r>
          </w:p>
        </w:tc>
        <w:tc>
          <w:tcPr>
            <w:tcW w:w="3255" w:type="dxa"/>
          </w:tcPr>
          <w:p>
            <w:pPr>
              <w:pStyle w:val="10"/>
              <w:spacing w:before="3" w:line="360" w:lineRule="auto"/>
              <w:ind w:left="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总面积约 6700㎡</w:t>
            </w:r>
          </w:p>
        </w:tc>
        <w:tc>
          <w:tcPr>
            <w:tcW w:w="3390" w:type="dxa"/>
          </w:tcPr>
          <w:p>
            <w:pPr>
              <w:pStyle w:val="10"/>
              <w:spacing w:before="174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939" w:type="dxa"/>
          </w:tcPr>
          <w:p>
            <w:pPr>
              <w:pStyle w:val="10"/>
              <w:spacing w:before="6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会议室数量（1个）及总面积1000（㎡）</w:t>
            </w:r>
          </w:p>
        </w:tc>
        <w:tc>
          <w:tcPr>
            <w:tcW w:w="3255" w:type="dxa"/>
          </w:tcPr>
          <w:p>
            <w:pPr>
              <w:pStyle w:val="10"/>
              <w:spacing w:before="174" w:line="360" w:lineRule="auto"/>
              <w:ind w:left="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会议室总数量：1个。总面积：1000㎡</w:t>
            </w:r>
          </w:p>
        </w:tc>
        <w:tc>
          <w:tcPr>
            <w:tcW w:w="3390" w:type="dxa"/>
          </w:tcPr>
          <w:p>
            <w:pPr>
              <w:pStyle w:val="10"/>
              <w:spacing w:before="174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见“保洁服务”“ 会议服务”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3" w:type="dxa"/>
            <w:tcBorders>
              <w:top w:val="nil"/>
            </w:tcBorders>
          </w:tcPr>
          <w:p>
            <w:pPr>
              <w:pStyle w:val="10"/>
              <w:spacing w:before="174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卫生间</w:t>
            </w:r>
          </w:p>
        </w:tc>
        <w:tc>
          <w:tcPr>
            <w:tcW w:w="1939" w:type="dxa"/>
          </w:tcPr>
          <w:p>
            <w:pPr>
              <w:pStyle w:val="10"/>
              <w:spacing w:before="3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卫生间数量（个）及总面积（㎡）</w:t>
            </w:r>
          </w:p>
        </w:tc>
        <w:tc>
          <w:tcPr>
            <w:tcW w:w="3255" w:type="dxa"/>
          </w:tcPr>
          <w:p>
            <w:pPr>
              <w:pStyle w:val="10"/>
              <w:spacing w:before="174" w:line="360" w:lineRule="auto"/>
              <w:ind w:left="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卫生间数量25个。总面积290㎡</w:t>
            </w:r>
          </w:p>
        </w:tc>
        <w:tc>
          <w:tcPr>
            <w:tcW w:w="3390" w:type="dxa"/>
          </w:tcPr>
          <w:p>
            <w:pPr>
              <w:pStyle w:val="10"/>
              <w:spacing w:before="174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3" w:type="dxa"/>
            <w:tcBorders>
              <w:top w:val="nil"/>
            </w:tcBorders>
          </w:tcPr>
          <w:p>
            <w:pPr>
              <w:pStyle w:val="10"/>
              <w:spacing w:before="3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垃圾存放 点</w:t>
            </w:r>
          </w:p>
        </w:tc>
        <w:tc>
          <w:tcPr>
            <w:tcW w:w="1939" w:type="dxa"/>
          </w:tcPr>
          <w:p>
            <w:pPr>
              <w:pStyle w:val="10"/>
              <w:spacing w:before="3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各垃圾存放点位置、面积（㎡）及数量（个）</w:t>
            </w:r>
          </w:p>
        </w:tc>
        <w:tc>
          <w:tcPr>
            <w:tcW w:w="3255" w:type="dxa"/>
          </w:tcPr>
          <w:p>
            <w:pPr>
              <w:pStyle w:val="10"/>
              <w:spacing w:before="173" w:line="360" w:lineRule="auto"/>
              <w:ind w:left="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垃圾存放点位置为办公楼东北、面积为20㎡,数量为1个。</w:t>
            </w:r>
          </w:p>
        </w:tc>
        <w:tc>
          <w:tcPr>
            <w:tcW w:w="3390" w:type="dxa"/>
          </w:tcPr>
          <w:p>
            <w:pPr>
              <w:pStyle w:val="10"/>
              <w:spacing w:before="173" w:line="360" w:lineRule="auto"/>
              <w:ind w:left="106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</w:tbl>
    <w:p>
      <w:pPr>
        <w:pStyle w:val="9"/>
        <w:spacing w:line="360" w:lineRule="auto"/>
        <w:rPr>
          <w:rFonts w:ascii="宋体" w:hAnsi="宋体" w:cs="宋体"/>
          <w:sz w:val="24"/>
        </w:rPr>
      </w:pPr>
    </w:p>
    <w:p>
      <w:pPr>
        <w:pStyle w:val="9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2．物业管理（室外）</w:t>
      </w:r>
    </w:p>
    <w:tbl>
      <w:tblPr>
        <w:tblStyle w:val="8"/>
        <w:tblW w:w="9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3607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71" w:type="dxa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07" w:type="dxa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3240" w:type="dxa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71" w:type="dxa"/>
          </w:tcPr>
          <w:p>
            <w:pPr>
              <w:pStyle w:val="10"/>
              <w:spacing w:before="61" w:line="360" w:lineRule="auto"/>
              <w:ind w:left="10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室外面积</w:t>
            </w:r>
          </w:p>
        </w:tc>
        <w:tc>
          <w:tcPr>
            <w:tcW w:w="3607" w:type="dxa"/>
          </w:tcPr>
          <w:p>
            <w:pPr>
              <w:pStyle w:val="10"/>
              <w:spacing w:before="61" w:line="360" w:lineRule="auto"/>
              <w:ind w:left="105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100㎡</w:t>
            </w:r>
          </w:p>
        </w:tc>
        <w:tc>
          <w:tcPr>
            <w:tcW w:w="3240" w:type="dxa"/>
          </w:tcPr>
          <w:p>
            <w:pPr>
              <w:pStyle w:val="10"/>
              <w:spacing w:before="61" w:line="360" w:lineRule="auto"/>
              <w:ind w:left="106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71" w:type="dxa"/>
          </w:tcPr>
          <w:p>
            <w:pPr>
              <w:pStyle w:val="10"/>
              <w:spacing w:before="58" w:line="360" w:lineRule="auto"/>
              <w:ind w:left="10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绿化</w:t>
            </w:r>
          </w:p>
        </w:tc>
        <w:tc>
          <w:tcPr>
            <w:tcW w:w="3607" w:type="dxa"/>
          </w:tcPr>
          <w:p>
            <w:pPr>
              <w:pStyle w:val="10"/>
              <w:spacing w:before="58" w:line="360" w:lineRule="auto"/>
              <w:ind w:left="105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30000㎡</w:t>
            </w:r>
          </w:p>
        </w:tc>
        <w:tc>
          <w:tcPr>
            <w:tcW w:w="3240" w:type="dxa"/>
          </w:tcPr>
          <w:p>
            <w:pPr>
              <w:pStyle w:val="10"/>
              <w:spacing w:before="58" w:line="360" w:lineRule="auto"/>
              <w:ind w:left="106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71" w:type="dxa"/>
          </w:tcPr>
          <w:p>
            <w:pPr>
              <w:pStyle w:val="10"/>
              <w:spacing w:before="61" w:line="360" w:lineRule="auto"/>
              <w:ind w:left="10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垃圾箱</w:t>
            </w:r>
          </w:p>
        </w:tc>
        <w:tc>
          <w:tcPr>
            <w:tcW w:w="3607" w:type="dxa"/>
          </w:tcPr>
          <w:p>
            <w:pPr>
              <w:pStyle w:val="10"/>
              <w:spacing w:before="61" w:line="360" w:lineRule="auto"/>
              <w:ind w:left="105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bCs/>
                <w:sz w:val="24"/>
              </w:rPr>
              <w:t>垃圾桶：</w:t>
            </w:r>
            <w:r>
              <w:rPr>
                <w:rFonts w:hint="eastAsia"/>
                <w:bCs/>
                <w:sz w:val="24"/>
                <w:lang w:val="en-US"/>
              </w:rPr>
              <w:t>50个</w:t>
            </w:r>
          </w:p>
        </w:tc>
        <w:tc>
          <w:tcPr>
            <w:tcW w:w="3240" w:type="dxa"/>
          </w:tcPr>
          <w:p>
            <w:pPr>
              <w:pStyle w:val="10"/>
              <w:spacing w:before="61" w:line="360" w:lineRule="auto"/>
              <w:ind w:left="106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见“保洁服务”</w:t>
            </w:r>
          </w:p>
        </w:tc>
      </w:tr>
    </w:tbl>
    <w:p>
      <w:pPr>
        <w:pStyle w:val="9"/>
        <w:spacing w:line="360" w:lineRule="auto"/>
        <w:rPr>
          <w:rFonts w:ascii="宋体" w:hAnsi="宋体" w:cs="宋体"/>
          <w:sz w:val="24"/>
        </w:rPr>
      </w:pPr>
    </w:p>
    <w:p>
      <w:pPr>
        <w:pStyle w:val="9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四、物业管理服务内容及标准</w:t>
      </w:r>
    </w:p>
    <w:p>
      <w:pPr>
        <w:pStyle w:val="9"/>
        <w:spacing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（一）物业管理服务具体内容及标准</w:t>
      </w:r>
    </w:p>
    <w:p>
      <w:pPr>
        <w:pStyle w:val="9"/>
        <w:spacing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物业管理服务包括基本服务、保洁服务、会议服务等。</w:t>
      </w:r>
    </w:p>
    <w:p>
      <w:pPr>
        <w:pStyle w:val="9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基本服务</w:t>
      </w:r>
    </w:p>
    <w:tbl>
      <w:tblPr>
        <w:tblStyle w:val="8"/>
        <w:tblW w:w="9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03"/>
        <w:gridCol w:w="7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5" w:type="dxa"/>
          </w:tcPr>
          <w:p>
            <w:pPr>
              <w:pStyle w:val="10"/>
              <w:spacing w:line="360" w:lineRule="auto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序号</w:t>
            </w:r>
          </w:p>
        </w:tc>
        <w:tc>
          <w:tcPr>
            <w:tcW w:w="1803" w:type="dxa"/>
          </w:tcPr>
          <w:p>
            <w:pPr>
              <w:pStyle w:val="10"/>
              <w:spacing w:line="360" w:lineRule="auto"/>
              <w:ind w:right="-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服务内容</w:t>
            </w:r>
          </w:p>
        </w:tc>
        <w:tc>
          <w:tcPr>
            <w:tcW w:w="7110" w:type="dxa"/>
          </w:tcPr>
          <w:p>
            <w:pPr>
              <w:pStyle w:val="10"/>
              <w:spacing w:line="360" w:lineRule="auto"/>
              <w:ind w:right="-5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</w:tcPr>
          <w:p>
            <w:pPr>
              <w:pStyle w:val="10"/>
              <w:spacing w:before="1"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1</w:t>
            </w:r>
          </w:p>
        </w:tc>
        <w:tc>
          <w:tcPr>
            <w:tcW w:w="1803" w:type="dxa"/>
          </w:tcPr>
          <w:p>
            <w:pPr>
              <w:pStyle w:val="10"/>
              <w:spacing w:before="1"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目标与责任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580"/>
              </w:tabs>
              <w:spacing w:before="61" w:line="360" w:lineRule="auto"/>
              <w:ind w:right="-15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（1）结合采购人要求及物业服务实际情况，制定年度管理目标，明确责任分工，并制定配套实施方案。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2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服务人员要求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04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（1）每季度至少开展 1 次岗位技能、职业素质、服务知识、客户文化、绿色节能环保等教育培训，并进行适当形式的考核。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（2）根据采购人要求对服务人员进行从业资格审查，审查结果向采购人报备。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284"/>
              </w:tabs>
              <w:spacing w:before="4" w:line="360" w:lineRule="auto"/>
              <w:ind w:right="97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服务人员的年龄、学历、工作经验及资格条件应当与所在岗位能力要求相匹配，到岗前应当经过必要的岗前培训以达到岗位能力要求，国家、行业规定应当取得职业资格证书或特种作业证书的，应当按规定持证上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00"/>
              </w:tabs>
              <w:spacing w:before="6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（4）如采购人认为服务人员不适应岗位要求或存在其他影响工作的，可要求供应商进行调换。如因供应商原因对服务人员进行调换，应当经采购人同意，更换比例不得超过本项目服务人员总数的 20%。本项目服务人员不得在其他项目兼职。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（5）着装分类统一，佩戴标识。仪容整洁、姿态端正、举止文明。用语文明礼貌，态度温和耐心。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3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保密和思想政治教育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（1）建立保密管理制度。制度内容应当包括但不限于：①明确重点要害岗位保密职责。②对涉密工作岗位的保密要求。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（2）根据采购人要求与涉密工作岗位的服务人员签订保密协议。保密协议应当向采购人报备。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00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（3）每季度至少开展 1 次对服务人员进行保密、思想政治教育的培训，提高服务人员保密意识和思想政治意识。新入职员工应当接受保密、思想政治教育培训，进行必要的人员经历审查，合格后签订保密协议方可上岗。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（4）发现服务人员违法违规或重大过失，及时报告采购人，并采取必要补救措施。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4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档案管理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（1）建立物业信息，准确、及时地对文件资料和服务记录进行归档保存，并确保其物理安全。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4" w:line="360" w:lineRule="auto"/>
              <w:ind w:right="-15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（2）档案和记录齐全，包括但不限于：①采购人建议与投诉等。教育培训和考核记录。保密、思想 政治教育培训记录。②垃圾分类、清运记录。③保洁服务：工作日志、清洁检查表、用品清单、客户反馈表等。④绿化服务：绿化总平面图、清洁整改记录、消杀记录等。⑤其他：客户信息、财务明细、合同协议、信报信息登记、大件物品进出登记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02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（3）遵守采购人的信息、档案资料保密要求，未经许可，不得将建筑物平面图等资料转作其他用途或向其他单位、个人提供。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（4）履约结束后，相关资料交还采购人，采购人按政府采购相关规定存档。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5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服务改进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02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（1）明确负责人，定期对物业服务过程进行自查，结合反馈意见与评价结果采取改进措施，持续提升管理与服务水平。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02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（2）对不合格服务进行控制，对不合格服务的原因进行识别和分析，及时采取纠正措施，消除不合格的原因，防止不合格再发生。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58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（3）需整改问题及时整改完成。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6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重大活动后勤保障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02"/>
              </w:tabs>
              <w:spacing w:before="4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（1）制订流程。配合采购人制订重大活动后勤保障工作流程，需对任务进行详细了解，并根据工作安排制定详细的后勤保障计划。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02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实施保障。按计划在关键区域和重点部位进行部署，确保任务顺利进行，对活动区域进行全面安全检查，发现并排除安全隐患，对车辆进行有序引导和管理，确保交通安全畅通，以礼貌、专业的态度对待来宾，展现良好形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（3）收尾工作。对现场进行检查，做好清理工作。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45" w:type="dxa"/>
            <w:vMerge w:val="restart"/>
          </w:tcPr>
          <w:p>
            <w:pPr>
              <w:pStyle w:val="10"/>
              <w:spacing w:line="360" w:lineRule="auto"/>
              <w:ind w:left="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7</w:t>
            </w:r>
          </w:p>
        </w:tc>
        <w:tc>
          <w:tcPr>
            <w:tcW w:w="1803" w:type="dxa"/>
            <w:vMerge w:val="restart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服务方案及工作制度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04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（1）制定工作制度，主要包括：人员录用制度、档案管理制度、物业服务管理制度、公用设施设备相关管理制度等。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58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（2）制定项目实施方案，主要包括：交接方案、人员培训方案、人员稳定性方案、保密方案等。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4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585"/>
              </w:tabs>
              <w:spacing w:before="3" w:line="360" w:lineRule="auto"/>
              <w:ind w:right="-15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（3）制定物业服务方案，主要包括：房屋维护服务方案、公用设施设备维护服务方案、绿化服务方案、保洁服务方案、保安服务方案、会议服务方案等。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03" w:type="dxa"/>
            <w:vMerge w:val="restar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公共设施节水、节电、节能管理</w:t>
            </w: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（1）定期巡查及时统计损坏的设备设施并报给采购人，消耗品及时供应保证物业正常运行。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5" w:type="dxa"/>
            <w:vMerge w:val="continue"/>
          </w:tcPr>
          <w:p>
            <w:pPr>
              <w:pStyle w:val="10"/>
              <w:spacing w:line="360" w:lineRule="auto"/>
              <w:ind w:left="487" w:right="-68"/>
              <w:jc w:val="center"/>
              <w:rPr>
                <w:sz w:val="24"/>
                <w:lang w:val="en-US" w:bidi="ar-S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（2）巡查卫生间，发现跑、冒、滴、漏水情况迅速处理或报告。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vMerge w:val="continue"/>
          </w:tcPr>
          <w:p>
            <w:pPr>
              <w:pStyle w:val="10"/>
              <w:spacing w:line="360" w:lineRule="auto"/>
              <w:ind w:left="487" w:right="-68"/>
              <w:jc w:val="center"/>
              <w:rPr>
                <w:sz w:val="24"/>
                <w:lang w:val="en-US" w:bidi="ar-S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（3）发现用水冲洗汽车、坐垫等情况要及时劝阻并报告。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vMerge w:val="continue"/>
          </w:tcPr>
          <w:p>
            <w:pPr>
              <w:pStyle w:val="10"/>
              <w:spacing w:line="360" w:lineRule="auto"/>
              <w:ind w:left="487" w:right="-68"/>
              <w:jc w:val="center"/>
              <w:rPr>
                <w:sz w:val="24"/>
                <w:lang w:val="en-US" w:bidi="ar-S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（4）发现房间无人或开门窗时开空调的情况及时提醒。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5" w:type="dxa"/>
            <w:vMerge w:val="continue"/>
          </w:tcPr>
          <w:p>
            <w:pPr>
              <w:pStyle w:val="10"/>
              <w:spacing w:line="360" w:lineRule="auto"/>
              <w:ind w:left="487" w:right="-68"/>
              <w:jc w:val="center"/>
              <w:rPr>
                <w:sz w:val="24"/>
                <w:lang w:val="en-US" w:bidi="ar-SA"/>
              </w:rPr>
            </w:pPr>
          </w:p>
        </w:tc>
        <w:tc>
          <w:tcPr>
            <w:tcW w:w="1803" w:type="dxa"/>
            <w:vMerge w:val="continue"/>
          </w:tcPr>
          <w:p>
            <w:pPr>
              <w:pStyle w:val="10"/>
              <w:spacing w:line="360" w:lineRule="auto"/>
              <w:ind w:left="104"/>
              <w:rPr>
                <w:sz w:val="24"/>
                <w:lang w:val="en-US" w:bidi="ar-SA"/>
              </w:rPr>
            </w:pPr>
          </w:p>
        </w:tc>
        <w:tc>
          <w:tcPr>
            <w:tcW w:w="7110" w:type="dxa"/>
          </w:tcPr>
          <w:p>
            <w:pPr>
              <w:pStyle w:val="10"/>
              <w:tabs>
                <w:tab w:val="left" w:pos="612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</w:rPr>
              <w:t>（5）发现长明灯的情况要及时采取相应措施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</w:tc>
      </w:tr>
    </w:tbl>
    <w:p>
      <w:pPr>
        <w:pStyle w:val="9"/>
        <w:spacing w:line="360" w:lineRule="auto"/>
        <w:rPr>
          <w:rFonts w:ascii="宋体" w:hAnsi="宋体" w:cs="宋体"/>
          <w:sz w:val="24"/>
        </w:rPr>
      </w:pPr>
    </w:p>
    <w:p>
      <w:pPr>
        <w:pStyle w:val="9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保洁服务</w:t>
      </w:r>
    </w:p>
    <w:tbl>
      <w:tblPr>
        <w:tblStyle w:val="8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7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10"/>
              <w:spacing w:line="360" w:lineRule="auto"/>
              <w:ind w:right="-10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序号</w:t>
            </w:r>
          </w:p>
        </w:tc>
        <w:tc>
          <w:tcPr>
            <w:tcW w:w="1701" w:type="dxa"/>
          </w:tcPr>
          <w:p>
            <w:pPr>
              <w:pStyle w:val="10"/>
              <w:spacing w:line="360" w:lineRule="auto"/>
              <w:ind w:right="-64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服务内容</w:t>
            </w:r>
          </w:p>
        </w:tc>
        <w:tc>
          <w:tcPr>
            <w:tcW w:w="7479" w:type="dxa"/>
          </w:tcPr>
          <w:p>
            <w:pPr>
              <w:pStyle w:val="10"/>
              <w:spacing w:line="360" w:lineRule="auto"/>
              <w:ind w:right="-58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61"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基本要求</w:t>
            </w: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（1）建立保洁服务的工作制度及工作计划，并按照执行。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（2）做好保洁服务工作记录，记录填写规范、保存完好。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592"/>
              </w:tabs>
              <w:spacing w:before="6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（3）作业时采取安全防护措施，防止对作业人员或他人造成伤害。相关耗材的环保、安全性等应当符合国家相关规定要求。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（4）进入保密区域时，有采购人相关人员全程在场。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公共场地区域保洁</w:t>
            </w: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（1）每日清扫道路地面、停车场等公共区域 2 次，保持干净、无杂物、无积水。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（2）雪、冰冻等恶劣天气时及时清扫积水、积雪，并采取安全防护措施。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（3）各种路标、宣传栏等保持干净，每月至少开展 1 次清洁作业。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（4）清洁室外照明设备，每月至少开展 1 次清洁作业。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（5）绿地内无杂物、无改变用途和破坏、践踏、占用现象，每天至少开展 1 次巡查。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2"/>
              </w:tabs>
              <w:spacing w:before="6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（6）办公区外立面定期清洗、2 米以上外窗玻璃擦拭，每年至少开展 1 次清洗。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line="360" w:lineRule="auto"/>
              <w:ind w:left="107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垃圾处理</w:t>
            </w:r>
          </w:p>
        </w:tc>
        <w:tc>
          <w:tcPr>
            <w:tcW w:w="7479" w:type="dxa"/>
          </w:tcPr>
          <w:p>
            <w:pPr>
              <w:pStyle w:val="10"/>
              <w:tabs>
                <w:tab w:val="left" w:pos="587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（1）在指定位置摆放分类垃圾桶，并在显著处张贴垃圾分类标识。分类垃圾桶和垃圾分类标识根据所在城市的要求设置。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（2）桶身表面干净无污渍，每日开展至少 1 次清洁作业。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（3）垃圾中转房保持整洁，无明显异味，每日至少开展 1 次清洁作业。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58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（4）化粪池清掏，无明显异味，每半年至少开展 1 次清洁作业。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（5）每个工作日内要对楼层产生的垃圾，进行清理分类，并运至垃圾集中堆放点。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（6）垃圾装袋，日产日清。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（7）建立垃圾清运台账，交由规范的渠道回收处理。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61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（8）做好垃圾分类管理的宣传工作，督促并引导全员参与垃圾分类投放。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130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（9）垃圾分类投放管理工作的执行标准，按所在城市的要求执行。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70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卫生消毒</w:t>
            </w: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3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（1）办公用房区域、公共场所区域和周围环境预防性卫生消毒，消毒后及时通风，每周至少开展 1次作业。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578"/>
              </w:tabs>
              <w:spacing w:before="41" w:line="360" w:lineRule="auto"/>
              <w:ind w:right="-15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（2）采取综合措施消灭老鼠、蟑螂，控制室内外蚊虫孳生，达到基本无蝇，每季度至少开展 1 次作业。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9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479" w:type="dxa"/>
          </w:tcPr>
          <w:p>
            <w:pPr>
              <w:pStyle w:val="10"/>
              <w:tabs>
                <w:tab w:val="left" w:pos="609"/>
              </w:tabs>
              <w:spacing w:before="102" w:line="360" w:lineRule="auto"/>
              <w:jc w:val="left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（3）发生公共卫生事件时，邀请专业单位开展消毒、检测等工作。</w:t>
            </w:r>
          </w:p>
        </w:tc>
      </w:tr>
    </w:tbl>
    <w:p>
      <w:pPr>
        <w:pStyle w:val="9"/>
        <w:spacing w:line="360" w:lineRule="auto"/>
        <w:rPr>
          <w:rFonts w:ascii="宋体" w:hAnsi="宋体" w:cs="宋体"/>
          <w:sz w:val="24"/>
        </w:rPr>
      </w:pPr>
    </w:p>
    <w:p>
      <w:pPr>
        <w:pStyle w:val="9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绿化服务</w:t>
      </w:r>
    </w:p>
    <w:tbl>
      <w:tblPr>
        <w:tblStyle w:val="8"/>
        <w:tblW w:w="9637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843"/>
        <w:gridCol w:w="7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9" w:type="dxa"/>
          </w:tcPr>
          <w:p>
            <w:pPr>
              <w:pStyle w:val="10"/>
              <w:spacing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序号</w:t>
            </w:r>
          </w:p>
        </w:tc>
        <w:tc>
          <w:tcPr>
            <w:tcW w:w="1843" w:type="dxa"/>
          </w:tcPr>
          <w:p>
            <w:pPr>
              <w:pStyle w:val="10"/>
              <w:spacing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服务内容</w:t>
            </w:r>
          </w:p>
        </w:tc>
        <w:tc>
          <w:tcPr>
            <w:tcW w:w="7205" w:type="dxa"/>
          </w:tcPr>
          <w:p>
            <w:pPr>
              <w:pStyle w:val="10"/>
              <w:spacing w:line="360" w:lineRule="auto"/>
              <w:ind w:right="4487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9" w:type="dxa"/>
          </w:tcPr>
          <w:p>
            <w:pPr>
              <w:pStyle w:val="10"/>
              <w:spacing w:before="179" w:line="360" w:lineRule="auto"/>
              <w:ind w:left="10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before="173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spacing w:val="-2"/>
                <w:sz w:val="24"/>
              </w:rPr>
              <w:t>基本要求</w:t>
            </w:r>
          </w:p>
        </w:tc>
        <w:tc>
          <w:tcPr>
            <w:tcW w:w="7205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295"/>
              </w:tabs>
              <w:spacing w:before="3" w:line="360" w:lineRule="auto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制定绿化服务的工作制度及工作计划，并按照执行。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95"/>
              </w:tabs>
              <w:spacing w:before="3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做好绿化服务工作记录，填写规范。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95"/>
              </w:tabs>
              <w:spacing w:before="3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作业时采取安全防护措施，防止对作业人</w:t>
            </w:r>
            <w:r>
              <w:rPr>
                <w:sz w:val="24"/>
              </w:rPr>
              <w:t>员或他人造成伤害。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95"/>
              </w:tabs>
              <w:spacing w:before="3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相关耗材的环保、安全性应当符合规定要求。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9" w:type="dxa"/>
          </w:tcPr>
          <w:p>
            <w:pPr>
              <w:pStyle w:val="10"/>
              <w:spacing w:before="67" w:line="360" w:lineRule="auto"/>
              <w:ind w:left="10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2</w:t>
            </w:r>
          </w:p>
        </w:tc>
        <w:tc>
          <w:tcPr>
            <w:tcW w:w="1843" w:type="dxa"/>
          </w:tcPr>
          <w:p>
            <w:pPr>
              <w:pStyle w:val="10"/>
              <w:spacing w:before="61" w:line="360" w:lineRule="auto"/>
              <w:ind w:left="105"/>
              <w:rPr>
                <w:sz w:val="24"/>
                <w:lang w:val="en-US" w:bidi="ar-SA"/>
              </w:rPr>
            </w:pPr>
            <w:r>
              <w:rPr>
                <w:spacing w:val="-2"/>
                <w:sz w:val="24"/>
              </w:rPr>
              <w:t>室外绿化养护</w:t>
            </w:r>
          </w:p>
        </w:tc>
        <w:tc>
          <w:tcPr>
            <w:tcW w:w="7205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根据生长环境、植物特性进行除草、灌溉、施肥、整形修剪、防治病虫害等。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根据生长情况修剪绿地，绿地内无枯草、无杂物，无干枯坏死和病虫侵害，基本</w:t>
            </w:r>
            <w:r>
              <w:rPr>
                <w:sz w:val="24"/>
              </w:rPr>
              <w:t>无裸露土地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定期修剪树木、花卉等，灌乔木生长正常、造型美观自然、花枝新鲜，无枯叶</w:t>
            </w:r>
            <w:r>
              <w:rPr>
                <w:sz w:val="24"/>
              </w:rPr>
              <w:t xml:space="preserve">、无病虫、无死 </w:t>
            </w:r>
            <w:r>
              <w:rPr>
                <w:spacing w:val="-2"/>
                <w:sz w:val="24"/>
              </w:rPr>
              <w:t>树缺株。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绿篱生长造型正常，颜色正常，修剪</w:t>
            </w:r>
            <w:r>
              <w:rPr>
                <w:sz w:val="24"/>
              </w:rPr>
              <w:t>及时，基本无死株和干死株，有虫株率在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</w:rPr>
              <w:t>10%</w:t>
            </w:r>
            <w:r>
              <w:rPr>
                <w:sz w:val="24"/>
              </w:rPr>
              <w:t>以下。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清除花坛和花景的花蒂、黄叶、杂草、垃圾，做好病虫害防治。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水池水面定期清理，无枯枝落叶、水质清洁。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根据病虫害发生规律实施综合治理，通常在病虫率高时，以药剂杀死病虫，以</w:t>
            </w:r>
            <w:r>
              <w:rPr>
                <w:sz w:val="24"/>
              </w:rPr>
              <w:t xml:space="preserve">确保植物良好生 </w:t>
            </w:r>
            <w:r>
              <w:rPr>
                <w:spacing w:val="-1"/>
                <w:sz w:val="24"/>
              </w:rPr>
              <w:t>长。产生垃圾的主要区域和路段做到日产日清。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雨雪、冰冻等恶劣天气来临前，专人巡查，</w:t>
            </w:r>
            <w:r>
              <w:rPr>
                <w:sz w:val="24"/>
              </w:rPr>
              <w:t>对绿植做好预防措施，排除安全隐患。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295"/>
              </w:tabs>
              <w:spacing w:before="61" w:line="360" w:lineRule="auto"/>
              <w:jc w:val="left"/>
              <w:rPr>
                <w:spacing w:val="1"/>
                <w:sz w:val="24"/>
                <w:lang w:val="en-US"/>
              </w:rPr>
            </w:pPr>
            <w:r>
              <w:rPr>
                <w:spacing w:val="1"/>
                <w:sz w:val="24"/>
              </w:rPr>
              <w:t>恶劣天气后，及时清除倒树断枝，疏通道路，尽快恢复原状。</w:t>
            </w:r>
          </w:p>
        </w:tc>
      </w:tr>
    </w:tbl>
    <w:p>
      <w:pPr>
        <w:pStyle w:val="9"/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0"/>
          <w:tab w:val="left" w:pos="284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4.物业移交要求</w:t>
      </w:r>
    </w:p>
    <w:p>
      <w:pPr>
        <w:tabs>
          <w:tab w:val="left" w:pos="0"/>
          <w:tab w:val="left" w:pos="284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中标人在合同签订后三天内必须与原物业公司进行交接，并派员进驻物业管理服务区域；中标人应及时与采购人沟通，了解相关情况，尽快做好接管原物业的相关图纸、资料，并对设施、设备逐项进行交接前的调试和测定；要求务必三天内完成交接，中标人应积极配合，采购人负责监督交接。</w:t>
      </w:r>
    </w:p>
    <w:p>
      <w:pPr>
        <w:tabs>
          <w:tab w:val="left" w:pos="0"/>
          <w:tab w:val="left" w:pos="284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本项目合同期结束后，要求中标人按照采购人要求，要做好全体工作人员的思想稳定工作，在新供应商未进驻前，按原合同继续做好物业管理（注：继续做的费用不含在本合同总价内），同时清点物品，配合使用单位及新中标人做好移交工作，无条件配合移交下一合同期内的供应商。</w:t>
      </w:r>
    </w:p>
    <w:p>
      <w:pPr>
        <w:tabs>
          <w:tab w:val="left" w:pos="0"/>
          <w:tab w:val="left" w:pos="284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5.投标文件要求</w:t>
      </w:r>
    </w:p>
    <w:p>
      <w:pPr>
        <w:tabs>
          <w:tab w:val="left" w:pos="0"/>
          <w:tab w:val="left" w:pos="284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5.1投标文件中提供《物业管理服务方案》文件。</w:t>
      </w:r>
    </w:p>
    <w:p>
      <w:pPr>
        <w:tabs>
          <w:tab w:val="left" w:pos="0"/>
          <w:tab w:val="left" w:pos="284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5.2《物业管理服务方案》对照以上“（一）物业管理服务具体内容及标准”编制，需包括以下内容：</w:t>
      </w:r>
    </w:p>
    <w:p>
      <w:pPr>
        <w:tabs>
          <w:tab w:val="left" w:pos="0"/>
          <w:tab w:val="left" w:pos="284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（1）基本服务方案；</w:t>
      </w:r>
    </w:p>
    <w:p>
      <w:pPr>
        <w:tabs>
          <w:tab w:val="left" w:pos="0"/>
          <w:tab w:val="left" w:pos="284"/>
        </w:tabs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（2）保洁服务方案；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（3）绿化服务方案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（4）物业移交方案。</w:t>
      </w:r>
    </w:p>
    <w:p>
      <w:pPr>
        <w:pStyle w:val="9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五、物业管理服务人员需求</w:t>
      </w:r>
    </w:p>
    <w:p>
      <w:pPr>
        <w:pStyle w:val="9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（一）物业管理服务人员具体需求</w:t>
      </w:r>
    </w:p>
    <w:tbl>
      <w:tblPr>
        <w:tblStyle w:val="8"/>
        <w:tblW w:w="9502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17"/>
        <w:gridCol w:w="851"/>
        <w:gridCol w:w="992"/>
        <w:gridCol w:w="4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40" w:type="dxa"/>
          </w:tcPr>
          <w:p>
            <w:pPr>
              <w:pStyle w:val="10"/>
              <w:tabs>
                <w:tab w:val="left" w:pos="1440"/>
                <w:tab w:val="left" w:pos="2007"/>
              </w:tabs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部门职能</w:t>
            </w:r>
          </w:p>
        </w:tc>
        <w:tc>
          <w:tcPr>
            <w:tcW w:w="1417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岗位</w:t>
            </w:r>
          </w:p>
        </w:tc>
        <w:tc>
          <w:tcPr>
            <w:tcW w:w="851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同时在岗人数</w:t>
            </w:r>
          </w:p>
        </w:tc>
        <w:tc>
          <w:tcPr>
            <w:tcW w:w="992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岗位所需总人数</w:t>
            </w:r>
          </w:p>
        </w:tc>
        <w:tc>
          <w:tcPr>
            <w:tcW w:w="4802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备注（岗位所需服务时长或时段、需具备的上岗资格证、人员学历、工作经验等要求）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保洁服务</w:t>
            </w:r>
          </w:p>
        </w:tc>
        <w:tc>
          <w:tcPr>
            <w:tcW w:w="1417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保洁员</w:t>
            </w:r>
          </w:p>
        </w:tc>
        <w:tc>
          <w:tcPr>
            <w:tcW w:w="851" w:type="dxa"/>
          </w:tcPr>
          <w:p>
            <w:pPr>
              <w:pStyle w:val="10"/>
              <w:spacing w:before="104" w:line="360" w:lineRule="auto"/>
              <w:ind w:right="835" w:firstLine="240" w:firstLineChars="100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8</w:t>
            </w:r>
          </w:p>
        </w:tc>
        <w:tc>
          <w:tcPr>
            <w:tcW w:w="992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8</w:t>
            </w:r>
          </w:p>
        </w:tc>
        <w:tc>
          <w:tcPr>
            <w:tcW w:w="4802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</w:rPr>
              <w:t>60 周岁以下，身体健康，有敬业精神。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</w:tcBorders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绿化服务</w:t>
            </w:r>
          </w:p>
        </w:tc>
        <w:tc>
          <w:tcPr>
            <w:tcW w:w="1417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绿化工</w:t>
            </w:r>
          </w:p>
        </w:tc>
        <w:tc>
          <w:tcPr>
            <w:tcW w:w="851" w:type="dxa"/>
            <w:shd w:val="clear" w:color="auto" w:fill="auto"/>
          </w:tcPr>
          <w:p>
            <w:pPr>
              <w:pStyle w:val="10"/>
              <w:spacing w:before="104" w:line="360" w:lineRule="auto"/>
              <w:ind w:right="835" w:firstLine="240" w:firstLineChars="100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10"/>
              <w:spacing w:before="104" w:line="360" w:lineRule="auto"/>
              <w:jc w:val="center"/>
              <w:rPr>
                <w:sz w:val="24"/>
                <w:lang w:val="en-US" w:bidi="ar-SA"/>
              </w:rPr>
            </w:pPr>
            <w:r>
              <w:rPr>
                <w:rFonts w:hint="eastAsia"/>
                <w:sz w:val="24"/>
                <w:lang w:val="en-US" w:bidi="ar-SA"/>
              </w:rPr>
              <w:t>2</w:t>
            </w:r>
          </w:p>
        </w:tc>
        <w:tc>
          <w:tcPr>
            <w:tcW w:w="4802" w:type="dxa"/>
          </w:tcPr>
          <w:p>
            <w:pPr>
              <w:pStyle w:val="10"/>
              <w:spacing w:before="104"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 周岁以下，身体健康，有敬业精神。</w:t>
            </w:r>
          </w:p>
        </w:tc>
      </w:tr>
    </w:tbl>
    <w:p>
      <w:pPr>
        <w:pStyle w:val="3"/>
        <w:spacing w:before="3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注：供应商应当按国家相关法律法规，合理确定服务人员工资标准、工作时间等。</w:t>
      </w:r>
    </w:p>
    <w:p>
      <w:pPr>
        <w:pStyle w:val="3"/>
        <w:spacing w:before="72"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供应商应当自行为服务人员办理必需的保险，有关人员伤亡及第三者责任险均应当考虑在报价因素中。</w:t>
      </w:r>
    </w:p>
    <w:p>
      <w:pPr>
        <w:pStyle w:val="3"/>
        <w:spacing w:before="72" w:line="360" w:lineRule="auto"/>
        <w:ind w:firstLine="482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说明：以上表格中“同时在岗人数”“岗位所需总人数” 为不允许偏离的实质性要求和条件，如有偏离，在符合性审查时按照投标无效处理。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79714"/>
    <w:multiLevelType w:val="singleLevel"/>
    <w:tmpl w:val="A9F7971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55416BA"/>
    <w:multiLevelType w:val="singleLevel"/>
    <w:tmpl w:val="555416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3112F"/>
    <w:rsid w:val="01A859F2"/>
    <w:rsid w:val="01A97317"/>
    <w:rsid w:val="09C20C66"/>
    <w:rsid w:val="0D9F10E1"/>
    <w:rsid w:val="1063112F"/>
    <w:rsid w:val="153E3E0E"/>
    <w:rsid w:val="25B046E1"/>
    <w:rsid w:val="27172EAD"/>
    <w:rsid w:val="29F67714"/>
    <w:rsid w:val="3AFA67A3"/>
    <w:rsid w:val="3EE32B8D"/>
    <w:rsid w:val="4977659A"/>
    <w:rsid w:val="507646B1"/>
    <w:rsid w:val="5A413B59"/>
    <w:rsid w:val="5E933725"/>
    <w:rsid w:val="60441414"/>
    <w:rsid w:val="6B1D32DE"/>
    <w:rsid w:val="754E1CC3"/>
    <w:rsid w:val="758309C7"/>
    <w:rsid w:val="7BA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34"/>
    <w:pPr>
      <w:ind w:firstLine="42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99"/>
    <w:pPr>
      <w:spacing w:after="120" w:line="360" w:lineRule="auto"/>
      <w:ind w:left="420" w:leftChars="200" w:firstLine="200" w:firstLineChars="200"/>
    </w:pPr>
    <w:rPr>
      <w:rFonts w:ascii="Verdana" w:hAnsi="Verdana"/>
      <w:sz w:val="24"/>
      <w:szCs w:val="28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toc 1"/>
    <w:basedOn w:val="1"/>
    <w:next w:val="1"/>
    <w:unhideWhenUsed/>
    <w:qFormat/>
    <w:uiPriority w:val="99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styleId="9">
    <w:name w:val="List Paragraph"/>
    <w:basedOn w:val="1"/>
    <w:qFormat/>
    <w:uiPriority w:val="1"/>
    <w:pPr>
      <w:ind w:right="-107"/>
    </w:p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2025-03-13T02:54:00Z</dcterms:created>
  <dc:creator>༺ༀ༂࿅࿆贾࿅࿆༂ༀ༻</dc:creator>
  <cp:lastModifiedBy>༺ༀ༂࿅࿆贾࿅࿆༂ༀ༻</cp:lastModifiedBy>
  <dcterms:modified xsi:type="dcterms:W3CDTF">2025-03-13T03:14:23Z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