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如有建议或意见，请以书面形式并加盖公章、注明联系人、联系方式，于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26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日17:30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之前送至我单位，逾期不受理（如邮寄，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26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日17:30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之后到达本单位的邮件将不再受理）。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256" w:lineRule="auto"/>
        <w:jc w:val="center"/>
        <w:rPr>
          <w:rFonts w:ascii="Arial"/>
          <w:b/>
          <w:bCs/>
          <w:sz w:val="21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5021580</wp:posOffset>
                </wp:positionH>
                <wp:positionV relativeFrom="page">
                  <wp:posOffset>568960</wp:posOffset>
                </wp:positionV>
                <wp:extent cx="1654810" cy="649605"/>
                <wp:effectExtent l="0" t="635" r="6350" b="508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6496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06" h="1023">
                              <a:moveTo>
                                <a:pt x="7" y="1015"/>
                              </a:moveTo>
                              <a:lnTo>
                                <a:pt x="2598" y="1015"/>
                              </a:lnTo>
                              <a:lnTo>
                                <a:pt x="2598" y="7"/>
                              </a:lnTo>
                              <a:lnTo>
                                <a:pt x="7" y="7"/>
                              </a:lnTo>
                              <a:lnTo>
                                <a:pt x="7" y="101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FFFFFF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95.4pt;margin-top:44.8pt;height:51.15pt;width:130.3pt;mso-position-horizontal-relative:page;mso-position-vertical-relative:page;z-index:251659264;mso-width-relative:page;mso-height-relative:page;" filled="f" stroked="t" coordsize="2606,1023" o:allowincell="f" o:gfxdata="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124cNkAAAALAQAADwAAAAAA&#10;AAABACAAAAAiAAAAZHJzL2Rvd25yZXYueG1sUEsBAhQAFAAAAAgAh07iQLoowfBLAgAA2wQAAA4A&#10;AAAAAAAAAQAgAAAAKAEAAGRycy9lMm9Eb2MueG1sUEsFBgAAAAAGAAYAWQEAAOUFAAAAAA==&#10;" path="m7,1015l2598,1015,2598,7,7,7,7,1015xe">
                <v:fill on="f" focussize="0,0"/>
                <v:stroke color="#FFFFFF" miterlimit="10" joinstyle="miter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  <w:t>采购需求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一、说明</w:t>
      </w:r>
    </w:p>
    <w:p>
      <w:pPr>
        <w:tabs>
          <w:tab w:val="left" w:pos="0"/>
        </w:tabs>
        <w:adjustRightInd w:val="0"/>
        <w:snapToGrid w:val="0"/>
        <w:ind w:firstLine="484" w:firstLineChars="202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（一）采购人：</w:t>
      </w:r>
      <w:r>
        <w:rPr>
          <w:rFonts w:hint="eastAsia" w:ascii="宋体" w:hAnsi="宋体" w:eastAsia="宋体" w:cs="宋体"/>
          <w:sz w:val="24"/>
          <w:lang w:val="en-US" w:eastAsia="zh-CN"/>
        </w:rPr>
        <w:t>徐州市铜山区第一中学</w:t>
      </w:r>
    </w:p>
    <w:p>
      <w:pPr>
        <w:tabs>
          <w:tab w:val="left" w:pos="0"/>
        </w:tabs>
        <w:adjustRightInd w:val="0"/>
        <w:snapToGrid w:val="0"/>
        <w:ind w:firstLine="484" w:firstLineChars="20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（二）采购项目名称：</w:t>
      </w:r>
      <w:r>
        <w:rPr>
          <w:rFonts w:hint="eastAsia" w:ascii="宋体" w:hAnsi="宋体" w:eastAsia="宋体" w:cs="宋体"/>
          <w:sz w:val="24"/>
          <w:lang w:val="en-US" w:eastAsia="zh-CN"/>
        </w:rPr>
        <w:t>徐州市铜山区第一中学</w:t>
      </w:r>
      <w:r>
        <w:rPr>
          <w:rFonts w:hint="eastAsia" w:ascii="宋体" w:hAnsi="宋体" w:eastAsia="宋体" w:cs="宋体"/>
          <w:sz w:val="24"/>
        </w:rPr>
        <w:t>物业</w:t>
      </w:r>
      <w:r>
        <w:rPr>
          <w:rFonts w:hint="eastAsia" w:ascii="宋体" w:hAnsi="宋体" w:eastAsia="宋体" w:cs="宋体"/>
          <w:sz w:val="24"/>
          <w:lang w:val="en-US" w:eastAsia="zh-CN"/>
        </w:rPr>
        <w:t>及安保</w:t>
      </w:r>
      <w:r>
        <w:rPr>
          <w:rFonts w:hint="eastAsia" w:ascii="宋体" w:hAnsi="宋体" w:eastAsia="宋体" w:cs="宋体"/>
          <w:sz w:val="24"/>
        </w:rPr>
        <w:t>服务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</w:p>
    <w:p>
      <w:pPr>
        <w:tabs>
          <w:tab w:val="left" w:pos="0"/>
        </w:tabs>
        <w:adjustRightInd w:val="0"/>
        <w:snapToGrid w:val="0"/>
        <w:ind w:firstLine="484" w:firstLineChars="202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（三）采购标的：</w:t>
      </w:r>
      <w:r>
        <w:rPr>
          <w:rFonts w:hint="eastAsia" w:ascii="宋体" w:hAnsi="宋体" w:eastAsia="宋体" w:cs="宋体"/>
          <w:sz w:val="24"/>
          <w:lang w:val="en-US" w:eastAsia="zh-CN"/>
        </w:rPr>
        <w:t>徐州市铜山区第一中学</w:t>
      </w:r>
      <w:r>
        <w:rPr>
          <w:rFonts w:hint="eastAsia" w:ascii="宋体" w:hAnsi="宋体" w:eastAsia="宋体" w:cs="宋体"/>
          <w:sz w:val="24"/>
        </w:rPr>
        <w:t>物业</w:t>
      </w:r>
      <w:r>
        <w:rPr>
          <w:rFonts w:hint="eastAsia" w:ascii="宋体" w:hAnsi="宋体" w:eastAsia="宋体" w:cs="宋体"/>
          <w:sz w:val="24"/>
          <w:lang w:val="en-US" w:eastAsia="zh-CN"/>
        </w:rPr>
        <w:t>及安保</w:t>
      </w:r>
      <w:r>
        <w:rPr>
          <w:rFonts w:hint="eastAsia" w:ascii="宋体" w:hAnsi="宋体" w:eastAsia="宋体" w:cs="宋体"/>
          <w:sz w:val="24"/>
        </w:rPr>
        <w:t>服务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</w:p>
    <w:p>
      <w:pPr>
        <w:tabs>
          <w:tab w:val="left" w:pos="0"/>
        </w:tabs>
        <w:adjustRightInd w:val="0"/>
        <w:snapToGrid w:val="0"/>
        <w:ind w:firstLine="484" w:firstLineChars="202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徐州市铜山区第一中学</w:t>
      </w:r>
      <w:r>
        <w:rPr>
          <w:rFonts w:hint="eastAsia" w:ascii="宋体" w:hAnsi="宋体" w:eastAsia="宋体" w:cs="宋体"/>
          <w:sz w:val="24"/>
        </w:rPr>
        <w:t>物业</w:t>
      </w:r>
      <w:r>
        <w:rPr>
          <w:rFonts w:hint="eastAsia" w:ascii="宋体" w:hAnsi="宋体" w:eastAsia="宋体" w:cs="宋体"/>
          <w:sz w:val="24"/>
          <w:lang w:val="en-US" w:eastAsia="zh-CN"/>
        </w:rPr>
        <w:t>及安保</w:t>
      </w:r>
      <w:r>
        <w:rPr>
          <w:rFonts w:hint="eastAsia" w:ascii="宋体" w:hAnsi="宋体" w:eastAsia="宋体" w:cs="宋体"/>
          <w:sz w:val="24"/>
        </w:rPr>
        <w:t>服务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</w:rPr>
        <w:t>）对应的中小企业划分标准所属行业为（</w:t>
      </w:r>
      <w:r>
        <w:rPr>
          <w:rFonts w:hint="eastAsia" w:ascii="宋体" w:hAnsi="宋体" w:eastAsia="宋体" w:cs="宋体"/>
          <w:kern w:val="0"/>
          <w:sz w:val="24"/>
          <w:u w:val="single"/>
        </w:rPr>
        <w:t>物业管理</w:t>
      </w:r>
      <w:r>
        <w:rPr>
          <w:rFonts w:hint="eastAsia" w:ascii="宋体" w:hAnsi="宋体" w:eastAsia="宋体" w:cs="宋体"/>
          <w:kern w:val="0"/>
          <w:sz w:val="24"/>
        </w:rPr>
        <w:t>）。</w:t>
      </w:r>
    </w:p>
    <w:p>
      <w:pPr>
        <w:adjustRightInd w:val="0"/>
        <w:snapToGrid w:val="0"/>
        <w:ind w:firstLine="477" w:firstLineChars="19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（四）本项目为专门面向中小企业采购的项目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adjustRightInd w:val="0"/>
        <w:snapToGrid w:val="0"/>
        <w:ind w:firstLine="484" w:firstLineChars="202"/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本项目不接受超过1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万元（采购项目预算金额）的投标报价。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</w:rPr>
        <w:t>项目基本情况</w:t>
      </w:r>
    </w:p>
    <w:p>
      <w:pPr>
        <w:spacing w:before="1" w:line="185" w:lineRule="auto"/>
        <w:ind w:left="548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物业情况</w:t>
      </w:r>
    </w:p>
    <w:p>
      <w:pPr>
        <w:spacing w:line="27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3"/>
        <w:tblW w:w="8545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9"/>
        <w:gridCol w:w="44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109" w:type="dxa"/>
            <w:vAlign w:val="top"/>
          </w:tcPr>
          <w:p>
            <w:pPr>
              <w:spacing w:before="94" w:line="222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物业名称</w:t>
            </w:r>
          </w:p>
        </w:tc>
        <w:tc>
          <w:tcPr>
            <w:tcW w:w="4436" w:type="dxa"/>
            <w:vAlign w:val="top"/>
          </w:tcPr>
          <w:p>
            <w:pPr>
              <w:spacing w:before="94" w:line="222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物业地址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4109" w:type="dxa"/>
            <w:vAlign w:val="top"/>
          </w:tcPr>
          <w:p>
            <w:pPr>
              <w:spacing w:before="88" w:line="217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徐州市铜山区第一中学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36" w:type="dxa"/>
            <w:vAlign w:val="top"/>
          </w:tcPr>
          <w:p>
            <w:pPr>
              <w:spacing w:before="204" w:line="219" w:lineRule="auto"/>
              <w:ind w:left="11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徐州市铜山区彭祖路6号</w:t>
            </w:r>
          </w:p>
        </w:tc>
      </w:tr>
    </w:tbl>
    <w:p>
      <w:pPr>
        <w:spacing w:line="321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三、物业服务范围</w:t>
      </w:r>
    </w:p>
    <w:p>
      <w:pPr>
        <w:spacing w:before="60" w:line="185" w:lineRule="auto"/>
        <w:ind w:left="50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物业管理（建筑物）</w:t>
      </w:r>
    </w:p>
    <w:p>
      <w:pPr>
        <w:spacing w:line="31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038"/>
        <w:gridCol w:w="368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highlight w:val="none"/>
              </w:rPr>
              <w:t>明细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服务内容及标准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774" w:type="dxa"/>
            <w:gridSpan w:val="2"/>
            <w:vAlign w:val="center"/>
          </w:tcPr>
          <w:p>
            <w:pPr>
              <w:pStyle w:val="24"/>
              <w:spacing w:before="90" w:line="221" w:lineRule="auto"/>
              <w:ind w:left="118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  <w:t>建筑名称</w:t>
            </w:r>
          </w:p>
        </w:tc>
        <w:tc>
          <w:tcPr>
            <w:tcW w:w="3689" w:type="dxa"/>
            <w:vAlign w:val="center"/>
          </w:tcPr>
          <w:p>
            <w:pPr>
              <w:spacing w:before="203" w:line="221" w:lineRule="auto"/>
              <w:ind w:left="115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综合楼、春晖楼、凌志楼、明德楼、知行楼、思齐楼、怡心楼、雅心楼、文惠楼、树人苑、排球馆</w:t>
            </w:r>
          </w:p>
        </w:tc>
        <w:tc>
          <w:tcPr>
            <w:tcW w:w="260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253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pStyle w:val="24"/>
              <w:spacing w:before="68" w:line="221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总面积</w:t>
            </w: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90" w:line="221" w:lineRule="auto"/>
              <w:ind w:left="112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建筑面积（㎡）</w:t>
            </w:r>
          </w:p>
        </w:tc>
        <w:tc>
          <w:tcPr>
            <w:tcW w:w="3689" w:type="dxa"/>
            <w:vAlign w:val="top"/>
          </w:tcPr>
          <w:p>
            <w:pPr>
              <w:spacing w:before="203" w:line="221" w:lineRule="auto"/>
              <w:ind w:left="115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81073.81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2608" w:type="dxa"/>
            <w:vAlign w:val="center"/>
          </w:tcPr>
          <w:p>
            <w:pPr>
              <w:spacing w:before="89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91" w:line="221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需保洁面积（㎡）</w:t>
            </w:r>
          </w:p>
        </w:tc>
        <w:tc>
          <w:tcPr>
            <w:tcW w:w="3689" w:type="dxa"/>
            <w:vAlign w:val="top"/>
          </w:tcPr>
          <w:p>
            <w:pPr>
              <w:spacing w:before="203" w:line="221" w:lineRule="auto"/>
              <w:ind w:left="115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41128.75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2608" w:type="dxa"/>
            <w:vAlign w:val="center"/>
          </w:tcPr>
          <w:p>
            <w:pPr>
              <w:spacing w:before="90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40" w:line="259" w:lineRule="auto"/>
              <w:ind w:left="108" w:right="104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会议室数量（个）及总面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689" w:type="dxa"/>
            <w:vAlign w:val="center"/>
          </w:tcPr>
          <w:p>
            <w:pPr>
              <w:spacing w:before="203" w:line="221" w:lineRule="auto"/>
              <w:ind w:left="115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会议室5个，总面积400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2608" w:type="dxa"/>
            <w:vAlign w:val="center"/>
          </w:tcPr>
          <w:p>
            <w:pPr>
              <w:spacing w:before="207" w:line="220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34" w:line="260" w:lineRule="auto"/>
              <w:ind w:left="108" w:right="104" w:hanging="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报告厅数量（个）及总面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689" w:type="dxa"/>
            <w:vAlign w:val="center"/>
          </w:tcPr>
          <w:p>
            <w:pPr>
              <w:spacing w:before="203" w:line="221" w:lineRule="auto"/>
              <w:ind w:left="115"/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报告厅1个，总面积150㎡</w:t>
            </w:r>
          </w:p>
        </w:tc>
        <w:tc>
          <w:tcPr>
            <w:tcW w:w="2608" w:type="dxa"/>
            <w:vAlign w:val="center"/>
          </w:tcPr>
          <w:p>
            <w:pPr>
              <w:spacing w:before="203" w:line="220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6" w:type="dxa"/>
            <w:vAlign w:val="center"/>
          </w:tcPr>
          <w:p>
            <w:pPr>
              <w:pStyle w:val="24"/>
              <w:spacing w:before="204" w:line="223" w:lineRule="auto"/>
              <w:ind w:left="117"/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highlight w:val="none"/>
                <w:lang w:val="en-US" w:eastAsia="zh-CN"/>
              </w:rPr>
              <w:t>排球馆</w:t>
            </w: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34" w:line="260" w:lineRule="auto"/>
              <w:ind w:left="108" w:leftChars="0" w:right="104" w:rightChars="0" w:hanging="1" w:firstLine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cs="宋体"/>
                <w:spacing w:val="-9"/>
                <w:sz w:val="24"/>
                <w:szCs w:val="24"/>
                <w:highlight w:val="none"/>
                <w:lang w:val="en-US" w:eastAsia="zh-CN"/>
              </w:rPr>
              <w:t>排球馆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数量（个）及总面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689" w:type="dxa"/>
            <w:vAlign w:val="top"/>
          </w:tcPr>
          <w:p>
            <w:pPr>
              <w:spacing w:before="203" w:line="221" w:lineRule="auto"/>
              <w:ind w:left="115"/>
              <w:rPr>
                <w:rFonts w:hint="default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排球馆1个，总面积5264㎡</w:t>
            </w:r>
          </w:p>
        </w:tc>
        <w:tc>
          <w:tcPr>
            <w:tcW w:w="2608" w:type="dxa"/>
            <w:vAlign w:val="center"/>
          </w:tcPr>
          <w:p>
            <w:pPr>
              <w:spacing w:before="203" w:line="220" w:lineRule="auto"/>
              <w:ind w:left="11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6" w:type="dxa"/>
            <w:vAlign w:val="center"/>
          </w:tcPr>
          <w:p>
            <w:pPr>
              <w:pStyle w:val="24"/>
              <w:spacing w:before="204" w:line="223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卫生间</w:t>
            </w: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32" w:line="261" w:lineRule="auto"/>
              <w:ind w:left="109" w:right="104" w:firstLine="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卫生间数量（个）及总面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积（㎡）</w:t>
            </w:r>
          </w:p>
        </w:tc>
        <w:tc>
          <w:tcPr>
            <w:tcW w:w="3689" w:type="dxa"/>
            <w:vAlign w:val="top"/>
          </w:tcPr>
          <w:p>
            <w:pPr>
              <w:spacing w:before="203" w:line="221" w:lineRule="auto"/>
              <w:ind w:left="115"/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  <w:lang w:val="en-US" w:eastAsia="zh-CN"/>
              </w:rPr>
              <w:t>卫生间66个，总面积700㎡</w:t>
            </w:r>
          </w:p>
        </w:tc>
        <w:tc>
          <w:tcPr>
            <w:tcW w:w="2608" w:type="dxa"/>
            <w:vAlign w:val="center"/>
          </w:tcPr>
          <w:p>
            <w:pPr>
              <w:spacing w:before="203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36" w:type="dxa"/>
            <w:vAlign w:val="center"/>
          </w:tcPr>
          <w:p>
            <w:pPr>
              <w:pStyle w:val="24"/>
              <w:spacing w:before="34" w:line="262" w:lineRule="auto"/>
              <w:ind w:left="126" w:right="105" w:hanging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  <w:highlight w:val="none"/>
              </w:rPr>
              <w:t>垃圾存放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点</w:t>
            </w: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34" w:line="260" w:lineRule="auto"/>
              <w:ind w:left="115" w:right="104" w:hanging="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各垃圾存放点位置、面积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（㎡）及数量（个）</w:t>
            </w:r>
          </w:p>
        </w:tc>
        <w:tc>
          <w:tcPr>
            <w:tcW w:w="3689" w:type="dxa"/>
            <w:vAlign w:val="center"/>
          </w:tcPr>
          <w:p>
            <w:pPr>
              <w:spacing w:before="204" w:line="220" w:lineRule="auto"/>
              <w:ind w:left="112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垃圾存放点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val="en-US" w:eastAsia="zh-CN"/>
              </w:rPr>
              <w:t>1个，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val="en-US"/>
              </w:rPr>
              <w:t>面积15㎡</w:t>
            </w:r>
          </w:p>
        </w:tc>
        <w:tc>
          <w:tcPr>
            <w:tcW w:w="2608" w:type="dxa"/>
            <w:vAlign w:val="center"/>
          </w:tcPr>
          <w:p>
            <w:pPr>
              <w:spacing w:before="203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36" w:type="dxa"/>
            <w:vAlign w:val="center"/>
          </w:tcPr>
          <w:p>
            <w:pPr>
              <w:spacing w:line="251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pStyle w:val="24"/>
              <w:spacing w:before="69" w:line="221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车位数</w:t>
            </w: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91" w:line="221" w:lineRule="auto"/>
              <w:ind w:left="109" w:left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地面车位数</w:t>
            </w:r>
          </w:p>
        </w:tc>
        <w:tc>
          <w:tcPr>
            <w:tcW w:w="3689" w:type="dxa"/>
            <w:vAlign w:val="center"/>
          </w:tcPr>
          <w:p>
            <w:pPr>
              <w:spacing w:before="92" w:line="218" w:lineRule="auto"/>
              <w:ind w:left="115" w:leftChars="0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val="en-US" w:eastAsia="zh-CN"/>
              </w:rPr>
              <w:t>170个</w:t>
            </w:r>
          </w:p>
        </w:tc>
        <w:tc>
          <w:tcPr>
            <w:tcW w:w="2608" w:type="dxa"/>
            <w:vAlign w:val="center"/>
          </w:tcPr>
          <w:p>
            <w:pPr>
              <w:spacing w:before="88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pStyle w:val="24"/>
              <w:spacing w:before="154" w:line="269" w:lineRule="auto"/>
              <w:ind w:left="147" w:right="104" w:hanging="3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highlight w:val="none"/>
              </w:rPr>
              <w:t>车行/人行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口</w:t>
            </w: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92" w:line="221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车行口</w:t>
            </w:r>
          </w:p>
        </w:tc>
        <w:tc>
          <w:tcPr>
            <w:tcW w:w="3689" w:type="dxa"/>
            <w:vAlign w:val="center"/>
          </w:tcPr>
          <w:p>
            <w:pPr>
              <w:spacing w:before="92" w:line="219" w:lineRule="auto"/>
              <w:ind w:left="115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2608" w:type="dxa"/>
            <w:vAlign w:val="center"/>
          </w:tcPr>
          <w:p>
            <w:pPr>
              <w:spacing w:before="92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90" w:line="221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人行口</w:t>
            </w:r>
          </w:p>
        </w:tc>
        <w:tc>
          <w:tcPr>
            <w:tcW w:w="3689" w:type="dxa"/>
            <w:vAlign w:val="center"/>
          </w:tcPr>
          <w:p>
            <w:pPr>
              <w:spacing w:before="89" w:line="219" w:lineRule="auto"/>
              <w:ind w:left="115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2个</w:t>
            </w:r>
          </w:p>
        </w:tc>
        <w:tc>
          <w:tcPr>
            <w:tcW w:w="2608" w:type="dxa"/>
            <w:vAlign w:val="center"/>
          </w:tcPr>
          <w:p>
            <w:pPr>
              <w:spacing w:before="89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36" w:type="dxa"/>
            <w:vAlign w:val="center"/>
          </w:tcPr>
          <w:p>
            <w:pPr>
              <w:pStyle w:val="24"/>
              <w:spacing w:before="68" w:line="273" w:lineRule="auto"/>
              <w:ind w:left="121" w:right="105" w:hanging="2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  <w:highlight w:val="none"/>
              </w:rPr>
              <w:t>设施设备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038" w:type="dxa"/>
            <w:vAlign w:val="center"/>
          </w:tcPr>
          <w:p>
            <w:pPr>
              <w:pStyle w:val="24"/>
              <w:spacing w:before="68" w:line="221" w:lineRule="auto"/>
              <w:ind w:left="134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电梯系统</w:t>
            </w:r>
          </w:p>
        </w:tc>
        <w:tc>
          <w:tcPr>
            <w:tcW w:w="3689" w:type="dxa"/>
            <w:vAlign w:val="center"/>
          </w:tcPr>
          <w:p>
            <w:pPr>
              <w:spacing w:before="93" w:line="218" w:lineRule="auto"/>
              <w:ind w:left="115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pacing w:val="-1"/>
                <w:position w:val="9"/>
                <w:sz w:val="24"/>
                <w:szCs w:val="24"/>
                <w:highlight w:val="none"/>
                <w:lang w:val="en-US" w:eastAsia="zh-CN"/>
              </w:rPr>
              <w:t>客梯数量5个</w:t>
            </w:r>
          </w:p>
        </w:tc>
        <w:tc>
          <w:tcPr>
            <w:tcW w:w="2608" w:type="dxa"/>
            <w:vAlign w:val="center"/>
          </w:tcPr>
          <w:p>
            <w:pPr>
              <w:spacing w:before="68" w:line="260" w:lineRule="auto"/>
              <w:ind w:left="112" w:right="107" w:firstLine="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321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before="90" w:line="185" w:lineRule="auto"/>
        <w:ind w:left="508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highlight w:val="none"/>
        </w:rPr>
        <w:t>物业管理（室外）</w:t>
      </w:r>
    </w:p>
    <w:p>
      <w:pPr>
        <w:spacing w:line="31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</w:p>
    <w:tbl>
      <w:tblPr>
        <w:tblStyle w:val="23"/>
        <w:tblW w:w="907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300"/>
        <w:gridCol w:w="4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highlight w:val="none"/>
              </w:rPr>
              <w:t>明细</w:t>
            </w:r>
          </w:p>
        </w:tc>
        <w:tc>
          <w:tcPr>
            <w:tcW w:w="4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服务内容及标准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42" w:type="dxa"/>
            <w:vAlign w:val="center"/>
          </w:tcPr>
          <w:p>
            <w:pPr>
              <w:pStyle w:val="24"/>
              <w:spacing w:before="91" w:line="221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室外面积</w:t>
            </w:r>
          </w:p>
        </w:tc>
        <w:tc>
          <w:tcPr>
            <w:tcW w:w="3300" w:type="dxa"/>
            <w:vAlign w:val="center"/>
          </w:tcPr>
          <w:p>
            <w:pPr>
              <w:spacing w:before="91" w:line="218" w:lineRule="auto"/>
              <w:ind w:left="113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43658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4129" w:type="dxa"/>
            <w:vAlign w:val="center"/>
          </w:tcPr>
          <w:p>
            <w:pPr>
              <w:spacing w:before="90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642" w:type="dxa"/>
            <w:vAlign w:val="center"/>
          </w:tcPr>
          <w:p>
            <w:pPr>
              <w:pStyle w:val="24"/>
              <w:spacing w:before="89" w:line="222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绿化</w:t>
            </w:r>
          </w:p>
        </w:tc>
        <w:tc>
          <w:tcPr>
            <w:tcW w:w="3300" w:type="dxa"/>
            <w:vAlign w:val="center"/>
          </w:tcPr>
          <w:p>
            <w:pPr>
              <w:spacing w:before="89" w:line="219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10200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4129" w:type="dxa"/>
            <w:vAlign w:val="center"/>
          </w:tcPr>
          <w:p>
            <w:pPr>
              <w:spacing w:before="88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642" w:type="dxa"/>
            <w:vAlign w:val="center"/>
          </w:tcPr>
          <w:p>
            <w:pPr>
              <w:pStyle w:val="24"/>
              <w:spacing w:before="93" w:line="221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广场</w:t>
            </w:r>
          </w:p>
        </w:tc>
        <w:tc>
          <w:tcPr>
            <w:tcW w:w="3300" w:type="dxa"/>
            <w:vAlign w:val="center"/>
          </w:tcPr>
          <w:p>
            <w:pPr>
              <w:spacing w:before="93" w:line="219" w:lineRule="auto"/>
              <w:ind w:left="113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20385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㎡</w:t>
            </w:r>
          </w:p>
        </w:tc>
        <w:tc>
          <w:tcPr>
            <w:tcW w:w="4129" w:type="dxa"/>
            <w:vAlign w:val="center"/>
          </w:tcPr>
          <w:p>
            <w:pPr>
              <w:spacing w:before="92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42" w:type="dxa"/>
            <w:vAlign w:val="center"/>
          </w:tcPr>
          <w:p>
            <w:pPr>
              <w:pStyle w:val="24"/>
              <w:spacing w:before="92" w:line="221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路灯、草坪灯</w:t>
            </w:r>
          </w:p>
        </w:tc>
        <w:tc>
          <w:tcPr>
            <w:tcW w:w="3300" w:type="dxa"/>
            <w:vAlign w:val="center"/>
          </w:tcPr>
          <w:p>
            <w:pPr>
              <w:spacing w:before="93" w:line="219" w:lineRule="auto"/>
              <w:ind w:left="113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路灯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val="en-US" w:eastAsia="zh-CN"/>
              </w:rPr>
              <w:t>70个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、草坪灯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  <w:lang w:val="en-US" w:eastAsia="zh-CN"/>
              </w:rPr>
              <w:t>20个</w:t>
            </w:r>
          </w:p>
        </w:tc>
        <w:tc>
          <w:tcPr>
            <w:tcW w:w="4129" w:type="dxa"/>
            <w:vAlign w:val="center"/>
          </w:tcPr>
          <w:p>
            <w:pPr>
              <w:spacing w:before="92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642" w:type="dxa"/>
            <w:vAlign w:val="center"/>
          </w:tcPr>
          <w:p>
            <w:pPr>
              <w:pStyle w:val="24"/>
              <w:spacing w:before="91" w:line="221" w:lineRule="auto"/>
              <w:ind w:left="12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消防栓</w:t>
            </w:r>
          </w:p>
        </w:tc>
        <w:tc>
          <w:tcPr>
            <w:tcW w:w="3300" w:type="dxa"/>
            <w:vAlign w:val="center"/>
          </w:tcPr>
          <w:p>
            <w:pPr>
              <w:spacing w:before="91" w:line="219" w:lineRule="auto"/>
              <w:ind w:left="113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240个</w:t>
            </w:r>
          </w:p>
        </w:tc>
        <w:tc>
          <w:tcPr>
            <w:tcW w:w="4129" w:type="dxa"/>
            <w:vAlign w:val="center"/>
          </w:tcPr>
          <w:p>
            <w:pPr>
              <w:spacing w:before="90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42" w:type="dxa"/>
            <w:vAlign w:val="center"/>
          </w:tcPr>
          <w:p>
            <w:pPr>
              <w:pStyle w:val="24"/>
              <w:spacing w:before="94" w:line="221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</w:rPr>
              <w:t>垃圾箱</w:t>
            </w:r>
          </w:p>
        </w:tc>
        <w:tc>
          <w:tcPr>
            <w:tcW w:w="3300" w:type="dxa"/>
            <w:vAlign w:val="center"/>
          </w:tcPr>
          <w:p>
            <w:pPr>
              <w:spacing w:before="94" w:line="219" w:lineRule="auto"/>
              <w:ind w:left="113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highlight w:val="none"/>
                <w:lang w:val="en-US" w:eastAsia="zh-CN"/>
              </w:rPr>
              <w:t>100个</w:t>
            </w:r>
          </w:p>
        </w:tc>
        <w:tc>
          <w:tcPr>
            <w:tcW w:w="4129" w:type="dxa"/>
            <w:vAlign w:val="center"/>
          </w:tcPr>
          <w:p>
            <w:pPr>
              <w:spacing w:before="93" w:line="221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见“</w:t>
            </w:r>
            <w:r>
              <w:rPr>
                <w:rFonts w:hint="eastAsia" w:cs="宋体"/>
                <w:spacing w:val="9"/>
                <w:sz w:val="24"/>
                <w:szCs w:val="24"/>
                <w:highlight w:val="none"/>
                <w:lang w:val="en-US" w:eastAsia="zh-CN"/>
              </w:rPr>
              <w:t>保洁服务、保安服务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highlight w:val="none"/>
              </w:rPr>
              <w:t>”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90" w:line="185" w:lineRule="auto"/>
        <w:ind w:left="541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物业管理服务内容及标准</w:t>
      </w:r>
    </w:p>
    <w:p>
      <w:pPr>
        <w:spacing w:line="312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before="68" w:line="220" w:lineRule="auto"/>
        <w:ind w:left="54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pacing w:val="-1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物业管理服务包括基本服务、保洁服务、保安服务、公共设施节水、节电、节能管理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物业移交衔接等。</w:t>
      </w:r>
    </w:p>
    <w:p>
      <w:pPr>
        <w:spacing w:before="91" w:line="186" w:lineRule="auto"/>
        <w:ind w:left="541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基本服务</w:t>
      </w:r>
    </w:p>
    <w:p>
      <w:pPr>
        <w:spacing w:line="2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055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6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目标与责任</w:t>
            </w: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（1）结合采购人要求及物业服务实际情况，</w:t>
            </w:r>
            <w:r>
              <w:rPr>
                <w:rFonts w:hint="eastAsia"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制定年度管理目标，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明确责任分工，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并制定配套实施方案。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服务人员要求</w:t>
            </w: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2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（1）每季度至少开展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次岗位技能、职业素质、服务知识、客户文化、绿色节能环保等教育培训，并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进行适当形式的考核。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（2）根据采购人要求对服务人员进行从业资格审查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， 审查结果向采购人报备。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7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（3）服务人员的年龄、学历、工作经验及资格条件应当与所在岗位能力要求相匹配，到岗前应当经过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必要的岗前培训以达到岗位能力要求，国家、行业规定应当取得职业资格证书或特种作业证书的，应当按规定持证上岗。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（4）如采购人认为服务人员不适应岗位要求或存在其他影响工作的，可要求供应商进行调换。如因供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应商原因对服务人员进行调换，应当经采购人同意，更换比例不得超过本项目服务人员总数的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20%。本项目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服务人员不得在其他项目兼职。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（5）着装分类统一，佩戴标识。仪容整洁、姿态端正、举止文明。用语文明礼貌，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态度温和耐心。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档案管理</w:t>
            </w: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（1）建立物业信息，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准确、及时地对文件资料和服务记录进行归档保存，并确保其物理安全。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21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（2）档案和记录齐全，包括但不限于：①采购人建议与投诉等。教育培训和考核记录。保密、思想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政治教育培训记录。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保安服务：监控记录、突发事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件演习与处置记录等。⑤保洁服务：工作日志、清 洁检查表、用品清单、客户反馈表等。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宿管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/>
              </w:rPr>
              <w:t>服务：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工作日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/>
              </w:rPr>
              <w:t>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宿舍管理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/>
              </w:rPr>
              <w:t>记录、消杀记录等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99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（3）遵守采购人的信息、档案资料保密要求，未经许可，不得将建筑物平面图等资料转作其他用途或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向其他单位、个人提供。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（4）履约结束后，相关资料交还采购人，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采购人按政府采购相关规定存档。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服务改进</w:t>
            </w: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5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（1）明确负责人，定期对物业服务过程进行自查，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结合反馈意见与评价结果采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取改进措施，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持续提升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管理与服务水平。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3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（2）对不合格服务进行控制，对不合格服务的原因进行识别和分析，及时采取纠正措施，消除不合格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的原因，防止不合格再发生。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（3）需整改问题及时整改完成。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服务方案及工作制度</w:t>
            </w: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7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（1）制定工作制度，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主要包括：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人员录用制度、档案管理制度、物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业服务管理制度、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安保管理制度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（2）制定项目实施方案，主要包括： 交接方案、人员培训方案、人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员稳定性方案、保密方案等。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19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（3）制定物业服务方案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。</w:t>
            </w:r>
          </w:p>
        </w:tc>
      </w:tr>
    </w:tbl>
    <w:p>
      <w:pPr>
        <w:spacing w:line="149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90" w:line="186" w:lineRule="auto"/>
        <w:ind w:left="541"/>
        <w:outlineLvl w:val="0"/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before="90" w:line="186" w:lineRule="auto"/>
        <w:ind w:left="541"/>
        <w:outlineLvl w:val="0"/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</w:pPr>
    </w:p>
    <w:p>
      <w:pPr>
        <w:spacing w:before="90" w:line="186" w:lineRule="auto"/>
        <w:ind w:left="541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保洁服务</w:t>
      </w:r>
    </w:p>
    <w:p>
      <w:pPr>
        <w:spacing w:line="2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2100"/>
        <w:gridCol w:w="6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2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2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基本要求</w:t>
            </w: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（1）建立保洁服务的工作制度及工作计划，并按照执行。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（2）做好保洁服务工作记录，记录填写规范、保存完好。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（3）作业时采取安全防护措施，防止对作业人员或他人造成伤害。相关耗材的环保、安全性等应当符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合国家相关规定要求。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公共场地区域保洁</w:t>
            </w: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（1）每日清扫道路地面、停车场等公共区域</w:t>
            </w:r>
            <w:r>
              <w:rPr>
                <w:rFonts w:hint="eastAsia"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次，保持干净、无杂物、无积水。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（2）雪、冰冻等恶劣天气时及时清扫积水、积雪，并采取安全防护措施。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（3）各种路标、宣传栏等保持干净，每月至少开展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）垃圾桶：桶体光洁无污迹、无痰迹；烟灰缸盖上无烟头、杂物；桶内垃圾不超过容积1/3，每日至少开展1次清洁作业。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（5）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绿化带、池塘内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内无杂物，每天至少开展 1 次巡查。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楼宇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区域保洁</w:t>
            </w: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（1）大厅、楼内公共通道：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4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①公共通道保持干净，</w:t>
            </w:r>
            <w:r>
              <w:rPr>
                <w:rFonts w:hint="eastAsia" w:ascii="宋体" w:hAnsi="宋体" w:eastAsia="宋体" w:cs="宋体"/>
                <w:spacing w:val="-18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无异味、无杂物、无积水，每日至少开展</w:t>
            </w:r>
            <w:r>
              <w:rPr>
                <w:rFonts w:hint="eastAsia" w:ascii="宋体" w:hAnsi="宋体" w:eastAsia="宋体" w:cs="宋体"/>
                <w:spacing w:val="-36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次清洁作业。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4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②门窗玻璃干净无尘，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透光性好，每周至少开展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次清洁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作业。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③指示牌干净，无污渍，每日至少开展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/>
              </w:rPr>
              <w:t>标识牌、门牌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、消防栓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/>
              </w:rPr>
              <w:t>：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/>
              </w:rPr>
              <w:t>无尘、无污迹，每日至少开展1次清洁作业。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（3）楼梯及楼梯间保持干净、无异味、无杂物、无积水，每日至少开展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）垃圾桶：桶体光洁无污迹、无痰迹；烟灰缸盖上无烟头、杂物；桶内垃圾不超过容积1/3，每日至少开展1次清洁作业。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）开水间保持干净、无异味、无杂物、无积水，每日至少开展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）作业工具间：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4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①保持干净，</w:t>
            </w:r>
            <w:r>
              <w:rPr>
                <w:rFonts w:hint="eastAsia" w:ascii="宋体" w:hAnsi="宋体" w:eastAsia="宋体" w:cs="宋体"/>
                <w:spacing w:val="-17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无异味、无杂物、无积水，每日至少开展</w:t>
            </w:r>
            <w:r>
              <w:rPr>
                <w:rFonts w:hint="eastAsia" w:ascii="宋体" w:hAnsi="宋体" w:eastAsia="宋体" w:cs="宋体"/>
                <w:spacing w:val="-37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position w:val="9"/>
                <w:sz w:val="24"/>
                <w:szCs w:val="24"/>
              </w:rPr>
              <w:t>次清洁作业。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②作业工具摆放整齐有序，表面干净无渍，每日消毒。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）公共卫生间：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5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</w:rPr>
              <w:t>①保持干净，</w:t>
            </w:r>
            <w:r>
              <w:rPr>
                <w:rFonts w:hint="eastAsia" w:ascii="宋体" w:hAnsi="宋体" w:eastAsia="宋体" w:cs="宋体"/>
                <w:spacing w:val="-21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</w:rPr>
              <w:t>无异味，</w:t>
            </w:r>
            <w:r>
              <w:rPr>
                <w:rFonts w:hint="eastAsia" w:ascii="宋体" w:hAnsi="宋体" w:eastAsia="宋体" w:cs="宋体"/>
                <w:spacing w:val="-21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</w:rPr>
              <w:t>垃圾无溢出，每日至少开展</w:t>
            </w:r>
            <w:r>
              <w:rPr>
                <w:rFonts w:hint="eastAsia" w:ascii="宋体" w:hAnsi="宋体" w:eastAsia="宋体" w:cs="宋体"/>
                <w:spacing w:val="-37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7"/>
                <w:position w:val="9"/>
                <w:sz w:val="24"/>
                <w:szCs w:val="24"/>
              </w:rPr>
              <w:t>次清洁</w:t>
            </w:r>
            <w:r>
              <w:rPr>
                <w:rFonts w:hint="eastAsia" w:ascii="宋体" w:hAnsi="宋体" w:eastAsia="宋体" w:cs="宋体"/>
                <w:spacing w:val="-8"/>
                <w:position w:val="9"/>
                <w:sz w:val="24"/>
                <w:szCs w:val="24"/>
              </w:rPr>
              <w:t>作业。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②及时补充厕纸等必要用品。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）电梯轿厢：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9"/>
                <w:sz w:val="24"/>
                <w:szCs w:val="24"/>
              </w:rPr>
              <w:t>①保持干净，无污渍、无粘贴物、无异味，每日至少开展</w:t>
            </w:r>
            <w:r>
              <w:rPr>
                <w:rFonts w:hint="eastAsia" w:ascii="宋体" w:hAnsi="宋体" w:eastAsia="宋体" w:cs="宋体"/>
                <w:spacing w:val="-19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position w:val="9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7"/>
                <w:w w:val="101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position w:val="9"/>
                <w:sz w:val="24"/>
                <w:szCs w:val="24"/>
              </w:rPr>
              <w:t>次清洁作业。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6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②灯具、操作指示板明亮。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宿舍区管理保洁</w:t>
            </w: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（1）严格遵守宿舍管理规定，执行宿舍管理制度。负责宿舍日常管理工作。每天做好宿舍区安全巡查，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发现水电设施发现立即报修，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及时处理不安全的因素。及时发现了解学生在宿舍区动态，第一时间处理、调解学生之间发生的纠纷、矛盾，控制事态发展。遇重大事项，及时向单位主要领导报告。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（2）每晚点名、查房。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（3）每天打扫楼层公厕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、浴室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/>
              </w:rPr>
              <w:t>和公共区域。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排球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馆保洁</w:t>
            </w: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（1）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排球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馆内学生日常活动场地：需保持地面干净，无纸屑，无白色污染，无烟头，无垃圾堆积物，无积水，每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（2）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排球馆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保证大型活动前后，扶手和栏杆：无陈灰陈垢，室</w:t>
            </w: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台阶干净、无纸屑、烟头等杂物，平时无白色垃圾。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（3）消防栓：外侧玻璃光亮，无污迹，每日至少开展1次清洁作业。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报告厅及会议室保洁</w:t>
            </w: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报告厅及会议室音视频设备、消防栓及开关插座、地面、门窗等保持表面干净，无尘无污迹，每周至少开展1次清洁作业。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118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重大活动后勤保障</w:t>
            </w: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（1）配合学校做好活动会场布置工作及校园环境卫生保洁工作，做到校园整洁、干净。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118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（2）配合学校做好活动收尾工作并对现场进行卫生清扫，保证校园整洁。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118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应急管理</w:t>
            </w: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（1）处理公共秩序的突发事件。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（2）对节假日重大活动期间突发事件的处理。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（3）对大风、雨雪天气的处理。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zh-CN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（4）对上级突击检查的处理。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552" w:firstLineChars="2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tabs>
                <w:tab w:val="left" w:pos="60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52" w:firstLineChars="2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>（5）建立各类安全管理措施及应急处理预案。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垃圾处理</w:t>
            </w: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8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（1）在指定位置摆放分类垃圾桶，</w:t>
            </w:r>
            <w:r>
              <w:rPr>
                <w:rFonts w:hint="eastAsia"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并在显著处张贴垃圾分类标识。分类垃圾桶和垃圾分类标识根据所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在城市的要求设置。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（2）桶身表面干净无污渍，每日开展至少</w:t>
            </w:r>
            <w:r>
              <w:rPr>
                <w:rFonts w:hint="eastAsia"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4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（3）垃圾中转房保持整洁， 无明显异味，每日至少开展</w:t>
            </w:r>
            <w:r>
              <w:rPr>
                <w:rFonts w:hint="eastAsia"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次清洁作业。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6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</w:t>
            </w:r>
            <w:r>
              <w:rPr>
                <w:rFonts w:hint="eastAsia" w:cs="宋体"/>
                <w:spacing w:val="-5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）每个工作日内要对楼层产生的垃圾，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进行清理分类， 并运至垃圾集中堆放点。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48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（</w:t>
            </w: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）垃圾装袋， 日产日清。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）定期清洁、定期喷洒消毒和灭蚊蝇药物。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tcBorders>
              <w:bottom w:val="single" w:color="auto" w:sz="4" w:space="0"/>
            </w:tcBorders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做好垃圾分类管理的宣传工作，督促并引导全员参与垃圾分类投放。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卫生消毒</w:t>
            </w:r>
          </w:p>
        </w:tc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4"/>
              <w:spacing w:before="34" w:line="240" w:lineRule="auto"/>
              <w:ind w:left="116" w:right="278" w:firstLine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（1）办公用房区域、公共场所区域和周围环境预防性卫生消毒，消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毒后及时通风，每周至少开展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次作业。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8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（2）采取综合措施消灭老鼠、蟑螂，控制室内外蚊虫孳生，达到基本无蝇，每季度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次作业。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68" w:firstLineChars="2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（3）发生公共卫生事件时， 邀请专业单位开展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消毒、检测等工作。</w:t>
            </w:r>
          </w:p>
        </w:tc>
      </w:tr>
    </w:tbl>
    <w:p>
      <w:pPr>
        <w:spacing w:line="261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90" w:line="186" w:lineRule="auto"/>
        <w:ind w:left="541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val="en-US" w:eastAsia="zh-CN"/>
        </w:rPr>
        <w:t>3、安保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服务</w:t>
      </w:r>
    </w:p>
    <w:p>
      <w:pPr>
        <w:spacing w:line="2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106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21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61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基本要求</w:t>
            </w: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（1）建立保安服务相关制度，并按照执行。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（2）对巡查、值守及异常情况等做好相关记录，填写规范，保存完好。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（3）配备保安服务必要的器材。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出入管理</w:t>
            </w: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0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（1）办公楼（区）主出入口应当实行 24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小时值班制。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（2）设置门岗。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（3）在出入口对外来人员及其携带大件物品、外来车辆进行询问和记录，并与相关部门取得联系，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同意后方可进入。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（4）大件物品搬出有相关部门开具的证明和清单，经核实后放行。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0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（5）排查可疑人员，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对于不出示证件、不按规定登记、不听劝阻而强行闯入者，及时劝离，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必要时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通知公安机关进行处理。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值班巡查</w:t>
            </w: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96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（1）建立</w:t>
            </w:r>
            <w:r>
              <w:rPr>
                <w:rFonts w:hint="eastAsia"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小时值班巡查制度。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（2）制定巡查路线，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按照指定时间和路线执行，加强重点区域、重点部位及装修区域的巡查。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4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（3）巡查期间保持通信设施设备畅通，遇到异常情况立即上报并在现场采取相应措施。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（4）收到监控室指令后，巡查人员及时到达指定地点并迅速采取相应措施。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监控值守</w:t>
            </w: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76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）监控设备</w:t>
            </w:r>
            <w:r>
              <w:rPr>
                <w:rFonts w:hint="eastAsia"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小时正常运行，</w:t>
            </w: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监控室实行专人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小时值班制度。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306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）值班期间遵守操作规程和保密制度，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做好监控记录的保存工作。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2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）无关人员进入监控室或查阅监控记录，经授权人批准并做好相关记录。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9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）监控室收到火情等报警信号、其他异常情况信号后，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及时报警并安排其他安保人员前往现场进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98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（1）车辆行驶路线设置合理、规范， 导向标志完整、清晰。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车辆停放</w:t>
            </w: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6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（2）合理规划车辆停放区域，张贴车辆引导标识，对车辆及停放区域实行规范管理。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4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（3）严禁在办公楼的公用走道、楼梯间、安全出口处等公共区域停放车辆或充电。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0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（4）非机动车定点有序停放。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vAlign w:val="top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84" w:firstLineChars="1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（5）发现车辆异常情况及时通知车主，并做好登记；发生交通事故、自然灾害等意外事故时及时赶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赴现场疏导和协助处理， 响应时间不超过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分钟。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4" w:line="179" w:lineRule="auto"/>
              <w:ind w:left="58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before="68" w:line="221" w:lineRule="auto"/>
              <w:ind w:left="11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消防安全管理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4"/>
              <w:spacing w:before="93" w:line="221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（1）建立消防安全责任制， 确定各级消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防安全责任人及其职责。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4"/>
              <w:spacing w:before="89" w:line="221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）消火栓、应急照明、应急物资、消防及人员逃生通道、消防车通道可随时正常使用。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4"/>
              <w:spacing w:before="90" w:line="220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）定期组织消防安全宣传，每半年至少开展</w:t>
            </w:r>
            <w:r>
              <w:rPr>
                <w:rFonts w:hint="eastAsia"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0"/>
                <w:w w:val="10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次消防演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练。</w:t>
            </w:r>
          </w:p>
        </w:tc>
      </w:tr>
    </w:tbl>
    <w:p>
      <w:pPr>
        <w:spacing w:line="2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公共设施节水、</w:t>
      </w:r>
      <w:r>
        <w:rPr>
          <w:rFonts w:hint="eastAsia" w:ascii="宋体" w:hAnsi="宋体" w:eastAsia="宋体" w:cs="宋体"/>
          <w:sz w:val="24"/>
          <w:szCs w:val="24"/>
        </w:rPr>
        <w:t>节电、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节能管理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（1）巡查卫生间、浴室，发现跑、冒、滴、漏水情况迅速处理或报告；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（2）发现开门窗时开空调的情况及时提醒；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（3）发现长明灯的情况要及时采取相应措施；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（4）卫生间粘贴节水标识；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（5）配合采购人做好节能宣传工作。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物业移交要求</w:t>
      </w:r>
    </w:p>
    <w:p>
      <w:pPr>
        <w:tabs>
          <w:tab w:val="left" w:pos="0"/>
          <w:tab w:val="left" w:pos="284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人在合同签订后三天内必须与原物业公司进行交接，并派员进驻物业管理服务区域；中标人应及时与采购人沟通，了解相关情况，尽快做好接管原物业的相关图纸、资料，并对设施、设备逐项进行交接前的调试和测定；要求务必三天内完成交接，中标人应积极配合，采购人负责监督交接。</w:t>
      </w:r>
    </w:p>
    <w:p>
      <w:pPr>
        <w:tabs>
          <w:tab w:val="left" w:pos="0"/>
          <w:tab w:val="left" w:pos="284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合同期结束后，要求中标人按照采购人要求，要做好全体工作人员的思想稳定工作，在新供应商未进驻前，按原合同继续做好物业管理（注：继续做的费用不含在本合同总价内），同时清点物品，配合使用单位及新中标人做好移交工作，无条件配合移交下一合同期内的供应商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五、供应商履行合同所需的设备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76" w:firstLineChars="202"/>
        <w:textAlignment w:val="baseline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采购人根据项目实际需求，需要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供应商提供作业设备（自有或租赁）用于物业管理服务的， 可在下表中列出，举例如下：</w:t>
      </w:r>
    </w:p>
    <w:p>
      <w:pPr>
        <w:spacing w:line="5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3"/>
        <w:tblW w:w="907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988"/>
        <w:gridCol w:w="1981"/>
        <w:gridCol w:w="1095"/>
        <w:gridCol w:w="936"/>
        <w:gridCol w:w="3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用途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作业设备名称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单位</w:t>
            </w:r>
          </w:p>
        </w:tc>
        <w:tc>
          <w:tcPr>
            <w:tcW w:w="3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保洁服务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新能源路面养护车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3424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需为2023年1月1日后出厂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保洁服务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尘推车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424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7"/>
        <w:ind w:firstLine="602" w:firstLineChars="25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说明：本“供应商履行合同所需的设备”为不允许偏离的实质性要求和条件，如有偏离，在符合性审查时按照响应无效处理。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六、物业管理服务人员需求</w:t>
      </w:r>
    </w:p>
    <w:p>
      <w:pPr>
        <w:pStyle w:val="25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ind w:left="0" w:right="0" w:rightChars="0" w:firstLine="480" w:firstLineChars="200"/>
        <w:jc w:val="both"/>
        <w:textAlignment w:val="baseline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bidi="ar-SA"/>
        </w:rPr>
        <w:t>（一）物业管理服务人员具体需求</w:t>
      </w:r>
    </w:p>
    <w:p>
      <w:pPr>
        <w:spacing w:line="29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337"/>
        <w:gridCol w:w="1441"/>
        <w:gridCol w:w="2031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职能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岗位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同时在岗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人数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岗位所需总人数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备注（岗位所需服务时长或时段、需具备的上岗资格证、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人员学历、工作经验等要求）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6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中心</w:t>
            </w:r>
          </w:p>
        </w:tc>
        <w:tc>
          <w:tcPr>
            <w:tcW w:w="1337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项目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主管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0周岁(含)以下，大专及以上学历，具备物业管理师证；有敬业精神，有丰富的管理经验。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65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保洁</w:t>
            </w: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</w:t>
            </w:r>
          </w:p>
        </w:tc>
        <w:tc>
          <w:tcPr>
            <w:tcW w:w="1337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保洁员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小学以上学历，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周岁以下，身体健康，有敬业精神。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65" w:type="dxa"/>
            <w:vAlign w:val="center"/>
          </w:tcPr>
          <w:p>
            <w:pPr>
              <w:pStyle w:val="24"/>
              <w:spacing w:before="69" w:line="221" w:lineRule="auto"/>
              <w:ind w:left="11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宿管  服务</w:t>
            </w:r>
          </w:p>
        </w:tc>
        <w:tc>
          <w:tcPr>
            <w:tcW w:w="1337" w:type="dxa"/>
            <w:vAlign w:val="center"/>
          </w:tcPr>
          <w:p>
            <w:pPr>
              <w:pStyle w:val="24"/>
              <w:spacing w:before="90" w:line="221" w:lineRule="auto"/>
              <w:ind w:left="110"/>
              <w:jc w:val="center"/>
              <w:rPr>
                <w:rFonts w:hint="default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宿管员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高中以上学历，55 周岁以下，有敬业精神。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pStyle w:val="24"/>
              <w:spacing w:before="69" w:line="221" w:lineRule="auto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保安</w:t>
            </w: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</w:t>
            </w:r>
          </w:p>
        </w:tc>
        <w:tc>
          <w:tcPr>
            <w:tcW w:w="1337" w:type="dxa"/>
            <w:vAlign w:val="center"/>
          </w:tcPr>
          <w:p>
            <w:pPr>
              <w:pStyle w:val="24"/>
              <w:spacing w:before="90" w:line="221" w:lineRule="auto"/>
              <w:ind w:left="1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9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高中以上学历，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周岁以下，有敬业精神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；秩序维护员必须具备保安员证，持证上岗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247" w:line="79" w:lineRule="exact"/>
              <w:ind w:left="11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position w:val="1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9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32" w:line="213" w:lineRule="auto"/>
        <w:ind w:left="551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注： 1.供应商应当按国家相关法律法规，合理确定服务人员工资标准、工作时间等。供应商应当自行为服务人员办理必需的保险，有关人员伤亡及第三者责任险均应当考虑在报价因素中。</w:t>
      </w:r>
    </w:p>
    <w:p>
      <w:pPr>
        <w:spacing w:before="32" w:line="213" w:lineRule="auto"/>
        <w:ind w:left="551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sz w:val="24"/>
          <w:szCs w:val="24"/>
          <w:lang w:val="zh-CN" w:eastAsia="zh-CN"/>
        </w:rPr>
        <w:t>验收后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项目主管</w:t>
      </w:r>
      <w:r>
        <w:rPr>
          <w:rFonts w:hint="eastAsia" w:ascii="宋体" w:hAnsi="宋体" w:eastAsia="宋体" w:cs="宋体"/>
          <w:spacing w:val="0"/>
          <w:sz w:val="24"/>
          <w:szCs w:val="24"/>
          <w:lang w:val="zh-CN" w:eastAsia="zh-CN"/>
        </w:rPr>
        <w:t>必须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长期在本项目工作，如因故无法长期在本项目工作，需在甲方允许的情况下，更换同等资历工作人员，且需支付10万元/人违约金。</w:t>
      </w:r>
    </w:p>
    <w:p>
      <w:pPr>
        <w:pStyle w:val="2"/>
        <w:spacing w:before="72" w:line="240" w:lineRule="auto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说明：上表中“同时在岗人数”“岗位所需总人数”为不允许负偏离的实质性要求和条件，如有偏离，在符合性审查时按照响应无效处理。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ind w:firstLine="484" w:firstLineChars="202"/>
        <w:textAlignment w:val="baseline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7" w:h="16839"/>
      <w:pgMar w:top="1164" w:right="1133" w:bottom="1252" w:left="1012" w:header="0" w:footer="9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6406"/>
      <w:rPr>
        <w:sz w:val="18"/>
        <w:szCs w:val="18"/>
      </w:rPr>
    </w:pPr>
    <w:r>
      <w:rPr>
        <w:spacing w:val="-6"/>
        <w:sz w:val="18"/>
        <w:szCs w:val="18"/>
      </w:rPr>
      <w:t>第</w:t>
    </w:r>
    <w:r>
      <w:rPr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28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8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28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0BA6"/>
    <w:multiLevelType w:val="multilevel"/>
    <w:tmpl w:val="16DA0BA6"/>
    <w:lvl w:ilvl="0" w:tentative="0">
      <w:start w:val="1"/>
      <w:numFmt w:val="chineseCounting"/>
      <w:pStyle w:val="6"/>
      <w:suff w:val="nothing"/>
      <w:lvlText w:val="第%1章 "/>
      <w:lvlJc w:val="left"/>
      <w:pPr>
        <w:ind w:left="432" w:hanging="432"/>
      </w:pPr>
      <w:rPr>
        <w:rFonts w:hint="eastAsia" w:ascii="宋体" w:hAnsi="宋体" w:eastAsia="宋体"/>
        <w:b/>
        <w:sz w:val="28"/>
        <w:szCs w:val="28"/>
      </w:rPr>
    </w:lvl>
    <w:lvl w:ilvl="1" w:tentative="0">
      <w:start w:val="1"/>
      <w:numFmt w:val="decimal"/>
      <w:pStyle w:val="7"/>
      <w:isLgl/>
      <w:lvlText w:val="%1.%2."/>
      <w:lvlJc w:val="left"/>
      <w:pPr>
        <w:ind w:left="858" w:hanging="575"/>
      </w:pPr>
      <w:rPr>
        <w:rFonts w:hint="eastAsia" w:ascii="仿宋" w:hAnsi="仿宋" w:eastAsia="仿宋"/>
        <w:b/>
        <w:sz w:val="28"/>
        <w:szCs w:val="32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仿宋" w:hAnsi="仿宋" w:eastAsia="仿宋"/>
        <w:b w:val="0"/>
      </w:rPr>
    </w:lvl>
    <w:lvl w:ilvl="3" w:tentative="0">
      <w:start w:val="1"/>
      <w:numFmt w:val="decimal"/>
      <w:isLgl/>
      <w:lvlText w:val="%1.%2.%3.%4."/>
      <w:lvlJc w:val="left"/>
      <w:pPr>
        <w:ind w:left="2283" w:hanging="864"/>
      </w:pPr>
      <w:rPr>
        <w:rFonts w:hint="eastAsia" w:ascii="仿宋" w:hAnsi="仿宋" w:eastAsia="仿宋"/>
        <w:b w:val="0"/>
        <w:sz w:val="32"/>
        <w:szCs w:val="32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NGY1ZWY1MmM3YWM2YWI0NmRlNzJhNTBjZWE2YWEifQ=="/>
  </w:docVars>
  <w:rsids>
    <w:rsidRoot w:val="00000000"/>
    <w:rsid w:val="01822014"/>
    <w:rsid w:val="03755EF9"/>
    <w:rsid w:val="06D57239"/>
    <w:rsid w:val="0DEE5197"/>
    <w:rsid w:val="18D9469A"/>
    <w:rsid w:val="207176F1"/>
    <w:rsid w:val="256426B8"/>
    <w:rsid w:val="29907656"/>
    <w:rsid w:val="38D81DA2"/>
    <w:rsid w:val="3B5B1927"/>
    <w:rsid w:val="3D0E18E4"/>
    <w:rsid w:val="3FAB5F00"/>
    <w:rsid w:val="4FB060A8"/>
    <w:rsid w:val="61A32674"/>
    <w:rsid w:val="69310643"/>
    <w:rsid w:val="6A9A036A"/>
    <w:rsid w:val="6C9E00A6"/>
    <w:rsid w:val="6D5F5F2F"/>
    <w:rsid w:val="709F711D"/>
    <w:rsid w:val="71D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ascii="Calibri"/>
      <w:b/>
      <w:bCs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ind w:left="575"/>
      <w:jc w:val="center"/>
      <w:outlineLvl w:val="1"/>
    </w:pPr>
    <w:rPr>
      <w:rFonts w:ascii="宋体" w:hAnsi="Cambria"/>
      <w:b/>
      <w:bCs/>
      <w:sz w:val="28"/>
      <w:szCs w:val="32"/>
    </w:rPr>
  </w:style>
  <w:style w:type="paragraph" w:styleId="8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4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Body Text First Indent"/>
    <w:basedOn w:val="2"/>
    <w:semiHidden/>
    <w:unhideWhenUsed/>
    <w:qFormat/>
    <w:uiPriority w:val="99"/>
    <w:pPr>
      <w:spacing w:after="120"/>
      <w:ind w:firstLine="420" w:firstLineChars="100"/>
    </w:pPr>
    <w:rPr>
      <w:rFonts w:ascii="Times New Roman" w:hAnsi="Times New Roman" w:eastAsia="宋体"/>
      <w:sz w:val="20"/>
      <w:szCs w:val="20"/>
    </w:rPr>
  </w:style>
  <w:style w:type="paragraph" w:styleId="10">
    <w:name w:val="Body Text Indent"/>
    <w:basedOn w:val="1"/>
    <w:next w:val="11"/>
    <w:qFormat/>
    <w:uiPriority w:val="99"/>
    <w:pPr>
      <w:spacing w:after="120" w:line="360" w:lineRule="auto"/>
      <w:ind w:left="420" w:leftChars="200" w:firstLine="200" w:firstLineChars="200"/>
    </w:pPr>
    <w:rPr>
      <w:rFonts w:ascii="Verdana" w:hAnsi="Verdana"/>
      <w:sz w:val="24"/>
      <w:szCs w:val="28"/>
    </w:rPr>
  </w:style>
  <w:style w:type="paragraph" w:styleId="11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Body Text First Indent 2"/>
    <w:basedOn w:val="10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99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_Style 2"/>
    <w:basedOn w:val="1"/>
    <w:qFormat/>
    <w:uiPriority w:val="34"/>
    <w:pPr>
      <w:ind w:firstLine="420"/>
    </w:pPr>
    <w:rPr>
      <w:szCs w:val="24"/>
    </w:rPr>
  </w:style>
  <w:style w:type="paragraph" w:customStyle="1" w:styleId="21">
    <w:name w:val="首行缩进"/>
    <w:basedOn w:val="1"/>
    <w:next w:val="1"/>
    <w:qFormat/>
    <w:uiPriority w:val="0"/>
    <w:pPr>
      <w:spacing w:line="360" w:lineRule="auto"/>
      <w:ind w:firstLine="480"/>
    </w:pPr>
    <w:rPr>
      <w:rFonts w:ascii="宋体" w:hAnsi="宋体" w:cs="宋体"/>
      <w:kern w:val="0"/>
      <w:sz w:val="24"/>
    </w:rPr>
  </w:style>
  <w:style w:type="paragraph" w:customStyle="1" w:styleId="22">
    <w:name w:val="页脚1"/>
    <w:basedOn w:val="1"/>
    <w:qFormat/>
    <w:uiPriority w:val="0"/>
    <w:pPr>
      <w:widowControl w:val="0"/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2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25">
    <w:name w:val="List Paragraph"/>
    <w:basedOn w:val="1"/>
    <w:qFormat/>
    <w:uiPriority w:val="1"/>
    <w:pPr>
      <w:autoSpaceDE w:val="0"/>
      <w:autoSpaceDN w:val="0"/>
      <w:ind w:left="1177" w:hanging="53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26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519</Characters>
  <Lines>0</Lines>
  <Paragraphs>0</Paragraphs>
  <TotalTime>0</TotalTime>
  <ScaleCrop>false</ScaleCrop>
  <LinksUpToDate>false</LinksUpToDate>
  <CharactersWithSpaces>520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2022-01-12T04:02:00Z</dcterms:created>
  <dc:creator>Administrator</dc:creator>
  <cp:lastModifiedBy>admin</cp:lastModifiedBy>
  <dcterms:modified xsi:type="dcterms:W3CDTF">2025-02-19T02:57:08Z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D0AF40B1A2AB46B2B46798C3CEA751DD</vt:lpwstr>
  </property>
</Properties>
</file>