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原招标文件中</w:t>
      </w: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</w:rPr>
        <w:t>中小企业声明函格式</w:t>
      </w:r>
    </w:p>
    <w:p>
      <w:pPr>
        <w:widowControl/>
        <w:spacing w:line="360" w:lineRule="auto"/>
        <w:ind w:firstLine="624"/>
        <w:jc w:val="left"/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  <w:t>云龙湖珠山南宕口彩叶园综合管护</w:t>
      </w:r>
    </w:p>
    <w:p>
      <w:pPr>
        <w:widowControl/>
        <w:spacing w:line="360" w:lineRule="auto"/>
        <w:ind w:firstLine="624"/>
        <w:jc w:val="left"/>
        <w:rPr>
          <w:rFonts w:hint="default" w:ascii="宋体" w:hAnsi="宋体" w:eastAsia="宋体" w:cs="宋体"/>
          <w:spacing w:val="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  <w:t>JSZC-320300-XDXM-G2025-0001</w:t>
      </w:r>
      <w:bookmarkStart w:id="0" w:name="_GoBack"/>
      <w:bookmarkEnd w:id="0"/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徐州市云龙湖风景名胜区管理委员会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的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云龙湖珠山南宕口彩叶园综合管护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采购活动，服务全部由符合政策要求的中小企业承接。相关企业的具体情况如下：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b/>
          <w:color w:val="auto"/>
          <w:spacing w:val="6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云龙湖珠山南宕口彩叶园综合管护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，属于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（其它未列明行业）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； 承建（承接）企业为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（企业名称）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，从业人员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人，营业收入为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万元，资产总额为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万元，</w:t>
      </w:r>
      <w:r>
        <w:rPr>
          <w:rFonts w:hint="default" w:ascii="宋体" w:hAnsi="宋体" w:eastAsia="宋体" w:cs="Times New Roman"/>
          <w:b/>
          <w:color w:val="auto"/>
          <w:kern w:val="0"/>
          <w:sz w:val="24"/>
          <w:szCs w:val="24"/>
          <w:highlight w:val="none"/>
        </w:rPr>
        <w:t>属于（□中型企业、□小型企业、□微型企业，请勾选！）；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spacing w:val="6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本企业对上述声明内容的真实性负责。如有虚假，将依法承担相应责任。</w:t>
      </w:r>
    </w:p>
    <w:p>
      <w:pPr>
        <w:widowControl/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注：本项目采购的服务属于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  <w:t>其它未列明行业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。</w:t>
      </w:r>
    </w:p>
    <w:p>
      <w:pPr>
        <w:widowControl w:val="0"/>
        <w:spacing w:line="360" w:lineRule="auto"/>
        <w:ind w:firstLine="6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</w:pPr>
    </w:p>
    <w:p>
      <w:pPr>
        <w:widowControl w:val="0"/>
        <w:spacing w:after="120" w:line="360" w:lineRule="auto"/>
        <w:jc w:val="both"/>
        <w:rPr>
          <w:rFonts w:hint="default" w:ascii="Calibri" w:hAnsi="Calibri" w:eastAsia="宋体" w:cs="Times New Roman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360" w:lineRule="auto"/>
        <w:jc w:val="left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 w:bidi="ar-SA"/>
        </w:rPr>
        <w:t>说明：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1、中小微企业的划分具体以《政府采购促进中小企业发展管理办法》（财库﹝2020﹞46号）和《工业和信息化部、国家统计局、国家发展和改革委员会、财政部关于印发中小企业划型标准规定的通知》（工信部联企业[2011]300号）的规定为准。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2、从业人员、营业收入、资产总额填报供应商上一年度数据，无上一年度数据的新成立企业可不填报。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3、中标、成交供应商为小型、微型企业的，采购人或者其委托的采购代理机构有权随中标、成交结果同时公告其《中小企业声明函》，接受社会监督。</w:t>
      </w:r>
    </w:p>
    <w:p>
      <w:pPr>
        <w:widowControl w:val="0"/>
        <w:spacing w:after="0" w:line="360" w:lineRule="auto"/>
        <w:ind w:left="0"/>
        <w:jc w:val="both"/>
        <w:rPr>
          <w:rFonts w:hint="default" w:ascii="仿宋" w:hAnsi="仿宋" w:eastAsia="仿宋" w:cs="仿宋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4、供应商提供的《中小企业声明函》与事实不符的，依照《政府采购法》第七十七条第一款的规定追究法律责任。</w:t>
      </w:r>
    </w:p>
    <w:p>
      <w:pPr>
        <w:widowControl w:val="0"/>
        <w:spacing w:line="360" w:lineRule="auto"/>
        <w:jc w:val="left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 w:bidi="ar-SA"/>
        </w:rPr>
        <w:t>“中小企业声明涵” 查询渠道用微信搜索“中小企业规模类型自测小程序”。看下列截图。</w:t>
      </w: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 w:bidi="ar-SA"/>
        </w:rPr>
        <w:drawing>
          <wp:anchor distT="0" distB="0" distL="114935" distR="114935" simplePos="0" relativeHeight="251684864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-440055</wp:posOffset>
            </wp:positionV>
            <wp:extent cx="2459990" cy="5322570"/>
            <wp:effectExtent l="0" t="0" r="8890" b="11430"/>
            <wp:wrapNone/>
            <wp:docPr id="5" name="图片 20" descr="微信图片_2024080612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 descr="微信图片_20240806121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none"/>
        </w:rPr>
        <w:br w:type="page" w:clear="all"/>
      </w: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更正为</w:t>
      </w: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yellow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yellow"/>
        </w:rPr>
        <w:t>中小企业声明函格式</w:t>
      </w:r>
    </w:p>
    <w:p>
      <w:pPr>
        <w:widowControl/>
        <w:spacing w:line="360" w:lineRule="auto"/>
        <w:ind w:firstLine="624"/>
        <w:jc w:val="left"/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  <w:t>云龙湖珠山南宕口彩叶园综合管护</w:t>
      </w:r>
    </w:p>
    <w:p>
      <w:pPr>
        <w:widowControl/>
        <w:spacing w:line="360" w:lineRule="auto"/>
        <w:ind w:firstLine="624"/>
        <w:jc w:val="left"/>
        <w:rPr>
          <w:rFonts w:hint="default" w:ascii="宋体" w:hAnsi="宋体" w:eastAsia="宋体" w:cs="宋体"/>
          <w:spacing w:val="6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spacing w:val="6"/>
          <w:kern w:val="0"/>
          <w:sz w:val="24"/>
          <w:szCs w:val="24"/>
          <w:highlight w:val="none"/>
          <w:lang w:eastAsia="zh-CN"/>
        </w:rPr>
        <w:t>JSZC-320300-XDXM-G2025-0001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徐州市云龙湖风景名胜区管理委员会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的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云龙湖珠山南宕口彩叶园综合管护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采购活动，服务全部由符合政策要求的中小企业承接。相关企业的具体情况如下：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b/>
          <w:color w:val="auto"/>
          <w:spacing w:val="6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  <w:lang w:eastAsia="zh-CN"/>
        </w:rPr>
        <w:t>云龙湖珠山南宕口彩叶园综合管护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，属于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（其它未列明行业）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； 承建（承接）企业为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>（企业名称）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，从业人员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人，营业收入为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万元，资产总额为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万元，</w:t>
      </w:r>
      <w:r>
        <w:rPr>
          <w:rFonts w:hint="default" w:ascii="宋体" w:hAnsi="宋体" w:eastAsia="宋体" w:cs="Times New Roman"/>
          <w:b/>
          <w:color w:val="auto"/>
          <w:kern w:val="0"/>
          <w:sz w:val="24"/>
          <w:szCs w:val="24"/>
          <w:highlight w:val="none"/>
        </w:rPr>
        <w:t>属于（□中型企业、□小型企业、□微型企业，请勾选！）；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spacing w:val="6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360" w:lineRule="auto"/>
        <w:ind w:firstLine="56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</w:rPr>
        <w:t>本企业对上述声明内容的真实性负责。如有虚假，将依法承担相应责任。</w:t>
      </w:r>
    </w:p>
    <w:p>
      <w:pPr>
        <w:widowControl/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widowControl/>
        <w:spacing w:line="36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注：本项目采购的服务属于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single"/>
        </w:rPr>
        <w:t>其它未列明行业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。</w:t>
      </w:r>
    </w:p>
    <w:p>
      <w:pPr>
        <w:widowControl w:val="0"/>
        <w:spacing w:line="360" w:lineRule="auto"/>
        <w:ind w:firstLine="6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 w:bidi="ar-SA"/>
        </w:rPr>
        <w:t>企业名称（电子签章）：</w:t>
      </w:r>
    </w:p>
    <w:p>
      <w:pPr>
        <w:widowControl w:val="0"/>
        <w:spacing w:line="360" w:lineRule="auto"/>
        <w:ind w:firstLine="6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                         </w:t>
      </w:r>
    </w:p>
    <w:p>
      <w:pPr>
        <w:widowControl w:val="0"/>
        <w:spacing w:line="360" w:lineRule="auto"/>
        <w:ind w:firstLine="5040" w:firstLineChars="2100"/>
        <w:jc w:val="left"/>
        <w:rPr>
          <w:rFonts w:hint="default" w:ascii="宋体" w:hAnsi="宋体" w:eastAsia="宋体" w:cs="宋体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 w:bidi="ar-SA"/>
        </w:rPr>
        <w:t>日期： 年  月  日</w:t>
      </w:r>
    </w:p>
    <w:p>
      <w:pPr>
        <w:widowControl w:val="0"/>
        <w:spacing w:after="120" w:line="360" w:lineRule="auto"/>
        <w:jc w:val="both"/>
        <w:rPr>
          <w:rFonts w:hint="default" w:ascii="Calibri" w:hAnsi="Calibri" w:eastAsia="宋体" w:cs="Times New Roman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360" w:lineRule="auto"/>
        <w:jc w:val="left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 w:bidi="ar-SA"/>
        </w:rPr>
        <w:t>说明：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1、中小微企业的划分具体以《政府采购促进中小企业发展管理办法》（财库﹝2020﹞46号）和《工业和信息化部、国家统计局、国家发展和改革委员会、财政部关于印发中小企业划型标准规定的通知》（工信部联企业[2011]300号）的规定为准。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2、从业人员、营业收入、资产总额填报供应商上一年度数据，无上一年度数据的新成立企业可不填报。</w:t>
      </w:r>
    </w:p>
    <w:p>
      <w:pPr>
        <w:widowControl w:val="0"/>
        <w:spacing w:after="0" w:line="360" w:lineRule="auto"/>
        <w:ind w:left="0"/>
        <w:jc w:val="both"/>
        <w:rPr>
          <w:rFonts w:hint="default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3、中标、成交供应商为小型、微型企业的，采购人或者其委托的采购代理机构有权随中标、成交结果同时公告其《中小企业声明函》，接受社会监督。</w:t>
      </w:r>
    </w:p>
    <w:p>
      <w:pPr>
        <w:widowControl w:val="0"/>
        <w:spacing w:after="0" w:line="360" w:lineRule="auto"/>
        <w:ind w:left="0"/>
        <w:jc w:val="both"/>
        <w:rPr>
          <w:rFonts w:hint="default" w:ascii="仿宋" w:hAnsi="仿宋" w:eastAsia="仿宋" w:cs="仿宋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 w:bidi="ar-SA"/>
        </w:rPr>
        <w:t>4、供应商提供的《中小企业声明函》与事实不符的，依照《政府采购法》第七十七条第一款的规定追究法律责任。</w:t>
      </w:r>
    </w:p>
    <w:p>
      <w:pPr>
        <w:widowControl w:val="0"/>
        <w:spacing w:line="360" w:lineRule="auto"/>
        <w:jc w:val="left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 w:bidi="ar-SA"/>
        </w:rPr>
        <w:t>“中小企业声明涵” 查询渠道用微信搜索“中小企业规模类型自测小程序”。看下列截图。</w:t>
      </w: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22"/>
          <w:szCs w:val="2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600"/>
        <w:jc w:val="center"/>
        <w:rPr>
          <w:rFonts w:hint="default" w:ascii="宋体" w:hAnsi="宋体" w:eastAsia="宋体" w:cs="宋体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 w:bidi="ar-SA"/>
        </w:rPr>
        <w:drawing>
          <wp:anchor distT="0" distB="0" distL="114935" distR="114935" simplePos="0" relativeHeight="251712512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-440055</wp:posOffset>
            </wp:positionV>
            <wp:extent cx="2459990" cy="5322570"/>
            <wp:effectExtent l="0" t="0" r="8890" b="11430"/>
            <wp:wrapNone/>
            <wp:docPr id="1" name="图片 20" descr="微信图片_2024080612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微信图片_20240806121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10D3B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0227C2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4A6B14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2025-02-13T03:36:11Z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