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31EC" w14:textId="43AB32DF" w:rsidR="00B51397" w:rsidRDefault="00001D3C">
      <w:pPr>
        <w:tabs>
          <w:tab w:val="left" w:pos="0"/>
        </w:tabs>
        <w:spacing w:line="420" w:lineRule="exact"/>
        <w:ind w:firstLine="485"/>
        <w:rPr>
          <w:rFonts w:ascii="仿宋" w:eastAsia="仿宋" w:hAnsi="仿宋" w:cs="宋体"/>
          <w:color w:val="000000" w:themeColor="text1"/>
          <w:sz w:val="24"/>
        </w:rPr>
      </w:pPr>
      <w:r>
        <w:rPr>
          <w:rFonts w:ascii="仿宋" w:eastAsia="仿宋" w:hAnsi="仿宋" w:cs="宋体" w:hint="eastAsia"/>
          <w:color w:val="000000" w:themeColor="text1"/>
          <w:sz w:val="24"/>
        </w:rPr>
        <w:t>如有修改意见，请以书面形式并加盖公章、注明联系人、联系方式，于2025年1月</w:t>
      </w:r>
      <w:r w:rsidR="002F56B9">
        <w:rPr>
          <w:rFonts w:ascii="仿宋" w:eastAsia="仿宋" w:hAnsi="仿宋" w:cs="宋体"/>
          <w:color w:val="000000" w:themeColor="text1"/>
          <w:sz w:val="24"/>
        </w:rPr>
        <w:t>25</w:t>
      </w:r>
      <w:r>
        <w:rPr>
          <w:rFonts w:ascii="仿宋" w:eastAsia="仿宋" w:hAnsi="仿宋" w:cs="宋体" w:hint="eastAsia"/>
          <w:color w:val="000000" w:themeColor="text1"/>
          <w:sz w:val="24"/>
        </w:rPr>
        <w:t>日17:00之前送至我单位，逾期不受理（如邮寄，2025年1月</w:t>
      </w:r>
      <w:r w:rsidR="002F56B9">
        <w:rPr>
          <w:rFonts w:ascii="仿宋" w:eastAsia="仿宋" w:hAnsi="仿宋" w:cs="宋体"/>
          <w:color w:val="000000" w:themeColor="text1"/>
          <w:sz w:val="24"/>
        </w:rPr>
        <w:t>25</w:t>
      </w:r>
      <w:r>
        <w:rPr>
          <w:rFonts w:ascii="仿宋" w:eastAsia="仿宋" w:hAnsi="仿宋" w:cs="宋体" w:hint="eastAsia"/>
          <w:color w:val="000000" w:themeColor="text1"/>
          <w:sz w:val="24"/>
        </w:rPr>
        <w:t>日17:00之后到达本公司的邮件将不再受理）。</w:t>
      </w:r>
    </w:p>
    <w:p w14:paraId="314E08AD" w14:textId="77777777" w:rsidR="00B51397" w:rsidRDefault="00001D3C">
      <w:pPr>
        <w:rPr>
          <w:rFonts w:ascii="仿宋" w:eastAsia="仿宋" w:hAnsi="仿宋"/>
          <w:color w:val="000000" w:themeColor="text1"/>
          <w:sz w:val="30"/>
          <w:szCs w:val="30"/>
        </w:rPr>
      </w:pPr>
      <w:r>
        <w:rPr>
          <w:rFonts w:ascii="仿宋" w:eastAsia="仿宋" w:hAnsi="仿宋" w:hint="eastAsia"/>
          <w:color w:val="000000" w:themeColor="text1"/>
          <w:sz w:val="30"/>
          <w:szCs w:val="30"/>
        </w:rPr>
        <w:br w:type="page"/>
      </w:r>
    </w:p>
    <w:p w14:paraId="4069851A" w14:textId="77777777" w:rsidR="00B51397" w:rsidRDefault="00001D3C">
      <w:pPr>
        <w:widowControl/>
        <w:ind w:firstLine="300"/>
        <w:jc w:val="center"/>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采购需求</w:t>
      </w:r>
    </w:p>
    <w:p w14:paraId="47F6D5FB" w14:textId="77777777" w:rsidR="00B51397" w:rsidRDefault="00001D3C">
      <w:pPr>
        <w:tabs>
          <w:tab w:val="left" w:pos="0"/>
        </w:tabs>
        <w:spacing w:line="420" w:lineRule="exact"/>
        <w:ind w:firstLine="485"/>
        <w:rPr>
          <w:rFonts w:ascii="仿宋" w:eastAsia="仿宋" w:hAnsi="仿宋" w:cs="宋体"/>
          <w:color w:val="000000" w:themeColor="text1"/>
          <w:sz w:val="24"/>
        </w:rPr>
      </w:pPr>
      <w:r>
        <w:rPr>
          <w:rFonts w:ascii="仿宋" w:eastAsia="仿宋" w:hAnsi="仿宋" w:hint="eastAsia"/>
          <w:color w:val="000000" w:themeColor="text1"/>
          <w:sz w:val="24"/>
        </w:rPr>
        <w:t>一</w:t>
      </w:r>
      <w:r>
        <w:rPr>
          <w:rFonts w:ascii="仿宋" w:eastAsia="仿宋" w:hAnsi="仿宋" w:cs="宋体" w:hint="eastAsia"/>
          <w:color w:val="000000" w:themeColor="text1"/>
          <w:sz w:val="24"/>
        </w:rPr>
        <w:t>、说明</w:t>
      </w:r>
    </w:p>
    <w:p w14:paraId="6D012111" w14:textId="77777777" w:rsidR="00B51397" w:rsidRDefault="00001D3C">
      <w:pPr>
        <w:tabs>
          <w:tab w:val="left" w:pos="0"/>
        </w:tabs>
        <w:spacing w:line="420" w:lineRule="exact"/>
        <w:ind w:firstLine="485"/>
        <w:rPr>
          <w:rFonts w:ascii="仿宋" w:eastAsia="仿宋" w:hAnsi="仿宋" w:cs="宋体"/>
          <w:color w:val="000000" w:themeColor="text1"/>
          <w:sz w:val="24"/>
        </w:rPr>
      </w:pPr>
      <w:r>
        <w:rPr>
          <w:rFonts w:ascii="仿宋" w:eastAsia="仿宋" w:hAnsi="仿宋" w:cs="宋体" w:hint="eastAsia"/>
          <w:color w:val="000000" w:themeColor="text1"/>
          <w:sz w:val="24"/>
        </w:rPr>
        <w:t>（一）采购人：邳州市邢楼镇人民政府</w:t>
      </w:r>
    </w:p>
    <w:p w14:paraId="499E5913" w14:textId="77777777" w:rsidR="00B51397" w:rsidRDefault="00001D3C">
      <w:pPr>
        <w:tabs>
          <w:tab w:val="left" w:pos="0"/>
        </w:tabs>
        <w:spacing w:line="420" w:lineRule="exact"/>
        <w:ind w:firstLine="485"/>
        <w:rPr>
          <w:rFonts w:ascii="仿宋" w:eastAsia="仿宋" w:hAnsi="仿宋" w:cs="宋体"/>
          <w:color w:val="000000" w:themeColor="text1"/>
          <w:sz w:val="24"/>
        </w:rPr>
      </w:pPr>
      <w:r>
        <w:rPr>
          <w:rFonts w:ascii="仿宋" w:eastAsia="仿宋" w:hAnsi="仿宋" w:cs="宋体" w:hint="eastAsia"/>
          <w:color w:val="000000" w:themeColor="text1"/>
          <w:sz w:val="24"/>
        </w:rPr>
        <w:t>（二）采购项目名称：邳州市邢楼镇人民政府环卫保洁、园林绿化市场化服务项目</w:t>
      </w:r>
    </w:p>
    <w:p w14:paraId="59394F68" w14:textId="77777777" w:rsidR="00B51397" w:rsidRDefault="00001D3C">
      <w:pPr>
        <w:spacing w:line="420" w:lineRule="exact"/>
        <w:ind w:firstLine="478"/>
        <w:rPr>
          <w:rFonts w:ascii="仿宋" w:eastAsia="仿宋" w:hAnsi="仿宋" w:cs="宋体"/>
          <w:color w:val="000000" w:themeColor="text1"/>
          <w:sz w:val="24"/>
        </w:rPr>
      </w:pPr>
      <w:r>
        <w:rPr>
          <w:rFonts w:ascii="仿宋" w:eastAsia="仿宋" w:hAnsi="仿宋" w:cs="宋体" w:hint="eastAsia"/>
          <w:color w:val="000000" w:themeColor="text1"/>
          <w:sz w:val="24"/>
        </w:rPr>
        <w:t>（三）采购标的：邳州市邢楼镇人民政府环卫保洁、园林绿化市场化服务项目</w:t>
      </w:r>
    </w:p>
    <w:p w14:paraId="597822F3" w14:textId="77777777" w:rsidR="00B51397" w:rsidRDefault="00001D3C">
      <w:pPr>
        <w:spacing w:line="420" w:lineRule="exact"/>
        <w:ind w:firstLine="478"/>
        <w:rPr>
          <w:rFonts w:ascii="仿宋" w:eastAsia="仿宋" w:hAnsi="仿宋"/>
          <w:color w:val="000000" w:themeColor="text1"/>
          <w:sz w:val="24"/>
        </w:rPr>
      </w:pPr>
      <w:r>
        <w:rPr>
          <w:rFonts w:ascii="仿宋" w:eastAsia="仿宋" w:hAnsi="仿宋" w:hint="eastAsia"/>
          <w:color w:val="000000" w:themeColor="text1"/>
          <w:sz w:val="24"/>
        </w:rPr>
        <w:t>（四）本项目为专门面向中小企业采购的项目。</w:t>
      </w:r>
    </w:p>
    <w:p w14:paraId="27CC1D76" w14:textId="19CB7AD8" w:rsidR="00B51397" w:rsidRDefault="00001D3C">
      <w:pPr>
        <w:spacing w:line="420" w:lineRule="exact"/>
        <w:ind w:firstLine="478"/>
        <w:rPr>
          <w:rFonts w:ascii="仿宋" w:eastAsia="仿宋" w:hAnsi="仿宋"/>
          <w:color w:val="000000" w:themeColor="text1"/>
          <w:sz w:val="24"/>
        </w:rPr>
      </w:pPr>
      <w:r>
        <w:rPr>
          <w:rFonts w:ascii="仿宋" w:eastAsia="仿宋" w:hAnsi="仿宋" w:hint="eastAsia"/>
          <w:color w:val="000000" w:themeColor="text1"/>
          <w:sz w:val="24"/>
        </w:rPr>
        <w:t>（五）本项目预算金额1200000.00元</w:t>
      </w:r>
      <w:r>
        <w:rPr>
          <w:rFonts w:ascii="仿宋" w:eastAsia="仿宋" w:hAnsi="仿宋" w:hint="eastAsia"/>
          <w:bCs/>
          <w:color w:val="000000" w:themeColor="text1"/>
          <w:sz w:val="24"/>
        </w:rPr>
        <w:t>人民币</w:t>
      </w:r>
      <w:r>
        <w:rPr>
          <w:rFonts w:ascii="仿宋" w:eastAsia="仿宋" w:hAnsi="仿宋" w:hint="eastAsia"/>
          <w:color w:val="000000" w:themeColor="text1"/>
          <w:sz w:val="24"/>
        </w:rPr>
        <w:t>。</w:t>
      </w:r>
    </w:p>
    <w:p w14:paraId="4C2F7E3C" w14:textId="77777777" w:rsidR="00B51397" w:rsidRDefault="00001D3C">
      <w:pPr>
        <w:spacing w:line="420" w:lineRule="exact"/>
        <w:ind w:firstLine="480"/>
        <w:rPr>
          <w:rFonts w:ascii="仿宋" w:eastAsia="仿宋" w:hAnsi="仿宋"/>
          <w:color w:val="000000" w:themeColor="text1"/>
          <w:sz w:val="24"/>
        </w:rPr>
      </w:pPr>
      <w:r>
        <w:rPr>
          <w:rFonts w:ascii="仿宋" w:eastAsia="仿宋" w:hAnsi="仿宋" w:hint="eastAsia"/>
          <w:color w:val="000000" w:themeColor="text1"/>
          <w:sz w:val="24"/>
        </w:rPr>
        <w:t>二、项目基本概况</w:t>
      </w:r>
    </w:p>
    <w:p w14:paraId="0392D9A9" w14:textId="77777777" w:rsidR="00B51397" w:rsidRDefault="00001D3C">
      <w:pPr>
        <w:spacing w:line="420" w:lineRule="exact"/>
        <w:ind w:firstLine="485"/>
        <w:rPr>
          <w:rFonts w:ascii="仿宋" w:eastAsia="仿宋" w:hAnsi="仿宋"/>
          <w:color w:val="000000" w:themeColor="text1"/>
          <w:sz w:val="24"/>
        </w:rPr>
      </w:pPr>
      <w:r>
        <w:rPr>
          <w:rFonts w:ascii="仿宋" w:eastAsia="仿宋" w:hAnsi="仿宋" w:hint="eastAsia"/>
          <w:color w:val="000000" w:themeColor="text1"/>
          <w:sz w:val="24"/>
        </w:rPr>
        <w:t>1.项目名称：邳州市邢楼镇人民政府环卫保洁、园林绿化市场化服务项目；</w:t>
      </w:r>
    </w:p>
    <w:p w14:paraId="19FC9007" w14:textId="77777777" w:rsidR="00B51397" w:rsidRDefault="00001D3C">
      <w:pPr>
        <w:spacing w:line="420" w:lineRule="exact"/>
        <w:ind w:firstLine="485"/>
        <w:rPr>
          <w:rFonts w:ascii="仿宋" w:eastAsia="仿宋" w:hAnsi="仿宋"/>
          <w:color w:val="000000" w:themeColor="text1"/>
          <w:sz w:val="24"/>
        </w:rPr>
      </w:pPr>
      <w:r>
        <w:rPr>
          <w:rFonts w:ascii="仿宋" w:eastAsia="仿宋" w:hAnsi="仿宋" w:hint="eastAsia"/>
          <w:color w:val="000000" w:themeColor="text1"/>
          <w:sz w:val="24"/>
        </w:rPr>
        <w:t>2.项目地址：邳州市邢楼镇；</w:t>
      </w:r>
    </w:p>
    <w:p w14:paraId="291F12AB" w14:textId="77777777" w:rsidR="00B51397" w:rsidRDefault="00001D3C">
      <w:pPr>
        <w:spacing w:line="420" w:lineRule="exact"/>
        <w:ind w:firstLine="485"/>
        <w:rPr>
          <w:rFonts w:ascii="仿宋" w:eastAsia="仿宋" w:hAnsi="仿宋"/>
          <w:color w:val="000000" w:themeColor="text1"/>
          <w:sz w:val="24"/>
        </w:rPr>
      </w:pPr>
      <w:r>
        <w:rPr>
          <w:rFonts w:ascii="仿宋" w:eastAsia="仿宋" w:hAnsi="仿宋" w:hint="eastAsia"/>
          <w:color w:val="000000" w:themeColor="text1"/>
          <w:sz w:val="24"/>
        </w:rPr>
        <w:t>3.服务周期：1年（承包开始时间须待招标结束后，以采购单位与中标人签订的合同约定为准）。</w:t>
      </w:r>
    </w:p>
    <w:p w14:paraId="31D45783" w14:textId="77777777" w:rsidR="00B51397" w:rsidRDefault="00001D3C">
      <w:pPr>
        <w:spacing w:line="420" w:lineRule="exact"/>
        <w:ind w:firstLine="485"/>
        <w:rPr>
          <w:rFonts w:ascii="仿宋" w:eastAsia="仿宋" w:hAnsi="仿宋"/>
          <w:color w:val="000000" w:themeColor="text1"/>
          <w:sz w:val="24"/>
        </w:rPr>
      </w:pPr>
      <w:r>
        <w:rPr>
          <w:rFonts w:ascii="仿宋" w:eastAsia="仿宋" w:hAnsi="仿宋" w:hint="eastAsia"/>
          <w:color w:val="000000" w:themeColor="text1"/>
          <w:sz w:val="24"/>
        </w:rPr>
        <w:t>4.承包方式：固定价格包干。</w:t>
      </w:r>
    </w:p>
    <w:p w14:paraId="3815F97A" w14:textId="77777777" w:rsidR="00B51397" w:rsidRDefault="00001D3C">
      <w:pPr>
        <w:pStyle w:val="TOC1"/>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w:t>
      </w:r>
      <w:r>
        <w:rPr>
          <w:rFonts w:ascii="仿宋" w:eastAsia="仿宋" w:hAnsi="仿宋"/>
          <w:color w:val="000000" w:themeColor="text1"/>
          <w:sz w:val="24"/>
          <w:szCs w:val="24"/>
        </w:rPr>
        <w:t>服务范围</w:t>
      </w:r>
    </w:p>
    <w:p w14:paraId="58A8C625"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1.道路保洁范围：</w:t>
      </w:r>
    </w:p>
    <w:p w14:paraId="19151C5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（1）镇区范围主次干道道路（包括府前路、汉风路、经四路、东环路、园区西路、园区东路、园区一路、园区二路）；</w:t>
      </w:r>
    </w:p>
    <w:p w14:paraId="0FCB2AB4"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（2）岔台路经四路路口至垃圾转运中心路口（包括主干道及辅道）；</w:t>
      </w:r>
    </w:p>
    <w:p w14:paraId="0EE37D24"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（3）镇政府院内外；</w:t>
      </w:r>
    </w:p>
    <w:p w14:paraId="0D79937D"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作业内容：作业范围内道路（即建筑物两侧墙到墙，无建筑物立面的按照甲方要求）之间人行道、绿岛、绿化带、沟渠、裸露地面、道路的保洁。（其中主要包含路面人机保洁、机械化冲洗作业、绿化带保洁、护栏清洗、环卫设施管养维护、垃圾前端收集运输、野广告清理、立交桥保洁及立面清洗等）。另外包含作业范围内的除雪、重大活动保障、考核评比创建调研等应急任务，主管部门交办的临时性任务等；</w:t>
      </w:r>
    </w:p>
    <w:p w14:paraId="6209C083"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2.公厕保洁范围：</w:t>
      </w:r>
    </w:p>
    <w:p w14:paraId="3441FDC7"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（1）镇区6个公厕；</w:t>
      </w:r>
    </w:p>
    <w:p w14:paraId="3E60E5D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（2）镇政府院内公厕。</w:t>
      </w:r>
    </w:p>
    <w:p w14:paraId="6A2CBAB8"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作业内容：作业范围内公厕周边环境卫生、内部环境卫生保洁及相关设施设备维护。</w:t>
      </w:r>
    </w:p>
    <w:p w14:paraId="35C451FA"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3.垃圾收运范围：</w:t>
      </w:r>
    </w:p>
    <w:p w14:paraId="522DA294"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（1）镇区垃圾桶、果皮箱垃圾收运；</w:t>
      </w:r>
    </w:p>
    <w:p w14:paraId="574C943B"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（2）镇域范围内各村垃圾转运点垃圾收运；</w:t>
      </w:r>
    </w:p>
    <w:p w14:paraId="6B1F2D5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（3）镇政府院内垃圾桶、果皮箱垃圾收运；</w:t>
      </w:r>
    </w:p>
    <w:p w14:paraId="493E21FF"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(4)垃圾转运中心管理维护；</w:t>
      </w:r>
    </w:p>
    <w:p w14:paraId="2649CDA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(5)垃圾分类宣传、实施等相关工作。</w:t>
      </w:r>
    </w:p>
    <w:p w14:paraId="39CE0234"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lastRenderedPageBreak/>
        <w:t>作业内容：作业范围内垃圾桶、果皮箱、钩臂箱周边环境卫生保洁，垃圾收运压缩，资源再利用，垃圾分类宣传、实施，垃圾转运中心管理维护及对接联系市级转运主管部门和运营公司等相关事项。</w:t>
      </w:r>
    </w:p>
    <w:p w14:paraId="6DA44B1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4.园林绿化修剪范围：</w:t>
      </w:r>
    </w:p>
    <w:p w14:paraId="2AA73CC9"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（1）镇区范围内保洁范围内所有道路园林景观绿化带；</w:t>
      </w:r>
    </w:p>
    <w:p w14:paraId="6FC56A49"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（2）镇政府院内外园林景观绿化带；</w:t>
      </w:r>
    </w:p>
    <w:p w14:paraId="1318CB31"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作业内容：作业范围内道路绿岛、绿化带、园林景观绿植修剪、除草，季节性补植、移植绿化树木等。</w:t>
      </w:r>
    </w:p>
    <w:p w14:paraId="12311EEE"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作业标准要求：</w:t>
      </w:r>
    </w:p>
    <w:p w14:paraId="19A091E4"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（一）环卫保洁</w:t>
      </w:r>
    </w:p>
    <w:p w14:paraId="6624F57B"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镇区作业标准：镇区主次干道、绿化带、路牙石至单位院墙或建筑物间区域路面普扫、垃圾捡拾，路牙石边及人行道铺装路面杂草清除，保洁工对所分区域进行全天巡回保洁；垃圾桶及拉臂箱维护、擦拭及时，并摆放有序；可视范围内的纸质宣传张贴单及野广告清除；对垃圾桶进行除臭灭蝇等药物消杀。</w:t>
      </w:r>
    </w:p>
    <w:p w14:paraId="56F630DD"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2.生活垃圾密闭运输，做到日产日清，车走地净；车容整洁，车体外无污物、灰垢，标识清晰，密闭运输，无洒、漏、抛现象。</w:t>
      </w:r>
    </w:p>
    <w:p w14:paraId="1FD8B90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公厕管理标准：每天对公厕进行巡回保洁，保持公厕指示牌设置明显规范，且完好、整洁；公厕保持通风良好；公厕内达到四壁无尘，无乱写乱画，乱贴乱挂，门窗玻璃洁净明亮；公厕达到八无：无纸片、无烟蒂、无痰迹、无积灰、无臭味、无蝇蛆、无蛛网、无污物；公厕排水畅通，厕内无渍水，厕外无漫流，化粪池密封紧盖，无粪便满溢；公厕外门前5米范围内卫生要保持干净，无白色污染，无垃圾污物，无残枝落叶；定期对公厕化粪池进行清理，保证化粪池无满溢情况。</w:t>
      </w:r>
    </w:p>
    <w:p w14:paraId="6720CD3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4.镇区根据实际情况使用垃圾桶、垃圾箱，垃圾收集点用压缩车、转运车清运；</w:t>
      </w:r>
    </w:p>
    <w:p w14:paraId="21A8A73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5.垃圾转运标准：垃圾统一由保洁公司运送到镇中转站，清运车辆必须按规定封闭运输，途中不得有抛洒滴漏现象，保持车体外观干净整洁。</w:t>
      </w:r>
    </w:p>
    <w:p w14:paraId="2FE1D5C3"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6.如遇重大活动及上级检查，按工作要求进行实时保洁；</w:t>
      </w:r>
    </w:p>
    <w:p w14:paraId="5099E910"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7.配合各级环境卫生管理、监理部门做好检查考核工作；</w:t>
      </w:r>
    </w:p>
    <w:p w14:paraId="638AF1F8"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8.积极协助甲方及上级环境卫生管理部门对个人和单位违反市容环境卫生行为的取证工作；</w:t>
      </w:r>
    </w:p>
    <w:p w14:paraId="37AA814B"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9.做好紧急、突发事件的处理预案，如停电、冬季除雪等保障处理预案。按甲方规定的时间和要求做好保洁及清运工作；</w:t>
      </w:r>
    </w:p>
    <w:p w14:paraId="0DF03543"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10.邢楼镇人民政府交办的临时任务无条件执行（不再增加费用）。</w:t>
      </w:r>
    </w:p>
    <w:p w14:paraId="3627EA1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11.定时对垃圾桶进行擦洗，确保垃圾桶外观整洁、摆放整齐，无垃圾外溢现象，垃圾桶周围无散落垃圾。在甲方要求期间，对服务项目范围内的垃圾桶进行药物消杀。</w:t>
      </w:r>
    </w:p>
    <w:p w14:paraId="107A8A0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（二）养护范围内的树木、花 卉、草坪、地被植物、水生植物、竹类等养护与管理。</w:t>
      </w:r>
    </w:p>
    <w:p w14:paraId="3CEE5168"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1、日常固定保洁及养护</w:t>
      </w:r>
    </w:p>
    <w:p w14:paraId="26541014"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按照项目要求人员标准组成养护队伍，对范围内绿化进行日常养护管理，包括对植物进行修剪、施肥、浇水、除草、抹芽、病虫害防治等，做到花草繁茂、树木旺盛，花卉、苗木要无死枝、枯枝，并保证绿化区域无树枝、树叶、草屑、纸屑、塑料袋等垃圾。</w:t>
      </w:r>
    </w:p>
    <w:p w14:paraId="096FAF21"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lastRenderedPageBreak/>
        <w:t>2.季节性突击养护</w:t>
      </w:r>
    </w:p>
    <w:p w14:paraId="693E0D8A"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做好季节性突击养护临时用工计划，做好旱季防旱、雨季防涝、冬季防冻工作，保证花草树木成活。</w:t>
      </w:r>
    </w:p>
    <w:p w14:paraId="4700303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3.病虫害控制</w:t>
      </w:r>
    </w:p>
    <w:p w14:paraId="1A09EDC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绿地的病虫害控制和分类见表1</w:t>
      </w:r>
    </w:p>
    <w:p w14:paraId="73D9AAE7"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表1绿地的病虫害控制和分类</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350"/>
        <w:gridCol w:w="1000"/>
        <w:gridCol w:w="1516"/>
        <w:gridCol w:w="1800"/>
        <w:gridCol w:w="1417"/>
        <w:gridCol w:w="1208"/>
      </w:tblGrid>
      <w:tr w:rsidR="00B51397" w14:paraId="40BBE531" w14:textId="77777777">
        <w:trPr>
          <w:cantSplit/>
          <w:trHeight w:val="339"/>
          <w:jc w:val="center"/>
        </w:trPr>
        <w:tc>
          <w:tcPr>
            <w:tcW w:w="814" w:type="dxa"/>
            <w:vMerge w:val="restart"/>
            <w:vAlign w:val="center"/>
          </w:tcPr>
          <w:p w14:paraId="46E48747"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绿地级别</w:t>
            </w:r>
          </w:p>
        </w:tc>
        <w:tc>
          <w:tcPr>
            <w:tcW w:w="2350" w:type="dxa"/>
            <w:vMerge w:val="restart"/>
            <w:vAlign w:val="center"/>
          </w:tcPr>
          <w:p w14:paraId="2BE8F366" w14:textId="77777777" w:rsidR="00B51397" w:rsidRDefault="00001D3C">
            <w:pPr>
              <w:pStyle w:val="a3"/>
              <w:wordWrap w:val="0"/>
              <w:ind w:right="0" w:firstLine="482"/>
              <w:rPr>
                <w:rFonts w:ascii="仿宋" w:eastAsia="仿宋" w:hAnsi="仿宋"/>
                <w:color w:val="000000" w:themeColor="text1"/>
                <w:sz w:val="24"/>
              </w:rPr>
            </w:pPr>
            <w:r>
              <w:rPr>
                <w:rFonts w:ascii="仿宋" w:eastAsia="仿宋" w:hAnsi="仿宋" w:hint="eastAsia"/>
                <w:color w:val="000000" w:themeColor="text1"/>
                <w:sz w:val="24"/>
              </w:rPr>
              <w:t>总体要求</w:t>
            </w:r>
          </w:p>
        </w:tc>
        <w:tc>
          <w:tcPr>
            <w:tcW w:w="6941" w:type="dxa"/>
            <w:gridSpan w:val="5"/>
            <w:vAlign w:val="center"/>
          </w:tcPr>
          <w:p w14:paraId="61AFB6EB" w14:textId="77777777" w:rsidR="00B51397" w:rsidRDefault="00001D3C">
            <w:pPr>
              <w:pStyle w:val="a3"/>
              <w:wordWrap w:val="0"/>
              <w:ind w:right="0" w:firstLine="482"/>
              <w:rPr>
                <w:rFonts w:ascii="仿宋" w:eastAsia="仿宋" w:hAnsi="仿宋"/>
                <w:color w:val="000000" w:themeColor="text1"/>
                <w:sz w:val="24"/>
              </w:rPr>
            </w:pPr>
            <w:r>
              <w:rPr>
                <w:rFonts w:ascii="仿宋" w:eastAsia="仿宋" w:hAnsi="仿宋" w:hint="eastAsia"/>
                <w:color w:val="000000" w:themeColor="text1"/>
                <w:sz w:val="24"/>
              </w:rPr>
              <w:t>类别</w:t>
            </w:r>
          </w:p>
        </w:tc>
      </w:tr>
      <w:tr w:rsidR="00B51397" w14:paraId="5B5D4201" w14:textId="77777777">
        <w:trPr>
          <w:cantSplit/>
          <w:trHeight w:val="1674"/>
          <w:jc w:val="center"/>
        </w:trPr>
        <w:tc>
          <w:tcPr>
            <w:tcW w:w="814" w:type="dxa"/>
            <w:vMerge/>
            <w:vAlign w:val="center"/>
          </w:tcPr>
          <w:p w14:paraId="242479A9" w14:textId="77777777" w:rsidR="00B51397" w:rsidRDefault="00B51397">
            <w:pPr>
              <w:pStyle w:val="a3"/>
              <w:wordWrap w:val="0"/>
              <w:ind w:right="0" w:firstLine="482"/>
              <w:rPr>
                <w:rFonts w:ascii="仿宋" w:eastAsia="仿宋" w:hAnsi="仿宋"/>
                <w:color w:val="000000" w:themeColor="text1"/>
                <w:sz w:val="24"/>
              </w:rPr>
            </w:pPr>
          </w:p>
        </w:tc>
        <w:tc>
          <w:tcPr>
            <w:tcW w:w="2350" w:type="dxa"/>
            <w:vMerge/>
            <w:vAlign w:val="center"/>
          </w:tcPr>
          <w:p w14:paraId="37EF51BA" w14:textId="77777777" w:rsidR="00B51397" w:rsidRDefault="00B51397">
            <w:pPr>
              <w:pStyle w:val="a3"/>
              <w:wordWrap w:val="0"/>
              <w:ind w:right="0" w:firstLine="482"/>
              <w:rPr>
                <w:rFonts w:ascii="仿宋" w:eastAsia="仿宋" w:hAnsi="仿宋"/>
                <w:color w:val="000000" w:themeColor="text1"/>
                <w:sz w:val="24"/>
              </w:rPr>
            </w:pPr>
          </w:p>
        </w:tc>
        <w:tc>
          <w:tcPr>
            <w:tcW w:w="1000" w:type="dxa"/>
            <w:vAlign w:val="center"/>
          </w:tcPr>
          <w:p w14:paraId="07FE9F25"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蛀干</w:t>
            </w:r>
          </w:p>
        </w:tc>
        <w:tc>
          <w:tcPr>
            <w:tcW w:w="1516" w:type="dxa"/>
            <w:vAlign w:val="center"/>
          </w:tcPr>
          <w:p w14:paraId="6E9DEA33"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刺吸类(平均每10cm枝条上)</w:t>
            </w:r>
          </w:p>
        </w:tc>
        <w:tc>
          <w:tcPr>
            <w:tcW w:w="1800" w:type="dxa"/>
            <w:vAlign w:val="center"/>
          </w:tcPr>
          <w:p w14:paraId="322435D2"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地下害虫（平均每1m2绿地内）</w:t>
            </w:r>
          </w:p>
        </w:tc>
        <w:tc>
          <w:tcPr>
            <w:tcW w:w="1417" w:type="dxa"/>
            <w:vAlign w:val="center"/>
          </w:tcPr>
          <w:p w14:paraId="5497A569"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食叶类（平均每50cm枝条上）</w:t>
            </w:r>
          </w:p>
        </w:tc>
        <w:tc>
          <w:tcPr>
            <w:tcW w:w="1208" w:type="dxa"/>
            <w:vAlign w:val="center"/>
          </w:tcPr>
          <w:p w14:paraId="1E40E800"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病害（所有植株）</w:t>
            </w:r>
          </w:p>
        </w:tc>
      </w:tr>
      <w:tr w:rsidR="00B51397" w14:paraId="0D6A8886" w14:textId="77777777">
        <w:trPr>
          <w:jc w:val="center"/>
        </w:trPr>
        <w:tc>
          <w:tcPr>
            <w:tcW w:w="814" w:type="dxa"/>
            <w:vAlign w:val="center"/>
          </w:tcPr>
          <w:p w14:paraId="4E782627"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三级</w:t>
            </w:r>
          </w:p>
        </w:tc>
        <w:tc>
          <w:tcPr>
            <w:tcW w:w="2350" w:type="dxa"/>
            <w:vAlign w:val="center"/>
          </w:tcPr>
          <w:p w14:paraId="30303FAC"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病虫害控制比较及时，平均每100株树木病虫危害不超过10株，100m2绿篱、草坪病虫危害不超过10%</w:t>
            </w:r>
          </w:p>
        </w:tc>
        <w:tc>
          <w:tcPr>
            <w:tcW w:w="1000" w:type="dxa"/>
            <w:vAlign w:val="center"/>
          </w:tcPr>
          <w:p w14:paraId="0C04F5E4"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无活卵、活虫</w:t>
            </w:r>
          </w:p>
        </w:tc>
        <w:tc>
          <w:tcPr>
            <w:tcW w:w="1516" w:type="dxa"/>
            <w:vAlign w:val="center"/>
          </w:tcPr>
          <w:p w14:paraId="5756BBC7"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不得超过15头</w:t>
            </w:r>
          </w:p>
        </w:tc>
        <w:tc>
          <w:tcPr>
            <w:tcW w:w="1800" w:type="dxa"/>
            <w:vAlign w:val="center"/>
          </w:tcPr>
          <w:p w14:paraId="2F43DC66"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不超过10头</w:t>
            </w:r>
          </w:p>
        </w:tc>
        <w:tc>
          <w:tcPr>
            <w:tcW w:w="1417" w:type="dxa"/>
            <w:vAlign w:val="center"/>
          </w:tcPr>
          <w:p w14:paraId="362DFB0D"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不超过5头</w:t>
            </w:r>
          </w:p>
        </w:tc>
        <w:tc>
          <w:tcPr>
            <w:tcW w:w="1208" w:type="dxa"/>
            <w:vAlign w:val="center"/>
          </w:tcPr>
          <w:p w14:paraId="1290761E" w14:textId="77777777" w:rsidR="00B51397" w:rsidRDefault="00001D3C">
            <w:pPr>
              <w:pStyle w:val="a3"/>
              <w:wordWrap w:val="0"/>
              <w:ind w:right="0"/>
              <w:rPr>
                <w:rFonts w:ascii="仿宋" w:eastAsia="仿宋" w:hAnsi="仿宋"/>
                <w:color w:val="000000" w:themeColor="text1"/>
                <w:sz w:val="24"/>
              </w:rPr>
            </w:pPr>
            <w:r>
              <w:rPr>
                <w:rFonts w:ascii="仿宋" w:eastAsia="仿宋" w:hAnsi="仿宋" w:hint="eastAsia"/>
                <w:color w:val="000000" w:themeColor="text1"/>
                <w:sz w:val="24"/>
              </w:rPr>
              <w:t>10%以下</w:t>
            </w:r>
          </w:p>
        </w:tc>
      </w:tr>
    </w:tbl>
    <w:p w14:paraId="56332F41"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4.修剪</w:t>
      </w:r>
    </w:p>
    <w:p w14:paraId="3C45423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绿地内枯死枝、株应及时修剪、清理；修剪清理后的枝、叶应及时清除干净。</w:t>
      </w:r>
    </w:p>
    <w:p w14:paraId="277A5851"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5. 灌水、排涝</w:t>
      </w:r>
    </w:p>
    <w:p w14:paraId="507ACA29"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应根据当地气候特点、土壤状况、植物特性等适时适量浇水，促其正常生长。浇水前应先检查土壤含水量。</w:t>
      </w:r>
    </w:p>
    <w:p w14:paraId="68B25419"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6.除草</w:t>
      </w:r>
    </w:p>
    <w:p w14:paraId="22F7C11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在植物生长季节，要不间断地进行中耕除草，应除小、除早、除了。杂草要集中处理，并及时清运。</w:t>
      </w:r>
    </w:p>
    <w:p w14:paraId="4261A76E"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7.施肥</w:t>
      </w:r>
    </w:p>
    <w:p w14:paraId="101280EE"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应根据园林树木生长需要和土壤肥力情况，合理施肥，平衡土壤中各种矿质营养元素，保持土壤肥力和合理结构。园林树木的施用时要用量准确，并充分粉碎，与土壤混合后要撒施均匀，随即浇水，无肥料裸露现象。</w:t>
      </w:r>
    </w:p>
    <w:p w14:paraId="1505157C"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四、人员、车辆及设备配备要求：（本项不允许负偏离，否则按废标处理）</w:t>
      </w:r>
    </w:p>
    <w:p w14:paraId="0263050A"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（一）人员最低配备要求</w:t>
      </w:r>
    </w:p>
    <w:p w14:paraId="64321928"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保洁人员数量配备不少于28人（其中一线道路保洁员10人、清扫车驾驶员2人、大型垃圾收运压缩车驾驶员3人、小型垃圾收运压缩车驾驶员2人、垃圾收集中心操作工2人；冲洗洒水车驾驶员1人、园林绿化修剪5人；管理人员2人，项目经理1人），保洁员人手1辆保洁车和保洁工具。</w:t>
      </w:r>
    </w:p>
    <w:p w14:paraId="69916103"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配备的项目经理，不得同时兼任其他项目部经理或其他职务，人员的配备需向邳州市邢楼镇人民政府备案，需调整或调动必须听取邳州市邢楼镇人民政府意见方可实施。</w:t>
      </w:r>
    </w:p>
    <w:p w14:paraId="72630712"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说明：</w:t>
      </w:r>
    </w:p>
    <w:p w14:paraId="2323989B"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(1)管理团队要求道德品质好，行为端正，责任心强、能吃苦、身体健康无残疾，有开拓创新精神，有3-5年以上环卫保洁工作经验，平均年龄不超过45周岁，其他人员的配备按照合同要求进行备案。</w:t>
      </w:r>
    </w:p>
    <w:p w14:paraId="5458B080"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（2）保洁人员年龄男不得超过60周岁，女不得超过55周岁。</w:t>
      </w:r>
    </w:p>
    <w:p w14:paraId="1C8CAA7D"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lastRenderedPageBreak/>
        <w:t xml:space="preserve">（3）项目经理（或项目负责人）、班长、保洁员、垃圾清运人员实行定人、定时、定岗、定责管理。 </w:t>
      </w:r>
    </w:p>
    <w:p w14:paraId="6DAF619F"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 xml:space="preserve">（4）日常管理人员应知法，懂法，守法，依法办事，必须严格遵守从业规范及安全管理规定。 </w:t>
      </w:r>
    </w:p>
    <w:p w14:paraId="77CAEB3D"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 xml:space="preserve">(5)工作人员应有吃苦耐劳的精神和高度的责任感，受过专门的岗前培训，要知法守法，严格遵守从业规范及安全管理规定。管理人员应严格岗位职责，善于发现各类问题，具备一定的管理经验和处理突发事件的能力。 </w:t>
      </w:r>
    </w:p>
    <w:p w14:paraId="3228E649"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(6)服装及防护用品配备（费用由中标单位承担）：</w:t>
      </w:r>
    </w:p>
    <w:p w14:paraId="35DA582E"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1.夏装每人每年2套，春秋装每人每年1套，冬装棉服每人1年1件；</w:t>
      </w:r>
    </w:p>
    <w:p w14:paraId="64B80982"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2.雨衣、雨裤、雨鞋每人1套；</w:t>
      </w:r>
    </w:p>
    <w:p w14:paraId="5F3B299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3.式样、颜色、材质符合甲方统一规定；</w:t>
      </w:r>
    </w:p>
    <w:p w14:paraId="5E404915"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4.其他防护用品满足作业需要。</w:t>
      </w:r>
    </w:p>
    <w:p w14:paraId="1C977930"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（二）车辆配置要求</w:t>
      </w:r>
    </w:p>
    <w:p w14:paraId="3B9C833E"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1.车辆配置明细表（包括但不限于以下车辆），按需满足要求：</w:t>
      </w:r>
    </w:p>
    <w:tbl>
      <w:tblPr>
        <w:tblW w:w="82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328"/>
        <w:gridCol w:w="2215"/>
      </w:tblGrid>
      <w:tr w:rsidR="00B51397" w14:paraId="7CD30BBC" w14:textId="77777777">
        <w:trPr>
          <w:trHeight w:val="595"/>
        </w:trPr>
        <w:tc>
          <w:tcPr>
            <w:tcW w:w="8234" w:type="dxa"/>
            <w:gridSpan w:val="3"/>
            <w:noWrap/>
            <w:vAlign w:val="center"/>
          </w:tcPr>
          <w:p w14:paraId="699ECC2B" w14:textId="77777777" w:rsidR="00B51397" w:rsidRDefault="00001D3C">
            <w:pPr>
              <w:pStyle w:val="a3"/>
              <w:ind w:firstLine="482"/>
              <w:jc w:val="center"/>
              <w:rPr>
                <w:rFonts w:ascii="仿宋" w:eastAsia="仿宋" w:hAnsi="仿宋"/>
                <w:color w:val="000000" w:themeColor="text1"/>
                <w:sz w:val="24"/>
              </w:rPr>
            </w:pPr>
            <w:r>
              <w:rPr>
                <w:rFonts w:ascii="仿宋" w:eastAsia="仿宋" w:hAnsi="仿宋" w:hint="eastAsia"/>
                <w:color w:val="000000" w:themeColor="text1"/>
                <w:sz w:val="24"/>
              </w:rPr>
              <w:t>车辆配备明细表</w:t>
            </w:r>
          </w:p>
        </w:tc>
      </w:tr>
      <w:tr w:rsidR="00B51397" w14:paraId="404B128A" w14:textId="77777777">
        <w:trPr>
          <w:trHeight w:val="590"/>
        </w:trPr>
        <w:tc>
          <w:tcPr>
            <w:tcW w:w="1696" w:type="dxa"/>
            <w:noWrap/>
            <w:vAlign w:val="center"/>
          </w:tcPr>
          <w:p w14:paraId="663F4126"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项目分类</w:t>
            </w:r>
          </w:p>
        </w:tc>
        <w:tc>
          <w:tcPr>
            <w:tcW w:w="4328" w:type="dxa"/>
            <w:noWrap/>
            <w:vAlign w:val="center"/>
          </w:tcPr>
          <w:p w14:paraId="32EF2DB0"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车辆类型</w:t>
            </w:r>
          </w:p>
        </w:tc>
        <w:tc>
          <w:tcPr>
            <w:tcW w:w="2215" w:type="dxa"/>
            <w:noWrap/>
            <w:vAlign w:val="center"/>
          </w:tcPr>
          <w:p w14:paraId="03C252BE"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数量</w:t>
            </w:r>
          </w:p>
        </w:tc>
      </w:tr>
      <w:tr w:rsidR="00B51397" w14:paraId="08FCE48B" w14:textId="77777777">
        <w:trPr>
          <w:trHeight w:val="472"/>
        </w:trPr>
        <w:tc>
          <w:tcPr>
            <w:tcW w:w="1696" w:type="dxa"/>
            <w:vMerge w:val="restart"/>
            <w:vAlign w:val="center"/>
          </w:tcPr>
          <w:p w14:paraId="5F7DB0D4"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车辆</w:t>
            </w:r>
          </w:p>
        </w:tc>
        <w:tc>
          <w:tcPr>
            <w:tcW w:w="4328" w:type="dxa"/>
            <w:vAlign w:val="center"/>
          </w:tcPr>
          <w:p w14:paraId="41A3E837"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高压清洗车或洒水车（12吨）</w:t>
            </w:r>
          </w:p>
        </w:tc>
        <w:tc>
          <w:tcPr>
            <w:tcW w:w="2215" w:type="dxa"/>
            <w:vAlign w:val="center"/>
          </w:tcPr>
          <w:p w14:paraId="42423F97"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1</w:t>
            </w:r>
          </w:p>
        </w:tc>
      </w:tr>
      <w:tr w:rsidR="00B51397" w14:paraId="39A84469" w14:textId="77777777">
        <w:trPr>
          <w:trHeight w:val="472"/>
        </w:trPr>
        <w:tc>
          <w:tcPr>
            <w:tcW w:w="1696" w:type="dxa"/>
            <w:vMerge/>
            <w:vAlign w:val="center"/>
          </w:tcPr>
          <w:p w14:paraId="1D311833" w14:textId="77777777" w:rsidR="00B51397" w:rsidRDefault="00B51397">
            <w:pPr>
              <w:pStyle w:val="a3"/>
              <w:ind w:firstLine="482"/>
              <w:jc w:val="center"/>
              <w:rPr>
                <w:rFonts w:ascii="仿宋" w:eastAsia="仿宋" w:hAnsi="仿宋"/>
                <w:color w:val="000000" w:themeColor="text1"/>
                <w:sz w:val="24"/>
              </w:rPr>
            </w:pPr>
          </w:p>
        </w:tc>
        <w:tc>
          <w:tcPr>
            <w:tcW w:w="4328" w:type="dxa"/>
            <w:vAlign w:val="center"/>
          </w:tcPr>
          <w:p w14:paraId="6AAC1C7D"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洗扫一体车（1吨）</w:t>
            </w:r>
          </w:p>
        </w:tc>
        <w:tc>
          <w:tcPr>
            <w:tcW w:w="2215" w:type="dxa"/>
            <w:vAlign w:val="center"/>
          </w:tcPr>
          <w:p w14:paraId="53136BC9"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2</w:t>
            </w:r>
          </w:p>
        </w:tc>
      </w:tr>
      <w:tr w:rsidR="00B51397" w14:paraId="222E0474" w14:textId="77777777">
        <w:trPr>
          <w:trHeight w:val="472"/>
        </w:trPr>
        <w:tc>
          <w:tcPr>
            <w:tcW w:w="1696" w:type="dxa"/>
            <w:vMerge/>
            <w:vAlign w:val="center"/>
          </w:tcPr>
          <w:p w14:paraId="2164B140" w14:textId="77777777" w:rsidR="00B51397" w:rsidRDefault="00B51397">
            <w:pPr>
              <w:pStyle w:val="a3"/>
              <w:ind w:firstLine="482"/>
              <w:jc w:val="center"/>
              <w:rPr>
                <w:rFonts w:ascii="仿宋" w:eastAsia="仿宋" w:hAnsi="仿宋"/>
                <w:color w:val="000000" w:themeColor="text1"/>
                <w:sz w:val="24"/>
              </w:rPr>
            </w:pPr>
          </w:p>
        </w:tc>
        <w:tc>
          <w:tcPr>
            <w:tcW w:w="4328" w:type="dxa"/>
            <w:vAlign w:val="center"/>
          </w:tcPr>
          <w:p w14:paraId="0F56F3F2"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大型垃圾收运压缩车辆</w:t>
            </w:r>
          </w:p>
        </w:tc>
        <w:tc>
          <w:tcPr>
            <w:tcW w:w="2215" w:type="dxa"/>
            <w:vAlign w:val="center"/>
          </w:tcPr>
          <w:p w14:paraId="01B86E49"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3</w:t>
            </w:r>
          </w:p>
        </w:tc>
      </w:tr>
      <w:tr w:rsidR="00B51397" w14:paraId="6B2EB9B6" w14:textId="77777777">
        <w:trPr>
          <w:trHeight w:val="472"/>
        </w:trPr>
        <w:tc>
          <w:tcPr>
            <w:tcW w:w="1696" w:type="dxa"/>
            <w:vMerge/>
            <w:vAlign w:val="center"/>
          </w:tcPr>
          <w:p w14:paraId="0734F039" w14:textId="77777777" w:rsidR="00B51397" w:rsidRDefault="00B51397">
            <w:pPr>
              <w:pStyle w:val="a3"/>
              <w:ind w:firstLine="482"/>
              <w:jc w:val="center"/>
              <w:rPr>
                <w:rFonts w:ascii="仿宋" w:eastAsia="仿宋" w:hAnsi="仿宋"/>
                <w:color w:val="000000" w:themeColor="text1"/>
                <w:sz w:val="24"/>
              </w:rPr>
            </w:pPr>
          </w:p>
        </w:tc>
        <w:tc>
          <w:tcPr>
            <w:tcW w:w="4328" w:type="dxa"/>
            <w:vAlign w:val="center"/>
          </w:tcPr>
          <w:p w14:paraId="34684C9A"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小型垃圾收运压缩车辆</w:t>
            </w:r>
          </w:p>
        </w:tc>
        <w:tc>
          <w:tcPr>
            <w:tcW w:w="2215" w:type="dxa"/>
            <w:vAlign w:val="center"/>
          </w:tcPr>
          <w:p w14:paraId="0481239E"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2</w:t>
            </w:r>
          </w:p>
        </w:tc>
      </w:tr>
      <w:tr w:rsidR="00B51397" w14:paraId="72A684DC" w14:textId="77777777">
        <w:trPr>
          <w:trHeight w:val="482"/>
        </w:trPr>
        <w:tc>
          <w:tcPr>
            <w:tcW w:w="1696" w:type="dxa"/>
            <w:vMerge/>
            <w:vAlign w:val="center"/>
          </w:tcPr>
          <w:p w14:paraId="4FED1F88" w14:textId="77777777" w:rsidR="00B51397" w:rsidRDefault="00B51397">
            <w:pPr>
              <w:pStyle w:val="a3"/>
              <w:ind w:firstLine="482"/>
              <w:jc w:val="center"/>
              <w:rPr>
                <w:rFonts w:ascii="仿宋" w:eastAsia="仿宋" w:hAnsi="仿宋"/>
                <w:color w:val="000000" w:themeColor="text1"/>
                <w:sz w:val="24"/>
              </w:rPr>
            </w:pPr>
          </w:p>
        </w:tc>
        <w:tc>
          <w:tcPr>
            <w:tcW w:w="4328" w:type="dxa"/>
            <w:vAlign w:val="center"/>
          </w:tcPr>
          <w:p w14:paraId="0634EE49"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人工清运车</w:t>
            </w:r>
          </w:p>
        </w:tc>
        <w:tc>
          <w:tcPr>
            <w:tcW w:w="2215" w:type="dxa"/>
            <w:vAlign w:val="center"/>
          </w:tcPr>
          <w:p w14:paraId="04E1F796" w14:textId="77777777" w:rsidR="00B51397" w:rsidRDefault="00001D3C">
            <w:pPr>
              <w:pStyle w:val="a3"/>
              <w:jc w:val="center"/>
              <w:rPr>
                <w:rFonts w:ascii="仿宋" w:eastAsia="仿宋" w:hAnsi="仿宋"/>
                <w:color w:val="000000" w:themeColor="text1"/>
                <w:sz w:val="24"/>
              </w:rPr>
            </w:pPr>
            <w:r>
              <w:rPr>
                <w:rFonts w:ascii="仿宋" w:eastAsia="仿宋" w:hAnsi="仿宋" w:hint="eastAsia"/>
                <w:color w:val="000000" w:themeColor="text1"/>
                <w:sz w:val="24"/>
              </w:rPr>
              <w:t>4</w:t>
            </w:r>
          </w:p>
        </w:tc>
      </w:tr>
    </w:tbl>
    <w:p w14:paraId="15830287"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说明：1）以上车辆为供应商自有的提供的发票或权属登记证书的扫描件，为租赁的，提供租赁合同和车辆设备的发票或权属登记证书的扫描件。</w:t>
      </w:r>
    </w:p>
    <w:p w14:paraId="4BA02FBF"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2）如暂未配置需在投标文件中提供“作业设备（车辆）配置车辆”的承诺文件，否则按照无效投标处理。</w:t>
      </w:r>
    </w:p>
    <w:p w14:paraId="2AB9B191"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3）车辆配置要求实质性条款，不允许负偏离。</w:t>
      </w:r>
    </w:p>
    <w:p w14:paraId="75935C96"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（三）设备配置要求</w:t>
      </w:r>
    </w:p>
    <w:p w14:paraId="683C2EF9"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1.垃圾桶配置：根据需求配置垃圾桶，采用240L市政专用分类式脚踏垃圾桶，每年更换一次(必要时随时更换)。</w:t>
      </w:r>
    </w:p>
    <w:p w14:paraId="604B5522" w14:textId="77777777" w:rsidR="00B51397" w:rsidRDefault="00001D3C">
      <w:pPr>
        <w:pStyle w:val="a3"/>
        <w:ind w:firstLine="482"/>
        <w:rPr>
          <w:rFonts w:ascii="仿宋" w:eastAsia="仿宋" w:hAnsi="仿宋"/>
          <w:color w:val="000000" w:themeColor="text1"/>
          <w:sz w:val="24"/>
        </w:rPr>
      </w:pPr>
      <w:r>
        <w:rPr>
          <w:rFonts w:ascii="仿宋" w:eastAsia="仿宋" w:hAnsi="仿宋" w:hint="eastAsia"/>
          <w:color w:val="000000" w:themeColor="text1"/>
          <w:sz w:val="24"/>
        </w:rPr>
        <w:t>五、保洁服务期限：1年。</w:t>
      </w:r>
    </w:p>
    <w:p w14:paraId="39582D3A" w14:textId="77777777" w:rsidR="00B51397" w:rsidRDefault="00001D3C">
      <w:pPr>
        <w:pStyle w:val="a3"/>
        <w:ind w:firstLine="482"/>
        <w:rPr>
          <w:rFonts w:ascii="仿宋" w:eastAsia="仿宋" w:hAnsi="仿宋"/>
          <w:b/>
          <w:color w:val="000000" w:themeColor="text1"/>
          <w:sz w:val="24"/>
        </w:rPr>
      </w:pPr>
      <w:r>
        <w:rPr>
          <w:rFonts w:ascii="仿宋" w:eastAsia="仿宋" w:hAnsi="仿宋" w:hint="eastAsia"/>
          <w:b/>
          <w:color w:val="000000" w:themeColor="text1"/>
          <w:sz w:val="24"/>
        </w:rPr>
        <w:t>说明：本“保洁服务期限”为不允许偏离的实质性要求和条件，如有偏离，在符合性审查时按照投标无效处理。</w:t>
      </w:r>
    </w:p>
    <w:p w14:paraId="3ED958AD" w14:textId="77777777" w:rsidR="00B51397" w:rsidRDefault="00B51397">
      <w:pPr>
        <w:pStyle w:val="a3"/>
        <w:ind w:firstLine="482"/>
        <w:rPr>
          <w:color w:val="000000" w:themeColor="text1"/>
        </w:rPr>
      </w:pPr>
    </w:p>
    <w:p w14:paraId="13F86809" w14:textId="77777777" w:rsidR="00B51397" w:rsidRDefault="00001D3C">
      <w:pPr>
        <w:pStyle w:val="a3"/>
        <w:ind w:firstLine="480"/>
        <w:rPr>
          <w:rFonts w:ascii="仿宋" w:eastAsia="仿宋" w:hAnsi="仿宋"/>
          <w:color w:val="000000" w:themeColor="text1"/>
          <w:sz w:val="24"/>
        </w:rPr>
      </w:pPr>
      <w:r>
        <w:rPr>
          <w:rFonts w:ascii="仿宋" w:eastAsia="仿宋" w:hAnsi="仿宋" w:hint="eastAsia"/>
          <w:color w:val="000000" w:themeColor="text1"/>
          <w:sz w:val="24"/>
        </w:rPr>
        <w:t>六、</w:t>
      </w:r>
      <w:r>
        <w:rPr>
          <w:rFonts w:ascii="仿宋" w:eastAsia="仿宋" w:hAnsi="仿宋"/>
          <w:color w:val="000000" w:themeColor="text1"/>
          <w:sz w:val="24"/>
        </w:rPr>
        <w:t>付款方式</w:t>
      </w:r>
      <w:r>
        <w:rPr>
          <w:rFonts w:ascii="仿宋" w:eastAsia="仿宋" w:hAnsi="仿宋" w:hint="eastAsia"/>
          <w:color w:val="000000" w:themeColor="text1"/>
          <w:sz w:val="24"/>
        </w:rPr>
        <w:t>：</w:t>
      </w:r>
      <w:r>
        <w:rPr>
          <w:rFonts w:ascii="仿宋" w:eastAsia="仿宋" w:hAnsi="仿宋"/>
          <w:color w:val="000000" w:themeColor="text1"/>
          <w:sz w:val="24"/>
        </w:rPr>
        <w:t xml:space="preserve"> 见招标文件第五章《拟签订的合同文本》中“</w:t>
      </w:r>
      <w:r>
        <w:rPr>
          <w:rFonts w:ascii="仿宋" w:eastAsia="仿宋" w:hAnsi="仿宋" w:cs="宋体" w:hint="eastAsia"/>
          <w:color w:val="000000" w:themeColor="text1"/>
          <w:sz w:val="24"/>
        </w:rPr>
        <w:t>第三节  合同价款与支付</w:t>
      </w:r>
      <w:r>
        <w:rPr>
          <w:rFonts w:ascii="仿宋" w:eastAsia="仿宋" w:hAnsi="仿宋"/>
          <w:color w:val="000000" w:themeColor="text1"/>
          <w:sz w:val="24"/>
        </w:rPr>
        <w:t>”。</w:t>
      </w:r>
    </w:p>
    <w:p w14:paraId="0D5062F8" w14:textId="77777777" w:rsidR="00B51397" w:rsidRDefault="00001D3C">
      <w:pPr>
        <w:pStyle w:val="a3"/>
        <w:ind w:firstLine="482"/>
        <w:rPr>
          <w:rFonts w:ascii="仿宋" w:eastAsia="仿宋" w:hAnsi="仿宋"/>
          <w:color w:val="000000" w:themeColor="text1"/>
          <w:sz w:val="24"/>
        </w:rPr>
      </w:pPr>
      <w:r>
        <w:rPr>
          <w:rFonts w:ascii="仿宋" w:eastAsia="仿宋" w:hAnsi="仿宋" w:hint="eastAsia"/>
          <w:b/>
          <w:color w:val="000000" w:themeColor="text1"/>
          <w:sz w:val="24"/>
        </w:rPr>
        <w:t>说明：本“</w:t>
      </w:r>
      <w:r>
        <w:rPr>
          <w:rFonts w:ascii="仿宋" w:eastAsia="仿宋" w:hAnsi="仿宋"/>
          <w:b/>
          <w:color w:val="000000" w:themeColor="text1"/>
          <w:sz w:val="24"/>
        </w:rPr>
        <w:t>付款方式</w:t>
      </w:r>
      <w:r>
        <w:rPr>
          <w:rFonts w:ascii="仿宋" w:eastAsia="仿宋" w:hAnsi="仿宋" w:hint="eastAsia"/>
          <w:b/>
          <w:color w:val="000000" w:themeColor="text1"/>
          <w:sz w:val="24"/>
        </w:rPr>
        <w:t>”为不允许偏离的实质性要求和条件，如有偏离，在符合性审查时按照投标无效处理。</w:t>
      </w:r>
    </w:p>
    <w:p w14:paraId="53E2BD11" w14:textId="77777777" w:rsidR="00B51397" w:rsidRDefault="00B51397">
      <w:pPr>
        <w:pStyle w:val="a3"/>
        <w:ind w:firstLine="482"/>
        <w:rPr>
          <w:rFonts w:ascii="仿宋" w:eastAsia="仿宋" w:hAnsi="仿宋"/>
          <w:color w:val="000000" w:themeColor="text1"/>
          <w:sz w:val="24"/>
        </w:rPr>
      </w:pPr>
    </w:p>
    <w:p w14:paraId="1BBE9269" w14:textId="77777777" w:rsidR="00B51397" w:rsidRDefault="00001D3C">
      <w:pPr>
        <w:spacing w:line="420" w:lineRule="exact"/>
        <w:ind w:firstLine="360"/>
        <w:rPr>
          <w:rFonts w:ascii="仿宋" w:eastAsia="仿宋" w:hAnsi="仿宋"/>
          <w:color w:val="000000" w:themeColor="text1"/>
          <w:sz w:val="24"/>
        </w:rPr>
      </w:pPr>
      <w:r>
        <w:rPr>
          <w:rFonts w:ascii="仿宋" w:eastAsia="仿宋" w:hAnsi="仿宋" w:hint="eastAsia"/>
          <w:color w:val="000000" w:themeColor="text1"/>
          <w:sz w:val="24"/>
        </w:rPr>
        <w:t>七、投标报价的相关说明</w:t>
      </w:r>
    </w:p>
    <w:p w14:paraId="5EF99E57" w14:textId="2A0DB68C" w:rsidR="00B51397" w:rsidRDefault="00001D3C">
      <w:pPr>
        <w:spacing w:line="420" w:lineRule="exact"/>
        <w:ind w:firstLine="485"/>
        <w:rPr>
          <w:rFonts w:ascii="仿宋" w:eastAsia="仿宋" w:hAnsi="仿宋"/>
          <w:color w:val="000000" w:themeColor="text1"/>
          <w:sz w:val="24"/>
        </w:rPr>
      </w:pPr>
      <w:r>
        <w:rPr>
          <w:rFonts w:ascii="仿宋" w:eastAsia="仿宋" w:hAnsi="仿宋" w:hint="eastAsia"/>
          <w:color w:val="000000" w:themeColor="text1"/>
          <w:sz w:val="24"/>
        </w:rPr>
        <w:lastRenderedPageBreak/>
        <w:t>1.</w:t>
      </w:r>
      <w:r>
        <w:rPr>
          <w:rFonts w:ascii="仿宋" w:eastAsia="仿宋" w:hAnsi="仿宋" w:hint="eastAsia"/>
          <w:bCs/>
          <w:color w:val="000000" w:themeColor="text1"/>
          <w:sz w:val="24"/>
        </w:rPr>
        <w:t xml:space="preserve"> 不接受超过1200000.00元人民币的投标报价。</w:t>
      </w:r>
    </w:p>
    <w:p w14:paraId="4930DCE3" w14:textId="77777777" w:rsidR="00B51397" w:rsidRDefault="00001D3C">
      <w:pPr>
        <w:spacing w:line="420" w:lineRule="exact"/>
        <w:ind w:firstLine="480"/>
        <w:contextualSpacing/>
        <w:rPr>
          <w:rFonts w:ascii="仿宋" w:eastAsia="仿宋" w:hAnsi="仿宋"/>
          <w:color w:val="000000" w:themeColor="text1"/>
          <w:sz w:val="24"/>
        </w:rPr>
      </w:pPr>
      <w:r>
        <w:rPr>
          <w:rFonts w:ascii="仿宋" w:eastAsia="仿宋" w:hAnsi="仿宋" w:hint="eastAsia"/>
          <w:bCs/>
          <w:color w:val="000000" w:themeColor="text1"/>
          <w:sz w:val="24"/>
        </w:rPr>
        <w:t>2.报价不得违反邳州市关于最低工资标准的相关规定和邳州市关于社会保险基数的相关规定。</w:t>
      </w:r>
      <w:r>
        <w:rPr>
          <w:rFonts w:ascii="仿宋" w:eastAsia="仿宋" w:hAnsi="仿宋" w:hint="eastAsia"/>
          <w:color w:val="000000" w:themeColor="text1"/>
          <w:sz w:val="24"/>
        </w:rPr>
        <w:t>采购人有权进行核查，供应商必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14:paraId="720A584F" w14:textId="77777777" w:rsidR="00B51397" w:rsidRDefault="00001D3C">
      <w:pPr>
        <w:spacing w:line="420" w:lineRule="exact"/>
        <w:ind w:firstLine="480"/>
        <w:contextualSpacing/>
        <w:rPr>
          <w:rFonts w:ascii="仿宋" w:eastAsia="仿宋" w:hAnsi="仿宋"/>
          <w:bCs/>
          <w:color w:val="000000" w:themeColor="text1"/>
          <w:sz w:val="24"/>
        </w:rPr>
      </w:pPr>
      <w:r>
        <w:rPr>
          <w:rFonts w:ascii="仿宋" w:eastAsia="仿宋" w:hAnsi="仿宋" w:hint="eastAsia"/>
          <w:color w:val="000000" w:themeColor="text1"/>
          <w:sz w:val="24"/>
        </w:rPr>
        <w:t>3.报价须充分考虑服务期限（合同期限）</w:t>
      </w:r>
      <w:r>
        <w:rPr>
          <w:rFonts w:ascii="仿宋" w:eastAsia="仿宋" w:hAnsi="仿宋" w:hint="eastAsia"/>
          <w:bCs/>
          <w:color w:val="000000" w:themeColor="text1"/>
          <w:sz w:val="24"/>
        </w:rPr>
        <w:t>内最低工资标准调整因素和社会保险基数调整因素。</w:t>
      </w:r>
    </w:p>
    <w:p w14:paraId="675BA52E" w14:textId="77777777" w:rsidR="00B51397" w:rsidRDefault="00001D3C">
      <w:pPr>
        <w:spacing w:line="42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4.报价需充分考虑</w:t>
      </w:r>
      <w:r>
        <w:rPr>
          <w:rFonts w:ascii="仿宋" w:eastAsia="仿宋" w:hAnsi="仿宋" w:hint="eastAsia"/>
          <w:color w:val="000000" w:themeColor="text1"/>
          <w:sz w:val="24"/>
        </w:rPr>
        <w:t>服务期限（合同期限）</w:t>
      </w:r>
      <w:r>
        <w:rPr>
          <w:rFonts w:ascii="仿宋" w:eastAsia="仿宋" w:hAnsi="仿宋" w:hint="eastAsia"/>
          <w:bCs/>
          <w:color w:val="000000" w:themeColor="text1"/>
          <w:sz w:val="24"/>
        </w:rPr>
        <w:t>内的市场因素和成本变化状况的风险。</w:t>
      </w:r>
    </w:p>
    <w:p w14:paraId="47ADF173" w14:textId="77777777" w:rsidR="00B51397" w:rsidRDefault="00001D3C">
      <w:pPr>
        <w:spacing w:line="42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5.采购人不支付投标报价以外的任何费用。</w:t>
      </w:r>
    </w:p>
    <w:p w14:paraId="748D2391" w14:textId="77777777" w:rsidR="00B51397" w:rsidRDefault="00001D3C">
      <w:pPr>
        <w:tabs>
          <w:tab w:val="left" w:pos="0"/>
          <w:tab w:val="left" w:pos="284"/>
        </w:tabs>
        <w:spacing w:line="42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6.</w:t>
      </w:r>
      <w:r>
        <w:rPr>
          <w:rFonts w:ascii="仿宋" w:eastAsia="仿宋" w:hAnsi="仿宋" w:hint="eastAsia"/>
          <w:color w:val="000000" w:themeColor="text1"/>
          <w:sz w:val="24"/>
        </w:rPr>
        <w:t>供应商</w:t>
      </w:r>
      <w:r>
        <w:rPr>
          <w:rFonts w:ascii="仿宋" w:eastAsia="仿宋" w:hAnsi="仿宋" w:hint="eastAsia"/>
          <w:bCs/>
          <w:color w:val="000000" w:themeColor="text1"/>
          <w:sz w:val="24"/>
        </w:rPr>
        <w:t>的报价在合同执行过程中是固定的，不得以任何理由予以变更。</w:t>
      </w:r>
    </w:p>
    <w:p w14:paraId="564B1A14" w14:textId="77777777" w:rsidR="00B51397" w:rsidRDefault="00001D3C">
      <w:pPr>
        <w:pStyle w:val="TOC1"/>
        <w:ind w:firstLine="354"/>
        <w:rPr>
          <w:rFonts w:ascii="仿宋" w:eastAsia="仿宋" w:hAnsi="仿宋"/>
          <w:b/>
          <w:color w:val="000000" w:themeColor="text1"/>
          <w:sz w:val="24"/>
          <w:szCs w:val="24"/>
        </w:rPr>
      </w:pPr>
      <w:r>
        <w:rPr>
          <w:rFonts w:ascii="仿宋" w:eastAsia="仿宋" w:hAnsi="仿宋" w:hint="eastAsia"/>
          <w:b/>
          <w:color w:val="000000" w:themeColor="text1"/>
          <w:sz w:val="24"/>
          <w:szCs w:val="24"/>
        </w:rPr>
        <w:t>说明：本“投标报价的相关说明”为不允许偏离的实质性要求和条件，如有偏离，在符合性审查时按照投标无效处理。</w:t>
      </w:r>
    </w:p>
    <w:p w14:paraId="42478E37" w14:textId="77777777" w:rsidR="00B51397" w:rsidRDefault="00001D3C">
      <w:pPr>
        <w:ind w:firstLine="480"/>
        <w:rPr>
          <w:color w:val="000000" w:themeColor="text1"/>
        </w:rPr>
      </w:pPr>
      <w:r>
        <w:rPr>
          <w:rFonts w:ascii="仿宋" w:eastAsia="仿宋" w:hAnsi="仿宋" w:hint="eastAsia"/>
          <w:bCs/>
          <w:color w:val="000000" w:themeColor="text1"/>
          <w:sz w:val="24"/>
        </w:rPr>
        <w:t>八、其他要求：见招标文件第五章《拟签订的合同文本》。</w:t>
      </w:r>
    </w:p>
    <w:p w14:paraId="4D55C3AE" w14:textId="77777777" w:rsidR="00B51397" w:rsidRDefault="00B51397"/>
    <w:sectPr w:rsidR="00B51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1CA4F66"/>
    <w:rsid w:val="00001D3C"/>
    <w:rsid w:val="002F56B9"/>
    <w:rsid w:val="00B51397"/>
    <w:rsid w:val="2C8B4122"/>
    <w:rsid w:val="342D555A"/>
    <w:rsid w:val="4CD62AB8"/>
    <w:rsid w:val="61CA4F66"/>
    <w:rsid w:val="72A82F5E"/>
    <w:rsid w:val="73EF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207E4"/>
  <w15:docId w15:val="{76E6414B-7F4D-492B-9240-93FEEF6F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10"/>
    <w:next w:val="21"/>
    <w:qFormat/>
    <w:pPr>
      <w:ind w:firstLine="420"/>
    </w:pPr>
    <w:rPr>
      <w:rFonts w:ascii="仿宋_GB2312" w:eastAsia="仿宋_GB2312" w:hAnsi="Times New Roman"/>
      <w:sz w:val="30"/>
      <w:szCs w:val="30"/>
    </w:rPr>
  </w:style>
  <w:style w:type="paragraph" w:customStyle="1" w:styleId="10">
    <w:name w:val="正文文本1"/>
    <w:basedOn w:val="13"/>
    <w:next w:val="a"/>
    <w:qFormat/>
    <w:pPr>
      <w:keepLines/>
      <w:spacing w:after="120" w:line="220" w:lineRule="atLeast"/>
    </w:pPr>
    <w:rPr>
      <w:rFonts w:ascii="宋体" w:hAnsi="Calibri"/>
      <w:lang w:val="en-GB"/>
    </w:rPr>
  </w:style>
  <w:style w:type="paragraph" w:customStyle="1" w:styleId="13">
    <w:name w:val="正文13"/>
    <w:next w:val="1"/>
    <w:qFormat/>
    <w:pPr>
      <w:widowControl w:val="0"/>
      <w:jc w:val="both"/>
    </w:pPr>
    <w:rPr>
      <w:rFonts w:ascii="Times New Roman" w:eastAsia="宋体" w:hAnsi="Times New Roman" w:cs="Times New Roman"/>
      <w:sz w:val="21"/>
      <w:szCs w:val="24"/>
    </w:rPr>
  </w:style>
  <w:style w:type="paragraph" w:customStyle="1" w:styleId="21">
    <w:name w:val="正文首行缩进 21"/>
    <w:basedOn w:val="11"/>
    <w:qFormat/>
    <w:pPr>
      <w:ind w:firstLine="420"/>
    </w:pPr>
  </w:style>
  <w:style w:type="paragraph" w:customStyle="1" w:styleId="11">
    <w:name w:val="正文文本缩进1"/>
    <w:basedOn w:val="12"/>
    <w:next w:val="14"/>
    <w:qFormat/>
    <w:pPr>
      <w:spacing w:after="120"/>
      <w:ind w:left="420"/>
    </w:pPr>
  </w:style>
  <w:style w:type="paragraph" w:customStyle="1" w:styleId="12">
    <w:name w:val="正文1"/>
    <w:basedOn w:val="111"/>
    <w:next w:val="110"/>
    <w:qFormat/>
    <w:pPr>
      <w:spacing w:line="360" w:lineRule="auto"/>
      <w:ind w:firstLine="482"/>
    </w:pPr>
    <w:rPr>
      <w:sz w:val="24"/>
    </w:rPr>
  </w:style>
  <w:style w:type="paragraph" w:customStyle="1" w:styleId="111">
    <w:name w:val="正文111"/>
    <w:next w:val="1110"/>
    <w:qFormat/>
    <w:pPr>
      <w:widowControl w:val="0"/>
      <w:jc w:val="both"/>
    </w:pPr>
    <w:rPr>
      <w:rFonts w:ascii="Times New Roman" w:eastAsia="宋体" w:hAnsi="Times New Roman" w:cs="Times New Roman"/>
      <w:sz w:val="21"/>
      <w:szCs w:val="24"/>
    </w:rPr>
  </w:style>
  <w:style w:type="paragraph" w:customStyle="1" w:styleId="1110">
    <w:name w:val="目录 111"/>
    <w:basedOn w:val="120"/>
    <w:next w:val="a"/>
    <w:uiPriority w:val="39"/>
    <w:qFormat/>
    <w:pPr>
      <w:spacing w:before="120" w:after="120"/>
      <w:jc w:val="left"/>
    </w:pPr>
    <w:rPr>
      <w:b/>
      <w:bCs/>
      <w:caps/>
      <w:sz w:val="20"/>
      <w:szCs w:val="20"/>
    </w:rPr>
  </w:style>
  <w:style w:type="paragraph" w:customStyle="1" w:styleId="120">
    <w:name w:val="正文12"/>
    <w:next w:val="1111"/>
    <w:qFormat/>
    <w:pPr>
      <w:widowControl w:val="0"/>
      <w:jc w:val="both"/>
    </w:pPr>
    <w:rPr>
      <w:rFonts w:ascii="Calibri" w:eastAsia="宋体" w:hAnsi="Calibri" w:cs="Times New Roman"/>
      <w:sz w:val="21"/>
      <w:szCs w:val="24"/>
    </w:rPr>
  </w:style>
  <w:style w:type="paragraph" w:customStyle="1" w:styleId="1111">
    <w:name w:val="正文文本111"/>
    <w:basedOn w:val="1121"/>
    <w:next w:val="120"/>
    <w:qFormat/>
  </w:style>
  <w:style w:type="paragraph" w:customStyle="1" w:styleId="1121">
    <w:name w:val="正文1121"/>
    <w:next w:val="1111"/>
    <w:qFormat/>
    <w:pPr>
      <w:widowControl w:val="0"/>
      <w:jc w:val="both"/>
    </w:pPr>
    <w:rPr>
      <w:rFonts w:ascii="Calibri" w:eastAsia="宋体" w:hAnsi="Calibri" w:cs="Times New Roman"/>
      <w:sz w:val="21"/>
      <w:szCs w:val="24"/>
    </w:rPr>
  </w:style>
  <w:style w:type="paragraph" w:customStyle="1" w:styleId="110">
    <w:name w:val="目录 11"/>
    <w:basedOn w:val="120"/>
    <w:next w:val="120"/>
    <w:qFormat/>
    <w:pPr>
      <w:spacing w:before="120" w:after="120"/>
      <w:jc w:val="left"/>
    </w:pPr>
    <w:rPr>
      <w:b/>
      <w:bCs/>
      <w:caps/>
      <w:sz w:val="20"/>
      <w:szCs w:val="20"/>
    </w:rPr>
  </w:style>
  <w:style w:type="paragraph" w:customStyle="1" w:styleId="14">
    <w:name w:val="寄信人地址1"/>
    <w:basedOn w:val="12"/>
    <w:qFormat/>
    <w:pPr>
      <w:ind w:firstLine="200"/>
    </w:pPr>
    <w:rPr>
      <w:rFonts w:ascii="Arial" w:eastAsia="仿宋_GB2312" w:hAnsi="Arial"/>
    </w:rPr>
  </w:style>
  <w:style w:type="paragraph" w:styleId="TOC1">
    <w:name w:val="toc 1"/>
    <w:basedOn w:val="a"/>
    <w:next w:val="a"/>
    <w:uiPriority w:val="99"/>
    <w:unhideWhenUsed/>
    <w:qFormat/>
    <w:pPr>
      <w:widowControl/>
      <w:spacing w:after="100" w:line="259" w:lineRule="auto"/>
      <w:jc w:val="left"/>
    </w:pPr>
    <w:rPr>
      <w:rFonts w:ascii="Calibri" w:hAnsi="Calibri"/>
      <w:sz w:val="22"/>
      <w:szCs w:val="22"/>
    </w:rPr>
  </w:style>
  <w:style w:type="paragraph" w:styleId="a3">
    <w:name w:val="List Paragraph"/>
    <w:basedOn w:val="a"/>
    <w:uiPriority w:val="1"/>
    <w:qFormat/>
    <w:pPr>
      <w:ind w:righ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不要惹我</dc:creator>
  <cp:lastModifiedBy>Administrator</cp:lastModifiedBy>
  <cp:revision>3</cp:revision>
  <dcterms:created xsi:type="dcterms:W3CDTF">2025-01-22T01:55:00Z</dcterms:created>
  <dcterms:modified xsi:type="dcterms:W3CDTF">2025-01-22T01:57:00Z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73080E6171E640F09EEB0EC17462015C_11</vt:lpwstr>
  </property>
  <property fmtid="{D5CDD505-2E9C-101B-9397-08002B2CF9AE}" pid="4" name="KSOTemplateDocerSaveRecord">
    <vt:lpwstr>eyJoZGlkIjoiMTgwNTY5ODc5MWNkM2UxMGFkZWE2OWQzNzVkOTA1MDEiLCJ1c2VySWQiOiIxNTgyNzY4Nzg2In0=</vt:lpwstr>
  </property>
</Properties>
</file>