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35697">
      <w:pPr>
        <w:widowControl w:val="0"/>
        <w:spacing w:line="360" w:lineRule="auto"/>
        <w:jc w:val="both"/>
        <w:rPr>
          <w:rFonts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附件：</w:t>
      </w:r>
    </w:p>
    <w:p w14:paraId="684F0960">
      <w:pPr>
        <w:spacing w:line="360" w:lineRule="auto"/>
        <w:rPr>
          <w:rFonts w:hint="default" w:ascii="宋体" w:hAnsi="宋体" w:eastAsia="宋体"/>
          <w:color w:val="auto"/>
          <w:sz w:val="28"/>
          <w:szCs w:val="28"/>
          <w:highlight w:val="none"/>
          <w:lang w:val="en-US" w:eastAsia="zh-CN"/>
        </w:rPr>
        <w:sectPr>
          <w:pgSz w:w="11906" w:h="16838"/>
          <w:pgMar w:top="1440" w:right="1800" w:bottom="1440" w:left="1800" w:header="851" w:footer="992" w:gutter="0"/>
          <w:cols w:space="720" w:num="1"/>
          <w:docGrid w:type="lines" w:linePitch="312" w:charSpace="0"/>
        </w:sectPr>
      </w:pPr>
      <w:r>
        <w:rPr>
          <w:rFonts w:hint="eastAsia" w:ascii="宋体" w:hAnsi="宋体" w:eastAsia="宋体" w:cs="Times New Roman"/>
          <w:color w:val="auto"/>
          <w:kern w:val="2"/>
          <w:sz w:val="28"/>
          <w:szCs w:val="28"/>
          <w:highlight w:val="none"/>
        </w:rPr>
        <w:t>如有建议或意见，请以书面形式并加盖公章、注明联系人、联系方式，于202</w:t>
      </w:r>
      <w:r>
        <w:rPr>
          <w:rFonts w:hint="eastAsia" w:ascii="宋体" w:hAnsi="宋体" w:eastAsia="宋体" w:cs="Times New Roman"/>
          <w:color w:val="auto"/>
          <w:kern w:val="2"/>
          <w:sz w:val="28"/>
          <w:szCs w:val="28"/>
          <w:highlight w:val="none"/>
          <w:lang w:val="en-US" w:eastAsia="zh-CN"/>
        </w:rPr>
        <w:t>5</w:t>
      </w:r>
      <w:r>
        <w:rPr>
          <w:rFonts w:hint="eastAsia" w:ascii="宋体" w:hAnsi="宋体" w:eastAsia="宋体" w:cs="Times New Roman"/>
          <w:color w:val="auto"/>
          <w:kern w:val="2"/>
          <w:sz w:val="28"/>
          <w:szCs w:val="28"/>
          <w:highlight w:val="none"/>
        </w:rPr>
        <w:t>年</w:t>
      </w:r>
      <w:r>
        <w:rPr>
          <w:rFonts w:hint="eastAsia" w:ascii="宋体" w:hAnsi="宋体" w:eastAsia="宋体" w:cs="Times New Roman"/>
          <w:color w:val="auto"/>
          <w:kern w:val="2"/>
          <w:sz w:val="28"/>
          <w:szCs w:val="28"/>
          <w:highlight w:val="none"/>
          <w:lang w:val="en-US" w:eastAsia="zh-CN"/>
        </w:rPr>
        <w:t>01</w:t>
      </w:r>
      <w:r>
        <w:rPr>
          <w:rFonts w:hint="eastAsia" w:ascii="宋体" w:hAnsi="宋体" w:eastAsia="宋体" w:cs="Times New Roman"/>
          <w:color w:val="auto"/>
          <w:kern w:val="2"/>
          <w:sz w:val="28"/>
          <w:szCs w:val="28"/>
          <w:highlight w:val="none"/>
        </w:rPr>
        <w:t>月</w:t>
      </w:r>
      <w:r>
        <w:rPr>
          <w:rFonts w:hint="eastAsia" w:ascii="宋体" w:hAnsi="宋体" w:cs="Times New Roman"/>
          <w:color w:val="auto"/>
          <w:kern w:val="2"/>
          <w:sz w:val="28"/>
          <w:szCs w:val="28"/>
          <w:highlight w:val="none"/>
          <w:lang w:val="en-US" w:eastAsia="zh-CN"/>
        </w:rPr>
        <w:t>24</w:t>
      </w:r>
      <w:r>
        <w:rPr>
          <w:rFonts w:hint="eastAsia" w:ascii="宋体" w:hAnsi="宋体" w:eastAsia="宋体" w:cs="Times New Roman"/>
          <w:color w:val="auto"/>
          <w:kern w:val="2"/>
          <w:sz w:val="28"/>
          <w:szCs w:val="28"/>
          <w:highlight w:val="none"/>
        </w:rPr>
        <w:t>日1</w:t>
      </w:r>
      <w:r>
        <w:rPr>
          <w:rFonts w:hint="eastAsia" w:ascii="宋体" w:hAnsi="宋体" w:eastAsia="宋体" w:cs="Times New Roman"/>
          <w:color w:val="auto"/>
          <w:kern w:val="2"/>
          <w:sz w:val="28"/>
          <w:szCs w:val="28"/>
          <w:highlight w:val="none"/>
          <w:lang w:val="en-US" w:eastAsia="zh-CN"/>
        </w:rPr>
        <w:t>6</w:t>
      </w:r>
      <w:r>
        <w:rPr>
          <w:rFonts w:hint="eastAsia" w:ascii="宋体" w:hAnsi="宋体" w:eastAsia="宋体" w:cs="Times New Roman"/>
          <w:color w:val="auto"/>
          <w:kern w:val="2"/>
          <w:sz w:val="28"/>
          <w:szCs w:val="28"/>
          <w:highlight w:val="none"/>
        </w:rPr>
        <w:t>:00之前送至我单位，逾期不受理（如邮寄，202</w:t>
      </w:r>
      <w:r>
        <w:rPr>
          <w:rFonts w:hint="eastAsia" w:ascii="宋体" w:hAnsi="宋体" w:eastAsia="宋体" w:cs="Times New Roman"/>
          <w:color w:val="auto"/>
          <w:kern w:val="2"/>
          <w:sz w:val="28"/>
          <w:szCs w:val="28"/>
          <w:highlight w:val="none"/>
          <w:lang w:val="en-US" w:eastAsia="zh-CN"/>
        </w:rPr>
        <w:t>5</w:t>
      </w:r>
      <w:r>
        <w:rPr>
          <w:rFonts w:hint="eastAsia" w:ascii="宋体" w:hAnsi="宋体" w:eastAsia="宋体" w:cs="Times New Roman"/>
          <w:color w:val="auto"/>
          <w:kern w:val="2"/>
          <w:sz w:val="28"/>
          <w:szCs w:val="28"/>
          <w:highlight w:val="none"/>
        </w:rPr>
        <w:t>年</w:t>
      </w:r>
      <w:r>
        <w:rPr>
          <w:rFonts w:hint="eastAsia" w:ascii="宋体" w:hAnsi="宋体" w:eastAsia="宋体" w:cs="Times New Roman"/>
          <w:color w:val="auto"/>
          <w:kern w:val="2"/>
          <w:sz w:val="28"/>
          <w:szCs w:val="28"/>
          <w:highlight w:val="none"/>
          <w:lang w:val="en-US" w:eastAsia="zh-CN"/>
        </w:rPr>
        <w:t>01</w:t>
      </w:r>
      <w:r>
        <w:rPr>
          <w:rFonts w:hint="eastAsia" w:ascii="宋体" w:hAnsi="宋体" w:eastAsia="宋体" w:cs="Times New Roman"/>
          <w:color w:val="auto"/>
          <w:kern w:val="2"/>
          <w:sz w:val="28"/>
          <w:szCs w:val="28"/>
          <w:highlight w:val="none"/>
        </w:rPr>
        <w:t>月</w:t>
      </w:r>
      <w:r>
        <w:rPr>
          <w:rFonts w:hint="eastAsia" w:ascii="宋体" w:hAnsi="宋体" w:cs="Times New Roman"/>
          <w:color w:val="auto"/>
          <w:kern w:val="2"/>
          <w:sz w:val="28"/>
          <w:szCs w:val="28"/>
          <w:highlight w:val="none"/>
          <w:lang w:val="en-US" w:eastAsia="zh-CN"/>
        </w:rPr>
        <w:t>24</w:t>
      </w:r>
      <w:r>
        <w:rPr>
          <w:rFonts w:hint="eastAsia" w:ascii="宋体" w:hAnsi="宋体" w:eastAsia="宋体" w:cs="Times New Roman"/>
          <w:color w:val="auto"/>
          <w:kern w:val="2"/>
          <w:sz w:val="28"/>
          <w:szCs w:val="28"/>
          <w:highlight w:val="none"/>
        </w:rPr>
        <w:t>日1</w:t>
      </w:r>
      <w:r>
        <w:rPr>
          <w:rFonts w:hint="eastAsia" w:ascii="宋体" w:hAnsi="宋体" w:eastAsia="宋体" w:cs="Times New Roman"/>
          <w:color w:val="auto"/>
          <w:kern w:val="2"/>
          <w:sz w:val="28"/>
          <w:szCs w:val="28"/>
          <w:highlight w:val="none"/>
          <w:lang w:val="en-US" w:eastAsia="zh-CN"/>
        </w:rPr>
        <w:t>6</w:t>
      </w:r>
      <w:r>
        <w:rPr>
          <w:rFonts w:hint="eastAsia" w:ascii="宋体" w:hAnsi="宋体" w:eastAsia="宋体" w:cs="Times New Roman"/>
          <w:color w:val="auto"/>
          <w:kern w:val="2"/>
          <w:sz w:val="28"/>
          <w:szCs w:val="28"/>
          <w:highlight w:val="none"/>
        </w:rPr>
        <w:t>:00之后到达本公司的邮件将不再受</w:t>
      </w:r>
      <w:r>
        <w:rPr>
          <w:rFonts w:hint="eastAsia" w:ascii="宋体" w:hAnsi="宋体" w:eastAsia="宋体" w:cs="Times New Roman"/>
          <w:color w:val="auto"/>
          <w:kern w:val="2"/>
          <w:sz w:val="28"/>
          <w:szCs w:val="28"/>
          <w:highlight w:val="none"/>
          <w:lang w:eastAsia="zh-CN"/>
        </w:rPr>
        <w:t>理。）</w:t>
      </w:r>
    </w:p>
    <w:p w14:paraId="7BB8D9A6">
      <w:pPr>
        <w:pStyle w:val="3"/>
      </w:pPr>
      <w:r>
        <w:rPr>
          <w:rFonts w:hint="eastAsia"/>
        </w:rPr>
        <w:t>一、</w:t>
      </w:r>
      <w:r>
        <w:t>采购需求</w:t>
      </w:r>
    </w:p>
    <w:p w14:paraId="65E30A42">
      <w:pPr>
        <w:spacing w:line="360" w:lineRule="auto"/>
        <w:ind w:firstLine="480"/>
        <w:jc w:val="both"/>
        <w:rPr>
          <w:rFonts w:hint="eastAsia" w:ascii="宋体" w:hAnsi="宋体" w:eastAsia="宋体" w:cs="Times New Roman"/>
          <w:b/>
          <w:bCs w:val="0"/>
          <w:kern w:val="0"/>
          <w:sz w:val="24"/>
          <w:szCs w:val="24"/>
          <w:highlight w:val="none"/>
          <w:lang w:val="en-US" w:eastAsia="zh-CN"/>
        </w:rPr>
      </w:pPr>
      <w:r>
        <w:rPr>
          <w:rFonts w:hint="eastAsia" w:ascii="宋体" w:hAnsi="宋体" w:eastAsia="宋体" w:cs="Times New Roman"/>
          <w:b/>
          <w:bCs w:val="0"/>
          <w:kern w:val="0"/>
          <w:sz w:val="24"/>
          <w:szCs w:val="24"/>
          <w:highlight w:val="none"/>
          <w:lang w:val="en-US" w:eastAsia="zh-CN"/>
        </w:rPr>
        <w:t>一、采购标的</w:t>
      </w:r>
    </w:p>
    <w:p w14:paraId="2820F84C">
      <w:pPr>
        <w:spacing w:line="360" w:lineRule="auto"/>
        <w:ind w:firstLine="480"/>
        <w:jc w:val="both"/>
        <w:rPr>
          <w:rFonts w:hint="eastAsia" w:ascii="宋体" w:hAnsi="宋体" w:eastAsia="宋体" w:cs="Times New Roman"/>
          <w:bCs/>
          <w:kern w:val="0"/>
          <w:sz w:val="24"/>
          <w:szCs w:val="24"/>
          <w:highlight w:val="none"/>
          <w:lang w:eastAsia="zh-CN"/>
        </w:rPr>
      </w:pPr>
      <w:r>
        <w:rPr>
          <w:rFonts w:hint="eastAsia" w:ascii="宋体" w:hAnsi="宋体" w:eastAsia="宋体" w:cs="Times New Roman"/>
          <w:bCs/>
          <w:kern w:val="0"/>
          <w:sz w:val="24"/>
          <w:szCs w:val="24"/>
          <w:highlight w:val="none"/>
          <w:lang w:val="en-US" w:eastAsia="zh-CN"/>
        </w:rPr>
        <w:t>1.项目名称：</w:t>
      </w:r>
      <w:r>
        <w:rPr>
          <w:rFonts w:hint="eastAsia" w:ascii="宋体" w:hAnsi="宋体" w:eastAsia="宋体" w:cs="Times New Roman"/>
          <w:bCs/>
          <w:kern w:val="0"/>
          <w:sz w:val="24"/>
          <w:szCs w:val="24"/>
          <w:highlight w:val="none"/>
          <w:lang w:eastAsia="zh-CN"/>
        </w:rPr>
        <w:t>复新河上游等17座水质自动监测站第三方运维</w:t>
      </w:r>
    </w:p>
    <w:p w14:paraId="43C24CD7">
      <w:pPr>
        <w:spacing w:line="360" w:lineRule="auto"/>
        <w:ind w:firstLine="480"/>
        <w:jc w:val="both"/>
        <w:rPr>
          <w:rFonts w:hint="eastAsia" w:ascii="宋体" w:hAnsi="宋体" w:eastAsia="宋体" w:cs="Times New Roman"/>
          <w:b/>
          <w:bCs w:val="0"/>
          <w:kern w:val="0"/>
          <w:sz w:val="24"/>
          <w:szCs w:val="24"/>
          <w:highlight w:val="none"/>
          <w:lang w:val="en-US" w:eastAsia="zh-CN"/>
        </w:rPr>
      </w:pPr>
      <w:r>
        <w:rPr>
          <w:rFonts w:hint="eastAsia" w:ascii="宋体" w:hAnsi="宋体" w:eastAsia="宋体" w:cs="Times New Roman"/>
          <w:bCs/>
          <w:kern w:val="0"/>
          <w:sz w:val="24"/>
          <w:szCs w:val="24"/>
          <w:highlight w:val="none"/>
          <w:lang w:val="en-US" w:eastAsia="zh-CN"/>
        </w:rPr>
        <w:t>2.采购预算：</w:t>
      </w:r>
      <w:bookmarkStart w:id="1" w:name="_GoBack"/>
      <w:r>
        <w:rPr>
          <w:rFonts w:hint="eastAsia" w:ascii="宋体" w:hAnsi="宋体" w:eastAsia="宋体" w:cs="Times New Roman"/>
          <w:b/>
          <w:bCs w:val="0"/>
          <w:kern w:val="0"/>
          <w:sz w:val="24"/>
          <w:szCs w:val="24"/>
          <w:highlight w:val="none"/>
          <w:lang w:val="en-US" w:eastAsia="zh-CN"/>
        </w:rPr>
        <w:t>本项目采购预算为</w:t>
      </w:r>
      <w:r>
        <w:rPr>
          <w:rFonts w:hint="eastAsia" w:ascii="宋体" w:hAnsi="宋体" w:cs="Times New Roman"/>
          <w:b/>
          <w:bCs w:val="0"/>
          <w:kern w:val="0"/>
          <w:sz w:val="24"/>
          <w:szCs w:val="24"/>
          <w:highlight w:val="none"/>
          <w:lang w:val="en-US" w:eastAsia="zh-CN"/>
        </w:rPr>
        <w:t>229.98</w:t>
      </w:r>
      <w:r>
        <w:rPr>
          <w:rFonts w:hint="eastAsia" w:ascii="宋体" w:hAnsi="宋体" w:eastAsia="宋体" w:cs="Times New Roman"/>
          <w:b/>
          <w:bCs w:val="0"/>
          <w:kern w:val="0"/>
          <w:sz w:val="24"/>
          <w:szCs w:val="24"/>
          <w:highlight w:val="none"/>
          <w:lang w:val="en-US" w:eastAsia="zh-CN"/>
        </w:rPr>
        <w:t>万元，其中采购包1：</w:t>
      </w:r>
      <w:r>
        <w:rPr>
          <w:rFonts w:hint="eastAsia" w:ascii="宋体" w:hAnsi="宋体" w:eastAsia="宋体" w:cs="Times New Roman"/>
          <w:b/>
          <w:bCs w:val="0"/>
          <w:kern w:val="0"/>
          <w:sz w:val="24"/>
          <w:szCs w:val="24"/>
          <w:highlight w:val="none"/>
          <w:lang w:eastAsia="zh-CN"/>
        </w:rPr>
        <w:t>复新河上游等</w:t>
      </w:r>
      <w:r>
        <w:rPr>
          <w:rFonts w:hint="eastAsia" w:ascii="宋体" w:hAnsi="宋体" w:eastAsia="宋体" w:cs="Times New Roman"/>
          <w:b/>
          <w:bCs w:val="0"/>
          <w:kern w:val="0"/>
          <w:sz w:val="24"/>
          <w:szCs w:val="24"/>
          <w:highlight w:val="none"/>
          <w:lang w:val="en-US" w:eastAsia="zh-CN"/>
        </w:rPr>
        <w:t>10</w:t>
      </w:r>
      <w:r>
        <w:rPr>
          <w:rFonts w:hint="eastAsia" w:ascii="宋体" w:hAnsi="宋体" w:eastAsia="宋体" w:cs="Times New Roman"/>
          <w:b/>
          <w:bCs w:val="0"/>
          <w:kern w:val="0"/>
          <w:sz w:val="24"/>
          <w:szCs w:val="24"/>
          <w:highlight w:val="none"/>
          <w:lang w:eastAsia="zh-CN"/>
        </w:rPr>
        <w:t>座水质自动监测站第三方运维</w:t>
      </w:r>
      <w:r>
        <w:rPr>
          <w:rFonts w:hint="eastAsia" w:ascii="宋体" w:hAnsi="宋体" w:eastAsia="宋体" w:cs="Times New Roman"/>
          <w:b/>
          <w:bCs w:val="0"/>
          <w:kern w:val="0"/>
          <w:sz w:val="24"/>
          <w:szCs w:val="24"/>
          <w:highlight w:val="none"/>
          <w:lang w:val="en-US" w:eastAsia="zh-CN"/>
        </w:rPr>
        <w:t>预算金额为</w:t>
      </w:r>
      <w:r>
        <w:rPr>
          <w:rFonts w:hint="eastAsia" w:ascii="宋体" w:hAnsi="宋体" w:cs="Times New Roman"/>
          <w:b/>
          <w:bCs w:val="0"/>
          <w:kern w:val="0"/>
          <w:sz w:val="24"/>
          <w:szCs w:val="24"/>
          <w:highlight w:val="none"/>
          <w:lang w:val="en-US" w:eastAsia="zh-CN"/>
        </w:rPr>
        <w:t>135.28</w:t>
      </w:r>
      <w:r>
        <w:rPr>
          <w:rFonts w:hint="eastAsia" w:ascii="宋体" w:hAnsi="宋体" w:eastAsia="宋体" w:cs="Times New Roman"/>
          <w:b/>
          <w:bCs w:val="0"/>
          <w:kern w:val="0"/>
          <w:sz w:val="24"/>
          <w:szCs w:val="24"/>
          <w:highlight w:val="none"/>
          <w:lang w:val="en-US" w:eastAsia="zh-CN"/>
        </w:rPr>
        <w:t>万元，采购包2：</w:t>
      </w:r>
      <w:r>
        <w:rPr>
          <w:rFonts w:hint="eastAsia" w:ascii="宋体" w:hAnsi="宋体" w:eastAsia="宋体" w:cs="Times New Roman"/>
          <w:b/>
          <w:bCs w:val="0"/>
          <w:kern w:val="0"/>
          <w:sz w:val="24"/>
          <w:szCs w:val="24"/>
          <w:highlight w:val="none"/>
          <w:lang w:eastAsia="zh-CN"/>
        </w:rPr>
        <w:t>复新河上游等</w:t>
      </w:r>
      <w:r>
        <w:rPr>
          <w:rFonts w:hint="eastAsia" w:ascii="宋体" w:hAnsi="宋体" w:eastAsia="宋体" w:cs="Times New Roman"/>
          <w:b/>
          <w:bCs w:val="0"/>
          <w:kern w:val="0"/>
          <w:sz w:val="24"/>
          <w:szCs w:val="24"/>
          <w:highlight w:val="none"/>
          <w:lang w:val="en-US" w:eastAsia="zh-CN"/>
        </w:rPr>
        <w:t>7</w:t>
      </w:r>
      <w:r>
        <w:rPr>
          <w:rFonts w:hint="eastAsia" w:ascii="宋体" w:hAnsi="宋体" w:eastAsia="宋体" w:cs="Times New Roman"/>
          <w:b/>
          <w:bCs w:val="0"/>
          <w:kern w:val="0"/>
          <w:sz w:val="24"/>
          <w:szCs w:val="24"/>
          <w:highlight w:val="none"/>
          <w:lang w:eastAsia="zh-CN"/>
        </w:rPr>
        <w:t>座水质自动监测站第三方运维</w:t>
      </w:r>
      <w:r>
        <w:rPr>
          <w:rFonts w:hint="eastAsia" w:ascii="宋体" w:hAnsi="宋体" w:eastAsia="宋体" w:cs="Times New Roman"/>
          <w:b/>
          <w:bCs w:val="0"/>
          <w:kern w:val="0"/>
          <w:sz w:val="24"/>
          <w:szCs w:val="24"/>
          <w:highlight w:val="none"/>
          <w:lang w:val="en-US" w:eastAsia="zh-CN"/>
        </w:rPr>
        <w:t>预算金额为</w:t>
      </w:r>
      <w:r>
        <w:rPr>
          <w:rFonts w:hint="eastAsia" w:ascii="宋体" w:hAnsi="宋体" w:cs="Times New Roman"/>
          <w:b/>
          <w:bCs w:val="0"/>
          <w:kern w:val="0"/>
          <w:sz w:val="24"/>
          <w:szCs w:val="24"/>
          <w:highlight w:val="none"/>
          <w:lang w:val="en-US" w:eastAsia="zh-CN"/>
        </w:rPr>
        <w:t>94.70</w:t>
      </w:r>
      <w:r>
        <w:rPr>
          <w:rFonts w:hint="eastAsia" w:ascii="宋体" w:hAnsi="宋体" w:eastAsia="宋体" w:cs="Times New Roman"/>
          <w:b/>
          <w:bCs w:val="0"/>
          <w:kern w:val="0"/>
          <w:sz w:val="24"/>
          <w:szCs w:val="24"/>
          <w:highlight w:val="none"/>
          <w:lang w:val="en-US" w:eastAsia="zh-CN"/>
        </w:rPr>
        <w:t>万元。</w:t>
      </w:r>
    </w:p>
    <w:p w14:paraId="71C415B9">
      <w:pPr>
        <w:spacing w:line="360" w:lineRule="auto"/>
        <w:ind w:firstLine="480"/>
        <w:jc w:val="both"/>
        <w:rPr>
          <w:rFonts w:hint="eastAsia" w:ascii="宋体" w:hAnsi="宋体" w:eastAsia="宋体" w:cs="Times New Roman"/>
          <w:bCs/>
          <w:kern w:val="0"/>
          <w:sz w:val="24"/>
          <w:szCs w:val="24"/>
          <w:highlight w:val="none"/>
          <w:lang w:val="en-US" w:eastAsia="zh-CN"/>
        </w:rPr>
      </w:pPr>
      <w:r>
        <w:rPr>
          <w:rFonts w:hint="eastAsia" w:ascii="宋体" w:hAnsi="宋体" w:eastAsia="宋体" w:cs="Times New Roman"/>
          <w:bCs/>
          <w:kern w:val="0"/>
          <w:sz w:val="24"/>
          <w:szCs w:val="24"/>
          <w:highlight w:val="none"/>
          <w:lang w:val="en-US" w:eastAsia="zh-CN"/>
        </w:rPr>
        <w:t>报价包括完成本项目内容所涉及的一切费用。采购人不再支付报价以外的任何费用。</w:t>
      </w:r>
    </w:p>
    <w:p w14:paraId="248E1F79">
      <w:pPr>
        <w:spacing w:line="360" w:lineRule="auto"/>
        <w:ind w:firstLine="480"/>
        <w:jc w:val="both"/>
        <w:rPr>
          <w:rFonts w:hint="default" w:ascii="宋体" w:hAnsi="宋体" w:eastAsia="宋体" w:cs="Times New Roman"/>
          <w:bCs/>
          <w:kern w:val="0"/>
          <w:sz w:val="24"/>
          <w:szCs w:val="24"/>
          <w:highlight w:val="none"/>
          <w:lang w:val="en-US" w:eastAsia="zh-CN"/>
        </w:rPr>
      </w:pPr>
      <w:r>
        <w:rPr>
          <w:rFonts w:hint="eastAsia" w:ascii="宋体" w:hAnsi="宋体" w:eastAsia="宋体" w:cs="Times New Roman"/>
          <w:bCs/>
          <w:kern w:val="0"/>
          <w:sz w:val="24"/>
          <w:szCs w:val="24"/>
          <w:highlight w:val="none"/>
          <w:lang w:val="en-US" w:eastAsia="zh-CN"/>
        </w:rPr>
        <w:t>3.服务期限：自合同签订后1年。</w:t>
      </w:r>
    </w:p>
    <w:p w14:paraId="2FD9F013">
      <w:pPr>
        <w:spacing w:line="360" w:lineRule="auto"/>
        <w:ind w:firstLine="480"/>
        <w:jc w:val="both"/>
        <w:rPr>
          <w:rFonts w:hint="default" w:ascii="宋体" w:hAnsi="宋体" w:eastAsia="宋体" w:cs="Times New Roman"/>
          <w:b/>
          <w:bCs w:val="0"/>
          <w:kern w:val="0"/>
          <w:sz w:val="24"/>
          <w:szCs w:val="24"/>
          <w:highlight w:val="none"/>
          <w:lang w:val="en-US" w:eastAsia="zh-CN"/>
        </w:rPr>
      </w:pPr>
      <w:r>
        <w:rPr>
          <w:rFonts w:hint="eastAsia" w:ascii="宋体" w:hAnsi="宋体" w:eastAsia="宋体" w:cs="Times New Roman"/>
          <w:b/>
          <w:bCs w:val="0"/>
          <w:kern w:val="0"/>
          <w:sz w:val="24"/>
          <w:szCs w:val="24"/>
          <w:highlight w:val="none"/>
          <w:lang w:val="en-US" w:eastAsia="zh-CN"/>
        </w:rPr>
        <w:t>二、采购包1采购需求</w:t>
      </w:r>
    </w:p>
    <w:p w14:paraId="0BD2EA39">
      <w:pPr>
        <w:tabs>
          <w:tab w:val="left" w:pos="2280"/>
        </w:tabs>
        <w:spacing w:line="360" w:lineRule="auto"/>
        <w:contextualSpacing/>
        <w:jc w:val="both"/>
        <w:rPr>
          <w:rFonts w:hint="default" w:ascii="宋体" w:hAnsi="宋体" w:eastAsia="宋体" w:cs="Times New Roman"/>
          <w:b/>
          <w:kern w:val="0"/>
          <w:sz w:val="24"/>
          <w:szCs w:val="24"/>
          <w:highlight w:val="none"/>
          <w:lang w:val="en-US" w:eastAsia="zh-CN"/>
        </w:rPr>
      </w:pPr>
      <w:r>
        <w:rPr>
          <w:rFonts w:hint="eastAsia" w:ascii="宋体" w:hAnsi="宋体" w:eastAsia="宋体" w:cs="Times New Roman"/>
          <w:b/>
          <w:kern w:val="0"/>
          <w:sz w:val="24"/>
          <w:szCs w:val="24"/>
          <w:highlight w:val="none"/>
          <w:lang w:val="en-US" w:eastAsia="zh-CN"/>
        </w:rPr>
        <w:t>1、项目说明</w:t>
      </w:r>
    </w:p>
    <w:p w14:paraId="131A4FC4">
      <w:pPr>
        <w:spacing w:line="360" w:lineRule="auto"/>
        <w:ind w:firstLine="480"/>
        <w:jc w:val="both"/>
        <w:rPr>
          <w:rFonts w:hint="default" w:ascii="宋体" w:hAnsi="宋体" w:eastAsia="宋体" w:cs="Times New Roman"/>
          <w:kern w:val="0"/>
          <w:sz w:val="24"/>
          <w:szCs w:val="24"/>
          <w:highlight w:val="none"/>
        </w:rPr>
      </w:pPr>
      <w:r>
        <w:rPr>
          <w:rFonts w:hint="default" w:ascii="宋体" w:hAnsi="宋体" w:eastAsia="宋体" w:cs="Times New Roman"/>
          <w:bCs/>
          <w:kern w:val="0"/>
          <w:sz w:val="24"/>
          <w:szCs w:val="24"/>
          <w:highlight w:val="none"/>
        </w:rPr>
        <w:t>运行维护</w:t>
      </w:r>
      <w:r>
        <w:rPr>
          <w:rFonts w:hint="default" w:ascii="宋体" w:hAnsi="宋体" w:eastAsia="宋体" w:cs="Times New Roman"/>
          <w:kern w:val="0"/>
          <w:sz w:val="24"/>
          <w:szCs w:val="24"/>
          <w:highlight w:val="none"/>
        </w:rPr>
        <w:t>服务范围包括：各水站所有监测仪器、数据采集与传输设备、辅助设备、防雷、</w:t>
      </w:r>
      <w:r>
        <w:rPr>
          <w:rFonts w:hint="eastAsia" w:ascii="宋体" w:hAnsi="宋体" w:eastAsia="宋体" w:cs="Times New Roman"/>
          <w:kern w:val="0"/>
          <w:sz w:val="24"/>
          <w:szCs w:val="24"/>
          <w:highlight w:val="none"/>
        </w:rPr>
        <w:t>消防、</w:t>
      </w:r>
      <w:r>
        <w:rPr>
          <w:rFonts w:hint="default" w:ascii="宋体" w:hAnsi="宋体" w:eastAsia="宋体" w:cs="Times New Roman"/>
          <w:kern w:val="0"/>
          <w:sz w:val="24"/>
          <w:szCs w:val="24"/>
          <w:highlight w:val="none"/>
        </w:rPr>
        <w:t>通信网络等基础设施的日常维护、质量控制、故障维修、年度检修与预防性维护、检定，同时承担站房网络通讯费用、水电费及站房看护费用等。运维工作应接受</w:t>
      </w:r>
      <w:r>
        <w:rPr>
          <w:rFonts w:hint="eastAsia" w:ascii="宋体" w:hAnsi="宋体" w:eastAsia="宋体" w:cs="宋体"/>
          <w:bCs/>
          <w:color w:val="000000"/>
          <w:kern w:val="0"/>
          <w:sz w:val="24"/>
          <w:szCs w:val="24"/>
          <w:highlight w:val="none"/>
        </w:rPr>
        <w:t>徐州市丰县生态环境局、</w:t>
      </w:r>
      <w:r>
        <w:rPr>
          <w:rFonts w:hint="default" w:ascii="宋体" w:hAnsi="宋体" w:eastAsia="宋体" w:cs="Times New Roman"/>
          <w:kern w:val="0"/>
          <w:sz w:val="24"/>
          <w:szCs w:val="24"/>
          <w:highlight w:val="none"/>
        </w:rPr>
        <w:t>省驻市环境监测中心质量检查和考核，确保</w:t>
      </w:r>
      <w:r>
        <w:rPr>
          <w:rFonts w:hint="eastAsia" w:ascii="宋体" w:hAnsi="宋体" w:eastAsia="宋体" w:cs="Times New Roman"/>
          <w:kern w:val="0"/>
          <w:sz w:val="24"/>
          <w:szCs w:val="24"/>
          <w:highlight w:val="none"/>
        </w:rPr>
        <w:t>水站</w:t>
      </w:r>
      <w:r>
        <w:rPr>
          <w:rFonts w:hint="default" w:ascii="宋体" w:hAnsi="宋体" w:eastAsia="宋体" w:cs="Times New Roman"/>
          <w:kern w:val="0"/>
          <w:sz w:val="24"/>
          <w:szCs w:val="24"/>
          <w:highlight w:val="none"/>
        </w:rPr>
        <w:t>各项监测仪器正常稳定运行并与相关生态环境部门正常联网。</w:t>
      </w:r>
    </w:p>
    <w:p w14:paraId="0F34BC2B">
      <w:pPr>
        <w:spacing w:line="360" w:lineRule="auto"/>
        <w:jc w:val="both"/>
        <w:rPr>
          <w:rFonts w:hint="default" w:ascii="宋体" w:hAnsi="宋体" w:eastAsia="宋体" w:cs="Times New Roman"/>
          <w:kern w:val="0"/>
          <w:sz w:val="24"/>
          <w:szCs w:val="24"/>
          <w:highlight w:val="none"/>
        </w:rPr>
      </w:pPr>
      <w:r>
        <w:rPr>
          <w:rFonts w:hint="eastAsia" w:ascii="宋体" w:hAnsi="宋体" w:eastAsia="宋体" w:cs="Times New Roman"/>
          <w:bCs/>
          <w:kern w:val="0"/>
          <w:sz w:val="24"/>
          <w:szCs w:val="24"/>
          <w:highlight w:val="none"/>
          <w:lang w:val="en-US" w:eastAsia="zh-CN"/>
        </w:rPr>
        <w:t>2、</w:t>
      </w:r>
      <w:r>
        <w:rPr>
          <w:rFonts w:hint="eastAsia" w:ascii="宋体" w:hAnsi="宋体" w:eastAsia="宋体" w:cs="Times New Roman"/>
          <w:kern w:val="0"/>
          <w:sz w:val="24"/>
          <w:szCs w:val="24"/>
          <w:highlight w:val="none"/>
        </w:rPr>
        <w:t>具体站点情况</w:t>
      </w:r>
    </w:p>
    <w:p w14:paraId="128971B4">
      <w:pPr>
        <w:tabs>
          <w:tab w:val="left" w:pos="2280"/>
        </w:tabs>
        <w:spacing w:line="360" w:lineRule="auto"/>
        <w:contextualSpacing/>
        <w:jc w:val="both"/>
        <w:rPr>
          <w:rFonts w:hint="default" w:ascii="Times New Roman" w:hAnsi="Times New Roman" w:eastAsia="宋体" w:cs="Times New Roman"/>
          <w:b/>
          <w:kern w:val="0"/>
          <w:sz w:val="24"/>
          <w:szCs w:val="24"/>
          <w:highlight w:val="none"/>
        </w:rPr>
      </w:pPr>
      <w:r>
        <w:rPr>
          <w:rFonts w:hint="eastAsia" w:ascii="宋体" w:hAnsi="宋体" w:eastAsia="宋体" w:cs="Times New Roman"/>
          <w:b/>
          <w:kern w:val="0"/>
          <w:sz w:val="24"/>
          <w:szCs w:val="24"/>
          <w:highlight w:val="none"/>
          <w:lang w:val="en-US" w:eastAsia="zh-CN"/>
        </w:rPr>
        <w:t>2.1</w:t>
      </w:r>
      <w:r>
        <w:rPr>
          <w:rFonts w:hint="eastAsia" w:ascii="宋体" w:hAnsi="宋体" w:eastAsia="宋体" w:cs="Times New Roman"/>
          <w:b/>
          <w:kern w:val="0"/>
          <w:sz w:val="24"/>
          <w:szCs w:val="24"/>
          <w:highlight w:val="none"/>
          <w:lang w:eastAsia="zh-CN"/>
        </w:rPr>
        <w:t>站点</w:t>
      </w:r>
      <w:r>
        <w:rPr>
          <w:rFonts w:hint="default" w:ascii="宋体" w:hAnsi="宋体" w:eastAsia="宋体" w:cs="Times New Roman"/>
          <w:b/>
          <w:kern w:val="0"/>
          <w:sz w:val="24"/>
          <w:szCs w:val="24"/>
          <w:highlight w:val="none"/>
        </w:rPr>
        <w:t>情况</w:t>
      </w:r>
    </w:p>
    <w:p w14:paraId="527446B2">
      <w:pPr>
        <w:bidi w:val="0"/>
        <w:rPr>
          <w:rFonts w:hint="eastAsia" w:ascii="Times New Roman" w:hAnsi="Times New Roman" w:eastAsia="宋体" w:cs="Times New Roman"/>
          <w:b/>
          <w:bCs/>
          <w:kern w:val="0"/>
          <w:sz w:val="24"/>
          <w:szCs w:val="24"/>
          <w:highlight w:val="none"/>
          <w:lang w:val="en-US" w:eastAsia="zh-CN"/>
        </w:rPr>
      </w:pPr>
      <w:r>
        <w:rPr>
          <w:rFonts w:hint="eastAsia" w:cs="Times New Roman"/>
          <w:b/>
          <w:bCs/>
          <w:kern w:val="0"/>
          <w:sz w:val="24"/>
          <w:szCs w:val="24"/>
          <w:highlight w:val="none"/>
          <w:lang w:val="en-US" w:eastAsia="zh-CN"/>
        </w:rPr>
        <w:t>2</w:t>
      </w:r>
      <w:r>
        <w:rPr>
          <w:rFonts w:hint="eastAsia" w:ascii="Times New Roman" w:hAnsi="Times New Roman" w:eastAsia="宋体" w:cs="Times New Roman"/>
          <w:b/>
          <w:bCs/>
          <w:kern w:val="0"/>
          <w:sz w:val="24"/>
          <w:szCs w:val="24"/>
          <w:highlight w:val="none"/>
          <w:lang w:val="en-US" w:eastAsia="zh-CN"/>
        </w:rPr>
        <w:t>.1 具体站点情况</w:t>
      </w:r>
    </w:p>
    <w:p w14:paraId="52ABD0BB">
      <w:pPr>
        <w:tabs>
          <w:tab w:val="left" w:pos="2280"/>
        </w:tabs>
        <w:spacing w:line="440" w:lineRule="exact"/>
        <w:ind w:firstLine="480"/>
        <w:contextualSpacing/>
        <w:rPr>
          <w:rFonts w:hint="default" w:ascii="Times New Roman" w:hAnsi="Times New Roman" w:eastAsia="宋体" w:cs="Times New Roman"/>
          <w:kern w:val="0"/>
          <w:sz w:val="24"/>
          <w:szCs w:val="20"/>
          <w:highlight w:val="none"/>
        </w:rPr>
      </w:pPr>
      <w:r>
        <w:rPr>
          <w:rFonts w:hint="default" w:ascii="Times New Roman" w:hAnsi="Times New Roman" w:eastAsia="宋体" w:cs="Times New Roman"/>
          <w:kern w:val="0"/>
          <w:sz w:val="24"/>
          <w:szCs w:val="20"/>
          <w:highlight w:val="none"/>
        </w:rPr>
        <w:t>本次采购的项目</w:t>
      </w:r>
      <w:r>
        <w:rPr>
          <w:rFonts w:hint="eastAsia" w:ascii="Times New Roman" w:hAnsi="Times New Roman" w:eastAsia="宋体" w:cs="Times New Roman"/>
          <w:kern w:val="0"/>
          <w:sz w:val="24"/>
          <w:szCs w:val="20"/>
          <w:highlight w:val="none"/>
        </w:rPr>
        <w:t>内容</w:t>
      </w:r>
      <w:r>
        <w:rPr>
          <w:rFonts w:hint="default" w:ascii="Times New Roman" w:hAnsi="Times New Roman" w:eastAsia="宋体" w:cs="Times New Roman"/>
          <w:kern w:val="0"/>
          <w:sz w:val="24"/>
          <w:szCs w:val="20"/>
          <w:highlight w:val="none"/>
        </w:rPr>
        <w:t>为10</w:t>
      </w:r>
      <w:r>
        <w:rPr>
          <w:rFonts w:hint="eastAsia" w:ascii="Times New Roman" w:hAnsi="Times New Roman" w:eastAsia="宋体" w:cs="Times New Roman"/>
          <w:kern w:val="0"/>
          <w:sz w:val="24"/>
          <w:szCs w:val="20"/>
          <w:highlight w:val="none"/>
        </w:rPr>
        <w:t>个水站的运行维护</w:t>
      </w:r>
      <w:r>
        <w:rPr>
          <w:rFonts w:hint="default" w:ascii="Times New Roman" w:hAnsi="Times New Roman" w:eastAsia="宋体" w:cs="Times New Roman"/>
          <w:kern w:val="0"/>
          <w:sz w:val="24"/>
          <w:szCs w:val="20"/>
          <w:highlight w:val="none"/>
        </w:rPr>
        <w:t>。要求</w:t>
      </w:r>
      <w:r>
        <w:rPr>
          <w:rFonts w:hint="eastAsia" w:ascii="Times New Roman" w:hAnsi="Times New Roman" w:eastAsia="宋体" w:cs="Times New Roman"/>
          <w:kern w:val="0"/>
          <w:sz w:val="24"/>
          <w:szCs w:val="20"/>
          <w:highlight w:val="none"/>
          <w:lang w:eastAsia="zh-CN"/>
        </w:rPr>
        <w:t>供应商</w:t>
      </w:r>
      <w:r>
        <w:rPr>
          <w:rFonts w:hint="default" w:ascii="Times New Roman" w:hAnsi="Times New Roman" w:eastAsia="宋体" w:cs="Times New Roman"/>
          <w:kern w:val="0"/>
          <w:sz w:val="24"/>
          <w:szCs w:val="20"/>
          <w:highlight w:val="none"/>
        </w:rPr>
        <w:t>根据招标文件的要求负责水质自动监测系统的运</w:t>
      </w:r>
      <w:r>
        <w:rPr>
          <w:rFonts w:hint="eastAsia" w:ascii="Times New Roman" w:hAnsi="Times New Roman" w:eastAsia="宋体" w:cs="Times New Roman"/>
          <w:kern w:val="0"/>
          <w:sz w:val="24"/>
          <w:szCs w:val="20"/>
          <w:highlight w:val="none"/>
        </w:rPr>
        <w:t>行</w:t>
      </w:r>
      <w:r>
        <w:rPr>
          <w:rFonts w:hint="default" w:ascii="Times New Roman" w:hAnsi="Times New Roman" w:eastAsia="宋体" w:cs="Times New Roman"/>
          <w:kern w:val="0"/>
          <w:sz w:val="24"/>
          <w:szCs w:val="20"/>
          <w:highlight w:val="none"/>
        </w:rPr>
        <w:t>维护及管理工作。具体情况见</w:t>
      </w:r>
      <w:r>
        <w:rPr>
          <w:rFonts w:hint="eastAsia" w:ascii="Times New Roman" w:hAnsi="Times New Roman" w:eastAsia="宋体" w:cs="Times New Roman"/>
          <w:kern w:val="0"/>
          <w:sz w:val="24"/>
          <w:szCs w:val="20"/>
          <w:highlight w:val="none"/>
        </w:rPr>
        <w:t>下</w:t>
      </w:r>
      <w:r>
        <w:rPr>
          <w:rFonts w:hint="default" w:ascii="Times New Roman" w:hAnsi="Times New Roman" w:eastAsia="宋体" w:cs="Times New Roman"/>
          <w:kern w:val="0"/>
          <w:sz w:val="24"/>
          <w:szCs w:val="20"/>
          <w:highlight w:val="none"/>
        </w:rPr>
        <w:t>表</w:t>
      </w:r>
      <w:r>
        <w:rPr>
          <w:rFonts w:hint="eastAsia" w:ascii="Times New Roman" w:hAnsi="Times New Roman" w:eastAsia="宋体" w:cs="Times New Roman"/>
          <w:kern w:val="0"/>
          <w:sz w:val="24"/>
          <w:szCs w:val="20"/>
          <w:highlight w:val="none"/>
        </w:rPr>
        <w:t>：</w:t>
      </w:r>
    </w:p>
    <w:tbl>
      <w:tblPr>
        <w:tblStyle w:val="6"/>
        <w:tblW w:w="9230" w:type="dxa"/>
        <w:jc w:val="center"/>
        <w:tblLayout w:type="fixed"/>
        <w:tblCellMar>
          <w:top w:w="15" w:type="dxa"/>
          <w:left w:w="108" w:type="dxa"/>
          <w:bottom w:w="15" w:type="dxa"/>
          <w:right w:w="108" w:type="dxa"/>
        </w:tblCellMar>
      </w:tblPr>
      <w:tblGrid>
        <w:gridCol w:w="709"/>
        <w:gridCol w:w="1866"/>
        <w:gridCol w:w="6655"/>
      </w:tblGrid>
      <w:tr w14:paraId="115914B5">
        <w:tblPrEx>
          <w:tblCellMar>
            <w:top w:w="15" w:type="dxa"/>
            <w:left w:w="108" w:type="dxa"/>
            <w:bottom w:w="15" w:type="dxa"/>
            <w:right w:w="108" w:type="dxa"/>
          </w:tblCellMar>
        </w:tblPrEx>
        <w:trPr>
          <w:trHeight w:val="486"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AC96A72">
            <w:pPr>
              <w:widowControl/>
              <w:jc w:val="center"/>
              <w:rPr>
                <w:rFonts w:hint="default"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序号</w:t>
            </w:r>
          </w:p>
        </w:tc>
        <w:tc>
          <w:tcPr>
            <w:tcW w:w="1866" w:type="dxa"/>
            <w:tcBorders>
              <w:top w:val="single" w:color="auto" w:sz="4" w:space="0"/>
              <w:left w:val="single" w:color="auto" w:sz="4" w:space="0"/>
              <w:bottom w:val="nil"/>
              <w:right w:val="single" w:color="auto" w:sz="4" w:space="0"/>
            </w:tcBorders>
            <w:noWrap/>
            <w:vAlign w:val="center"/>
          </w:tcPr>
          <w:p w14:paraId="6C08EB45">
            <w:pPr>
              <w:widowControl/>
              <w:jc w:val="center"/>
              <w:rPr>
                <w:rFonts w:hint="default"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站点名称</w:t>
            </w:r>
          </w:p>
        </w:tc>
        <w:tc>
          <w:tcPr>
            <w:tcW w:w="6655" w:type="dxa"/>
            <w:tcBorders>
              <w:top w:val="single" w:color="auto" w:sz="4" w:space="0"/>
              <w:left w:val="single" w:color="auto" w:sz="4" w:space="0"/>
              <w:bottom w:val="single" w:color="auto" w:sz="4" w:space="0"/>
              <w:right w:val="single" w:color="auto" w:sz="4" w:space="0"/>
            </w:tcBorders>
            <w:noWrap/>
            <w:vAlign w:val="center"/>
          </w:tcPr>
          <w:p w14:paraId="5281DAB5">
            <w:pPr>
              <w:widowControl/>
              <w:jc w:val="center"/>
              <w:rPr>
                <w:rFonts w:hint="default" w:ascii="宋体" w:hAnsi="宋体" w:eastAsia="宋体" w:cs="宋体"/>
                <w:kern w:val="0"/>
                <w:sz w:val="20"/>
                <w:szCs w:val="20"/>
                <w:highlight w:val="none"/>
              </w:rPr>
            </w:pPr>
            <w:r>
              <w:rPr>
                <w:rFonts w:hint="eastAsia" w:ascii="Times New Roman" w:hAnsi="Times New Roman" w:eastAsia="宋体" w:cs="Times New Roman"/>
                <w:kern w:val="0"/>
                <w:sz w:val="20"/>
                <w:szCs w:val="20"/>
                <w:highlight w:val="none"/>
              </w:rPr>
              <w:t>监测</w:t>
            </w:r>
            <w:r>
              <w:rPr>
                <w:rFonts w:hint="default" w:ascii="Times New Roman" w:hAnsi="Times New Roman" w:eastAsia="宋体" w:cs="Times New Roman"/>
                <w:kern w:val="0"/>
                <w:sz w:val="20"/>
                <w:szCs w:val="20"/>
                <w:highlight w:val="none"/>
              </w:rPr>
              <w:t>参数</w:t>
            </w:r>
          </w:p>
        </w:tc>
      </w:tr>
      <w:tr w14:paraId="651D273F">
        <w:tblPrEx>
          <w:tblCellMar>
            <w:top w:w="15" w:type="dxa"/>
            <w:left w:w="108" w:type="dxa"/>
            <w:bottom w:w="15"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388C6449">
            <w:pPr>
              <w:widowControl/>
              <w:jc w:val="center"/>
              <w:rPr>
                <w:rFonts w:hint="default"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1</w:t>
            </w:r>
          </w:p>
        </w:tc>
        <w:tc>
          <w:tcPr>
            <w:tcW w:w="1866" w:type="dxa"/>
            <w:tcBorders>
              <w:top w:val="single" w:color="auto" w:sz="4" w:space="0"/>
              <w:left w:val="single" w:color="auto" w:sz="4" w:space="0"/>
              <w:bottom w:val="single" w:color="auto" w:sz="4" w:space="0"/>
              <w:right w:val="single" w:color="auto" w:sz="4" w:space="0"/>
            </w:tcBorders>
            <w:noWrap w:val="0"/>
            <w:vAlign w:val="center"/>
          </w:tcPr>
          <w:p w14:paraId="6B5F919A">
            <w:pPr>
              <w:widowControl/>
              <w:jc w:val="center"/>
              <w:rPr>
                <w:rFonts w:hint="default"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复新河李楼闸</w:t>
            </w:r>
          </w:p>
        </w:tc>
        <w:tc>
          <w:tcPr>
            <w:tcW w:w="6655" w:type="dxa"/>
            <w:tcBorders>
              <w:top w:val="single" w:color="auto" w:sz="4" w:space="0"/>
              <w:left w:val="single" w:color="auto" w:sz="4" w:space="0"/>
              <w:bottom w:val="single" w:color="auto" w:sz="4" w:space="0"/>
              <w:right w:val="single" w:color="auto" w:sz="4" w:space="0"/>
            </w:tcBorders>
            <w:noWrap w:val="0"/>
            <w:vAlign w:val="center"/>
          </w:tcPr>
          <w:p w14:paraId="31055E72">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水温、pH、溶解氧、电导率、浊度、高锰酸盐指数、氨氮、总磷、总氮</w:t>
            </w:r>
          </w:p>
        </w:tc>
      </w:tr>
      <w:tr w14:paraId="4D1684C1">
        <w:tblPrEx>
          <w:tblCellMar>
            <w:top w:w="15" w:type="dxa"/>
            <w:left w:w="108" w:type="dxa"/>
            <w:bottom w:w="15" w:type="dxa"/>
            <w:right w:w="108" w:type="dxa"/>
          </w:tblCellMar>
        </w:tblPrEx>
        <w:trPr>
          <w:trHeight w:val="25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5C8553DD">
            <w:pPr>
              <w:widowControl/>
              <w:jc w:val="center"/>
              <w:rPr>
                <w:rFonts w:hint="default"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2</w:t>
            </w:r>
          </w:p>
        </w:tc>
        <w:tc>
          <w:tcPr>
            <w:tcW w:w="1866" w:type="dxa"/>
            <w:tcBorders>
              <w:top w:val="single" w:color="auto" w:sz="4" w:space="0"/>
              <w:left w:val="single" w:color="auto" w:sz="4" w:space="0"/>
              <w:bottom w:val="single" w:color="auto" w:sz="4" w:space="0"/>
              <w:right w:val="single" w:color="auto" w:sz="4" w:space="0"/>
            </w:tcBorders>
            <w:noWrap w:val="0"/>
            <w:vAlign w:val="center"/>
          </w:tcPr>
          <w:p w14:paraId="38D01CC5">
            <w:pPr>
              <w:widowControl/>
              <w:jc w:val="center"/>
              <w:rPr>
                <w:rFonts w:hint="default"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子午河</w:t>
            </w:r>
          </w:p>
        </w:tc>
        <w:tc>
          <w:tcPr>
            <w:tcW w:w="6655" w:type="dxa"/>
            <w:tcBorders>
              <w:top w:val="single" w:color="auto" w:sz="4" w:space="0"/>
              <w:left w:val="single" w:color="auto" w:sz="4" w:space="0"/>
              <w:bottom w:val="single" w:color="auto" w:sz="4" w:space="0"/>
              <w:right w:val="single" w:color="auto" w:sz="4" w:space="0"/>
            </w:tcBorders>
            <w:noWrap w:val="0"/>
            <w:vAlign w:val="center"/>
          </w:tcPr>
          <w:p w14:paraId="361B02FA">
            <w:pPr>
              <w:widowControl/>
              <w:jc w:val="center"/>
              <w:rPr>
                <w:rFonts w:hint="default" w:ascii="宋体" w:hAnsi="宋体" w:eastAsia="宋体" w:cs="宋体"/>
                <w:kern w:val="0"/>
                <w:sz w:val="20"/>
                <w:szCs w:val="20"/>
                <w:highlight w:val="none"/>
              </w:rPr>
            </w:pPr>
            <w:r>
              <w:rPr>
                <w:rFonts w:hint="eastAsia" w:ascii="宋体" w:hAnsi="宋体" w:eastAsia="宋体" w:cs="宋体"/>
                <w:kern w:val="0"/>
                <w:sz w:val="20"/>
                <w:szCs w:val="20"/>
                <w:highlight w:val="none"/>
              </w:rPr>
              <w:t>水温、pH、溶解氧、电导率、浊度、高锰酸盐指数、氨氮、总磷、总氮</w:t>
            </w:r>
          </w:p>
        </w:tc>
      </w:tr>
      <w:tr w14:paraId="3BD4E088">
        <w:tblPrEx>
          <w:tblCellMar>
            <w:top w:w="15" w:type="dxa"/>
            <w:left w:w="108" w:type="dxa"/>
            <w:bottom w:w="15" w:type="dxa"/>
            <w:right w:w="108" w:type="dxa"/>
          </w:tblCellMar>
        </w:tblPrEx>
        <w:trPr>
          <w:trHeight w:val="30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1ED0F061">
            <w:pPr>
              <w:widowControl/>
              <w:jc w:val="center"/>
              <w:rPr>
                <w:rFonts w:hint="default"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3</w:t>
            </w:r>
          </w:p>
        </w:tc>
        <w:tc>
          <w:tcPr>
            <w:tcW w:w="1866" w:type="dxa"/>
            <w:tcBorders>
              <w:top w:val="single" w:color="auto" w:sz="4" w:space="0"/>
              <w:left w:val="single" w:color="auto" w:sz="4" w:space="0"/>
              <w:bottom w:val="single" w:color="auto" w:sz="4" w:space="0"/>
              <w:right w:val="single" w:color="auto" w:sz="4" w:space="0"/>
            </w:tcBorders>
            <w:noWrap w:val="0"/>
            <w:vAlign w:val="center"/>
          </w:tcPr>
          <w:p w14:paraId="6B29680B">
            <w:pPr>
              <w:widowControl/>
              <w:jc w:val="center"/>
              <w:rPr>
                <w:rFonts w:hint="default"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丰沛运河</w:t>
            </w:r>
          </w:p>
        </w:tc>
        <w:tc>
          <w:tcPr>
            <w:tcW w:w="6655" w:type="dxa"/>
            <w:tcBorders>
              <w:top w:val="single" w:color="auto" w:sz="4" w:space="0"/>
              <w:left w:val="single" w:color="auto" w:sz="4" w:space="0"/>
              <w:bottom w:val="single" w:color="auto" w:sz="4" w:space="0"/>
              <w:right w:val="single" w:color="auto" w:sz="4" w:space="0"/>
            </w:tcBorders>
            <w:noWrap w:val="0"/>
            <w:vAlign w:val="center"/>
          </w:tcPr>
          <w:p w14:paraId="38FA16D7">
            <w:pPr>
              <w:widowControl/>
              <w:jc w:val="center"/>
              <w:rPr>
                <w:rFonts w:hint="default" w:ascii="宋体" w:hAnsi="宋体" w:eastAsia="宋体" w:cs="宋体"/>
                <w:kern w:val="0"/>
                <w:sz w:val="20"/>
                <w:szCs w:val="20"/>
                <w:highlight w:val="none"/>
              </w:rPr>
            </w:pPr>
            <w:r>
              <w:rPr>
                <w:rFonts w:hint="eastAsia" w:ascii="宋体" w:hAnsi="宋体" w:eastAsia="宋体" w:cs="宋体"/>
                <w:kern w:val="0"/>
                <w:sz w:val="20"/>
                <w:szCs w:val="20"/>
                <w:highlight w:val="none"/>
              </w:rPr>
              <w:t>水温、pH、溶解氧、电导率、浊度、高锰酸盐指数、氨氮、总磷、总氮</w:t>
            </w:r>
          </w:p>
        </w:tc>
      </w:tr>
      <w:tr w14:paraId="31684214">
        <w:tblPrEx>
          <w:tblCellMar>
            <w:top w:w="15" w:type="dxa"/>
            <w:left w:w="108" w:type="dxa"/>
            <w:bottom w:w="15"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2E8D2E5B">
            <w:pPr>
              <w:widowControl/>
              <w:jc w:val="center"/>
              <w:rPr>
                <w:rFonts w:hint="default"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4</w:t>
            </w:r>
          </w:p>
        </w:tc>
        <w:tc>
          <w:tcPr>
            <w:tcW w:w="1866" w:type="dxa"/>
            <w:tcBorders>
              <w:top w:val="single" w:color="auto" w:sz="4" w:space="0"/>
              <w:left w:val="single" w:color="auto" w:sz="4" w:space="0"/>
              <w:bottom w:val="single" w:color="auto" w:sz="4" w:space="0"/>
              <w:right w:val="single" w:color="auto" w:sz="4" w:space="0"/>
            </w:tcBorders>
            <w:noWrap w:val="0"/>
            <w:vAlign w:val="center"/>
          </w:tcPr>
          <w:p w14:paraId="795182B0">
            <w:pPr>
              <w:widowControl/>
              <w:jc w:val="center"/>
              <w:rPr>
                <w:rFonts w:hint="default"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苗河闸</w:t>
            </w:r>
          </w:p>
        </w:tc>
        <w:tc>
          <w:tcPr>
            <w:tcW w:w="6655" w:type="dxa"/>
            <w:tcBorders>
              <w:top w:val="single" w:color="auto" w:sz="4" w:space="0"/>
              <w:left w:val="single" w:color="auto" w:sz="4" w:space="0"/>
              <w:bottom w:val="single" w:color="auto" w:sz="4" w:space="0"/>
              <w:right w:val="single" w:color="auto" w:sz="4" w:space="0"/>
            </w:tcBorders>
            <w:noWrap w:val="0"/>
            <w:vAlign w:val="center"/>
          </w:tcPr>
          <w:p w14:paraId="1F5BDDA1">
            <w:pPr>
              <w:widowControl/>
              <w:jc w:val="center"/>
              <w:rPr>
                <w:rFonts w:hint="default" w:ascii="宋体" w:hAnsi="宋体" w:eastAsia="宋体" w:cs="宋体"/>
                <w:kern w:val="0"/>
                <w:sz w:val="20"/>
                <w:szCs w:val="20"/>
                <w:highlight w:val="none"/>
              </w:rPr>
            </w:pPr>
            <w:r>
              <w:rPr>
                <w:rFonts w:hint="eastAsia" w:ascii="宋体" w:hAnsi="宋体" w:eastAsia="宋体" w:cs="宋体"/>
                <w:kern w:val="0"/>
                <w:sz w:val="20"/>
                <w:szCs w:val="20"/>
                <w:highlight w:val="none"/>
              </w:rPr>
              <w:t>水温、pH、溶解氧、电导率、浊度、高锰酸盐指数、氨氮、总磷、总氮</w:t>
            </w:r>
          </w:p>
        </w:tc>
      </w:tr>
      <w:tr w14:paraId="6329568D">
        <w:tblPrEx>
          <w:tblCellMar>
            <w:top w:w="15" w:type="dxa"/>
            <w:left w:w="108" w:type="dxa"/>
            <w:bottom w:w="15"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413D9AA6">
            <w:pPr>
              <w:widowControl/>
              <w:jc w:val="center"/>
              <w:rPr>
                <w:rFonts w:hint="default"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5</w:t>
            </w:r>
          </w:p>
        </w:tc>
        <w:tc>
          <w:tcPr>
            <w:tcW w:w="1866" w:type="dxa"/>
            <w:tcBorders>
              <w:top w:val="single" w:color="auto" w:sz="4" w:space="0"/>
              <w:left w:val="single" w:color="auto" w:sz="4" w:space="0"/>
              <w:bottom w:val="single" w:color="auto" w:sz="4" w:space="0"/>
              <w:right w:val="single" w:color="auto" w:sz="4" w:space="0"/>
            </w:tcBorders>
            <w:noWrap w:val="0"/>
            <w:vAlign w:val="center"/>
          </w:tcPr>
          <w:p w14:paraId="3871D191">
            <w:pPr>
              <w:widowControl/>
              <w:jc w:val="center"/>
              <w:rPr>
                <w:rFonts w:hint="default"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复兴河龙雾桥</w:t>
            </w:r>
          </w:p>
        </w:tc>
        <w:tc>
          <w:tcPr>
            <w:tcW w:w="6655" w:type="dxa"/>
            <w:tcBorders>
              <w:top w:val="single" w:color="auto" w:sz="4" w:space="0"/>
              <w:left w:val="single" w:color="auto" w:sz="4" w:space="0"/>
              <w:bottom w:val="single" w:color="auto" w:sz="4" w:space="0"/>
              <w:right w:val="single" w:color="auto" w:sz="4" w:space="0"/>
            </w:tcBorders>
            <w:noWrap w:val="0"/>
            <w:vAlign w:val="center"/>
          </w:tcPr>
          <w:p w14:paraId="70323249">
            <w:pPr>
              <w:widowControl/>
              <w:jc w:val="center"/>
              <w:rPr>
                <w:rFonts w:hint="default" w:ascii="宋体" w:hAnsi="宋体" w:eastAsia="宋体" w:cs="宋体"/>
                <w:kern w:val="0"/>
                <w:sz w:val="20"/>
                <w:szCs w:val="20"/>
                <w:highlight w:val="none"/>
              </w:rPr>
            </w:pPr>
            <w:r>
              <w:rPr>
                <w:rFonts w:hint="eastAsia" w:ascii="宋体" w:hAnsi="宋体" w:eastAsia="宋体" w:cs="宋体"/>
                <w:kern w:val="0"/>
                <w:sz w:val="20"/>
                <w:szCs w:val="20"/>
                <w:highlight w:val="none"/>
              </w:rPr>
              <w:t>水温、pH、溶解氧、电导率、浊度、高锰酸盐指数、氨氮、总磷、总氮</w:t>
            </w:r>
          </w:p>
        </w:tc>
      </w:tr>
      <w:tr w14:paraId="7C1704BD">
        <w:tblPrEx>
          <w:tblCellMar>
            <w:top w:w="15" w:type="dxa"/>
            <w:left w:w="108" w:type="dxa"/>
            <w:bottom w:w="15"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695CFDE1">
            <w:pPr>
              <w:widowControl/>
              <w:jc w:val="center"/>
              <w:rPr>
                <w:rFonts w:hint="default"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6</w:t>
            </w:r>
          </w:p>
        </w:tc>
        <w:tc>
          <w:tcPr>
            <w:tcW w:w="1866" w:type="dxa"/>
            <w:tcBorders>
              <w:top w:val="single" w:color="auto" w:sz="4" w:space="0"/>
              <w:left w:val="single" w:color="auto" w:sz="4" w:space="0"/>
              <w:bottom w:val="single" w:color="auto" w:sz="4" w:space="0"/>
              <w:right w:val="single" w:color="auto" w:sz="4" w:space="0"/>
            </w:tcBorders>
            <w:noWrap w:val="0"/>
            <w:vAlign w:val="center"/>
          </w:tcPr>
          <w:p w14:paraId="74153539">
            <w:pPr>
              <w:widowControl/>
              <w:jc w:val="center"/>
              <w:rPr>
                <w:rFonts w:hint="default"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复新河常店王楼</w:t>
            </w:r>
          </w:p>
        </w:tc>
        <w:tc>
          <w:tcPr>
            <w:tcW w:w="6655" w:type="dxa"/>
            <w:tcBorders>
              <w:top w:val="single" w:color="auto" w:sz="4" w:space="0"/>
              <w:left w:val="single" w:color="auto" w:sz="4" w:space="0"/>
              <w:bottom w:val="single" w:color="auto" w:sz="4" w:space="0"/>
              <w:right w:val="single" w:color="auto" w:sz="4" w:space="0"/>
            </w:tcBorders>
            <w:noWrap w:val="0"/>
            <w:vAlign w:val="center"/>
          </w:tcPr>
          <w:p w14:paraId="6C63AB98">
            <w:pPr>
              <w:widowControl/>
              <w:jc w:val="center"/>
              <w:rPr>
                <w:rFonts w:hint="default" w:ascii="宋体" w:hAnsi="宋体" w:eastAsia="宋体" w:cs="宋体"/>
                <w:kern w:val="0"/>
                <w:sz w:val="20"/>
                <w:szCs w:val="20"/>
                <w:highlight w:val="none"/>
              </w:rPr>
            </w:pPr>
            <w:r>
              <w:rPr>
                <w:rFonts w:hint="eastAsia" w:ascii="宋体" w:hAnsi="宋体" w:eastAsia="宋体" w:cs="宋体"/>
                <w:kern w:val="0"/>
                <w:sz w:val="20"/>
                <w:szCs w:val="20"/>
                <w:highlight w:val="none"/>
              </w:rPr>
              <w:t>水温、pH、高锰酸盐指数、氨氮、总磷</w:t>
            </w:r>
          </w:p>
        </w:tc>
      </w:tr>
      <w:tr w14:paraId="3960CF46">
        <w:tblPrEx>
          <w:tblCellMar>
            <w:top w:w="15" w:type="dxa"/>
            <w:left w:w="108" w:type="dxa"/>
            <w:bottom w:w="15"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3D577762">
            <w:pPr>
              <w:widowControl/>
              <w:jc w:val="center"/>
              <w:rPr>
                <w:rFonts w:hint="default"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7</w:t>
            </w:r>
          </w:p>
        </w:tc>
        <w:tc>
          <w:tcPr>
            <w:tcW w:w="1866" w:type="dxa"/>
            <w:tcBorders>
              <w:top w:val="single" w:color="auto" w:sz="4" w:space="0"/>
              <w:left w:val="single" w:color="auto" w:sz="4" w:space="0"/>
              <w:bottom w:val="single" w:color="auto" w:sz="4" w:space="0"/>
              <w:right w:val="single" w:color="auto" w:sz="4" w:space="0"/>
            </w:tcBorders>
            <w:noWrap w:val="0"/>
            <w:vAlign w:val="center"/>
          </w:tcPr>
          <w:p w14:paraId="71E6CE8A">
            <w:pPr>
              <w:widowControl/>
              <w:jc w:val="center"/>
              <w:rPr>
                <w:rFonts w:hint="default"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复兴河巩桥</w:t>
            </w:r>
          </w:p>
        </w:tc>
        <w:tc>
          <w:tcPr>
            <w:tcW w:w="6655" w:type="dxa"/>
            <w:tcBorders>
              <w:top w:val="single" w:color="auto" w:sz="4" w:space="0"/>
              <w:left w:val="single" w:color="auto" w:sz="4" w:space="0"/>
              <w:bottom w:val="single" w:color="auto" w:sz="4" w:space="0"/>
              <w:right w:val="single" w:color="auto" w:sz="4" w:space="0"/>
            </w:tcBorders>
            <w:noWrap w:val="0"/>
            <w:vAlign w:val="center"/>
          </w:tcPr>
          <w:p w14:paraId="0F3454B5">
            <w:pPr>
              <w:widowControl/>
              <w:jc w:val="center"/>
              <w:rPr>
                <w:rFonts w:hint="default" w:ascii="宋体" w:hAnsi="宋体" w:eastAsia="宋体" w:cs="宋体"/>
                <w:kern w:val="0"/>
                <w:sz w:val="20"/>
                <w:szCs w:val="20"/>
                <w:highlight w:val="none"/>
              </w:rPr>
            </w:pPr>
            <w:r>
              <w:rPr>
                <w:rFonts w:hint="eastAsia" w:ascii="宋体" w:hAnsi="宋体" w:eastAsia="宋体" w:cs="宋体"/>
                <w:kern w:val="0"/>
                <w:sz w:val="20"/>
                <w:szCs w:val="20"/>
                <w:highlight w:val="none"/>
              </w:rPr>
              <w:t>水温、pH、高锰酸盐指数、氨氮、总磷</w:t>
            </w:r>
          </w:p>
        </w:tc>
      </w:tr>
      <w:tr w14:paraId="075720AA">
        <w:tblPrEx>
          <w:tblCellMar>
            <w:top w:w="15" w:type="dxa"/>
            <w:left w:w="108" w:type="dxa"/>
            <w:bottom w:w="15"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143115ED">
            <w:pPr>
              <w:widowControl/>
              <w:jc w:val="center"/>
              <w:rPr>
                <w:rFonts w:hint="default"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8</w:t>
            </w:r>
          </w:p>
        </w:tc>
        <w:tc>
          <w:tcPr>
            <w:tcW w:w="1866" w:type="dxa"/>
            <w:tcBorders>
              <w:top w:val="single" w:color="auto" w:sz="4" w:space="0"/>
              <w:left w:val="single" w:color="auto" w:sz="4" w:space="0"/>
              <w:bottom w:val="single" w:color="auto" w:sz="4" w:space="0"/>
              <w:right w:val="single" w:color="auto" w:sz="4" w:space="0"/>
            </w:tcBorders>
            <w:noWrap w:val="0"/>
            <w:vAlign w:val="center"/>
          </w:tcPr>
          <w:p w14:paraId="45988ECB">
            <w:pPr>
              <w:widowControl/>
              <w:jc w:val="center"/>
              <w:rPr>
                <w:rFonts w:hint="default"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白帝河观澜郡</w:t>
            </w:r>
          </w:p>
        </w:tc>
        <w:tc>
          <w:tcPr>
            <w:tcW w:w="6655" w:type="dxa"/>
            <w:tcBorders>
              <w:top w:val="single" w:color="auto" w:sz="4" w:space="0"/>
              <w:left w:val="single" w:color="auto" w:sz="4" w:space="0"/>
              <w:bottom w:val="single" w:color="auto" w:sz="4" w:space="0"/>
              <w:right w:val="single" w:color="auto" w:sz="4" w:space="0"/>
            </w:tcBorders>
            <w:noWrap w:val="0"/>
            <w:vAlign w:val="center"/>
          </w:tcPr>
          <w:p w14:paraId="4D3D201A">
            <w:pPr>
              <w:widowControl/>
              <w:jc w:val="center"/>
              <w:rPr>
                <w:rFonts w:hint="default" w:ascii="宋体" w:hAnsi="宋体" w:eastAsia="宋体" w:cs="宋体"/>
                <w:kern w:val="0"/>
                <w:sz w:val="20"/>
                <w:szCs w:val="20"/>
                <w:highlight w:val="none"/>
              </w:rPr>
            </w:pPr>
            <w:r>
              <w:rPr>
                <w:rFonts w:hint="eastAsia" w:ascii="宋体" w:hAnsi="宋体" w:eastAsia="宋体" w:cs="宋体"/>
                <w:kern w:val="0"/>
                <w:sz w:val="20"/>
                <w:szCs w:val="20"/>
                <w:highlight w:val="none"/>
              </w:rPr>
              <w:t>水温、pH、高锰酸盐指数、氨氮、总磷</w:t>
            </w:r>
          </w:p>
        </w:tc>
      </w:tr>
      <w:tr w14:paraId="05DE1C36">
        <w:tblPrEx>
          <w:tblCellMar>
            <w:top w:w="15" w:type="dxa"/>
            <w:left w:w="108" w:type="dxa"/>
            <w:bottom w:w="15"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711414C6">
            <w:pPr>
              <w:widowControl/>
              <w:jc w:val="center"/>
              <w:rPr>
                <w:rFonts w:hint="default"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9</w:t>
            </w:r>
          </w:p>
        </w:tc>
        <w:tc>
          <w:tcPr>
            <w:tcW w:w="1866" w:type="dxa"/>
            <w:tcBorders>
              <w:top w:val="single" w:color="auto" w:sz="4" w:space="0"/>
              <w:left w:val="single" w:color="auto" w:sz="4" w:space="0"/>
              <w:bottom w:val="single" w:color="auto" w:sz="4" w:space="0"/>
              <w:right w:val="single" w:color="auto" w:sz="4" w:space="0"/>
            </w:tcBorders>
            <w:noWrap w:val="0"/>
            <w:vAlign w:val="center"/>
          </w:tcPr>
          <w:p w14:paraId="12C0DECB">
            <w:pPr>
              <w:widowControl/>
              <w:jc w:val="center"/>
              <w:rPr>
                <w:rFonts w:hint="default"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周迁堤口</w:t>
            </w:r>
          </w:p>
        </w:tc>
        <w:tc>
          <w:tcPr>
            <w:tcW w:w="6655" w:type="dxa"/>
            <w:tcBorders>
              <w:top w:val="single" w:color="auto" w:sz="4" w:space="0"/>
              <w:left w:val="single" w:color="auto" w:sz="4" w:space="0"/>
              <w:bottom w:val="single" w:color="auto" w:sz="4" w:space="0"/>
              <w:right w:val="single" w:color="auto" w:sz="4" w:space="0"/>
            </w:tcBorders>
            <w:noWrap w:val="0"/>
            <w:vAlign w:val="center"/>
          </w:tcPr>
          <w:p w14:paraId="451A0AC6">
            <w:pPr>
              <w:widowControl/>
              <w:jc w:val="center"/>
              <w:rPr>
                <w:rFonts w:hint="default" w:ascii="宋体" w:hAnsi="宋体" w:eastAsia="宋体" w:cs="宋体"/>
                <w:kern w:val="0"/>
                <w:sz w:val="20"/>
                <w:szCs w:val="20"/>
                <w:highlight w:val="none"/>
              </w:rPr>
            </w:pPr>
            <w:r>
              <w:rPr>
                <w:rFonts w:hint="eastAsia" w:ascii="宋体" w:hAnsi="宋体" w:eastAsia="宋体" w:cs="宋体"/>
                <w:kern w:val="0"/>
                <w:sz w:val="20"/>
                <w:szCs w:val="20"/>
                <w:highlight w:val="none"/>
              </w:rPr>
              <w:t>水温、pH、高锰酸盐指数、氨氮、总磷</w:t>
            </w:r>
          </w:p>
        </w:tc>
      </w:tr>
      <w:tr w14:paraId="28FB0077">
        <w:tblPrEx>
          <w:tblCellMar>
            <w:top w:w="15" w:type="dxa"/>
            <w:left w:w="108" w:type="dxa"/>
            <w:bottom w:w="15"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2EE458A8">
            <w:pPr>
              <w:widowControl/>
              <w:jc w:val="center"/>
              <w:rPr>
                <w:rFonts w:hint="eastAsia"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1</w:t>
            </w:r>
            <w:r>
              <w:rPr>
                <w:rFonts w:hint="default" w:ascii="Times New Roman" w:hAnsi="Times New Roman" w:eastAsia="宋体" w:cs="Times New Roman"/>
                <w:kern w:val="0"/>
                <w:sz w:val="20"/>
                <w:szCs w:val="20"/>
                <w:highlight w:val="none"/>
              </w:rPr>
              <w:t>0</w:t>
            </w:r>
          </w:p>
        </w:tc>
        <w:tc>
          <w:tcPr>
            <w:tcW w:w="1866" w:type="dxa"/>
            <w:tcBorders>
              <w:top w:val="single" w:color="auto" w:sz="4" w:space="0"/>
              <w:left w:val="single" w:color="auto" w:sz="4" w:space="0"/>
              <w:bottom w:val="single" w:color="auto" w:sz="4" w:space="0"/>
              <w:right w:val="single" w:color="auto" w:sz="4" w:space="0"/>
            </w:tcBorders>
            <w:noWrap w:val="0"/>
            <w:vAlign w:val="center"/>
          </w:tcPr>
          <w:p w14:paraId="660F5038">
            <w:pPr>
              <w:widowControl/>
              <w:jc w:val="center"/>
              <w:rPr>
                <w:rFonts w:hint="default"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史南河</w:t>
            </w:r>
          </w:p>
        </w:tc>
        <w:tc>
          <w:tcPr>
            <w:tcW w:w="6655" w:type="dxa"/>
            <w:tcBorders>
              <w:top w:val="single" w:color="auto" w:sz="4" w:space="0"/>
              <w:left w:val="single" w:color="auto" w:sz="4" w:space="0"/>
              <w:bottom w:val="single" w:color="auto" w:sz="4" w:space="0"/>
              <w:right w:val="single" w:color="auto" w:sz="4" w:space="0"/>
            </w:tcBorders>
            <w:noWrap w:val="0"/>
            <w:vAlign w:val="center"/>
          </w:tcPr>
          <w:p w14:paraId="2E0AA37C">
            <w:pPr>
              <w:widowControl/>
              <w:jc w:val="center"/>
              <w:rPr>
                <w:rFonts w:hint="default" w:ascii="宋体" w:hAnsi="宋体" w:eastAsia="宋体" w:cs="宋体"/>
                <w:kern w:val="0"/>
                <w:sz w:val="20"/>
                <w:szCs w:val="20"/>
                <w:highlight w:val="none"/>
              </w:rPr>
            </w:pPr>
            <w:r>
              <w:rPr>
                <w:rFonts w:hint="eastAsia" w:ascii="宋体" w:hAnsi="宋体" w:eastAsia="宋体" w:cs="宋体"/>
                <w:kern w:val="0"/>
                <w:sz w:val="20"/>
                <w:szCs w:val="20"/>
                <w:highlight w:val="none"/>
              </w:rPr>
              <w:t>水温、pH、高锰酸盐指数、氨氮、总磷</w:t>
            </w:r>
          </w:p>
        </w:tc>
      </w:tr>
    </w:tbl>
    <w:p w14:paraId="6671D06C">
      <w:pPr>
        <w:bidi w:val="0"/>
        <w:rPr>
          <w:rFonts w:hint="eastAsia" w:ascii="Times New Roman" w:hAnsi="Times New Roman" w:eastAsia="宋体" w:cs="Times New Roman"/>
          <w:b/>
          <w:bCs/>
          <w:kern w:val="0"/>
          <w:sz w:val="24"/>
          <w:szCs w:val="24"/>
          <w:highlight w:val="none"/>
          <w:lang w:val="en-US" w:eastAsia="zh-CN"/>
        </w:rPr>
      </w:pPr>
      <w:r>
        <w:rPr>
          <w:rFonts w:hint="eastAsia" w:cs="Times New Roman"/>
          <w:b/>
          <w:bCs/>
          <w:kern w:val="0"/>
          <w:sz w:val="24"/>
          <w:szCs w:val="24"/>
          <w:highlight w:val="none"/>
          <w:lang w:val="en-US" w:eastAsia="zh-CN"/>
        </w:rPr>
        <w:t>2</w:t>
      </w:r>
      <w:r>
        <w:rPr>
          <w:rFonts w:hint="eastAsia" w:ascii="Times New Roman" w:hAnsi="Times New Roman" w:eastAsia="宋体" w:cs="Times New Roman"/>
          <w:b/>
          <w:bCs/>
          <w:kern w:val="0"/>
          <w:sz w:val="24"/>
          <w:szCs w:val="24"/>
          <w:highlight w:val="none"/>
          <w:lang w:val="en-US" w:eastAsia="zh-CN"/>
        </w:rPr>
        <w:t>.2设备和设施</w:t>
      </w:r>
    </w:p>
    <w:p w14:paraId="7AFDE518">
      <w:pPr>
        <w:tabs>
          <w:tab w:val="left" w:pos="2280"/>
        </w:tabs>
        <w:spacing w:line="560" w:lineRule="exact"/>
        <w:ind w:firstLine="480"/>
        <w:contextualSpacing/>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运维单位负责运维的设备主要包括监测仪器、数据采集与传输设备和辅助设备设施等。其中，监测仪器主要包括：水温、pH、溶解氧、电导率、浊度、高锰酸盐指数、氨氮、总磷</w:t>
      </w:r>
      <w:r>
        <w:rPr>
          <w:rFonts w:hint="eastAsia" w:ascii="宋体" w:hAnsi="宋体" w:eastAsia="宋体" w:cs="Times New Roman"/>
          <w:kern w:val="0"/>
          <w:sz w:val="24"/>
          <w:szCs w:val="24"/>
          <w:highlight w:val="none"/>
        </w:rPr>
        <w:t>八</w:t>
      </w:r>
      <w:r>
        <w:rPr>
          <w:rFonts w:hint="default" w:ascii="宋体" w:hAnsi="宋体" w:eastAsia="宋体" w:cs="Times New Roman"/>
          <w:kern w:val="0"/>
          <w:sz w:val="24"/>
          <w:szCs w:val="24"/>
          <w:highlight w:val="none"/>
        </w:rPr>
        <w:t>项参数辅助设备设施主要包括UPS、供电系统、通讯系统、防雷系统、视频监控系统、安防设施等。</w:t>
      </w:r>
    </w:p>
    <w:p w14:paraId="329FE9C3">
      <w:pPr>
        <w:tabs>
          <w:tab w:val="left" w:pos="2280"/>
        </w:tabs>
        <w:spacing w:line="560" w:lineRule="exact"/>
        <w:contextualSpacing/>
        <w:jc w:val="both"/>
        <w:rPr>
          <w:rFonts w:hint="default" w:ascii="Times New Roman" w:hAnsi="Times New Roman" w:eastAsia="宋体" w:cs="Times New Roman"/>
          <w:b/>
          <w:kern w:val="0"/>
          <w:sz w:val="24"/>
          <w:szCs w:val="24"/>
          <w:highlight w:val="none"/>
        </w:rPr>
      </w:pPr>
      <w:r>
        <w:rPr>
          <w:rFonts w:hint="eastAsia" w:ascii="宋体" w:hAnsi="宋体" w:eastAsia="宋体" w:cs="Times New Roman"/>
          <w:b/>
          <w:kern w:val="0"/>
          <w:sz w:val="24"/>
          <w:szCs w:val="24"/>
          <w:highlight w:val="none"/>
          <w:lang w:val="en-US" w:eastAsia="zh-CN"/>
        </w:rPr>
        <w:t>3、</w:t>
      </w:r>
      <w:r>
        <w:rPr>
          <w:rFonts w:hint="default" w:ascii="宋体" w:hAnsi="宋体" w:eastAsia="宋体" w:cs="Times New Roman"/>
          <w:b/>
          <w:kern w:val="0"/>
          <w:sz w:val="24"/>
          <w:szCs w:val="24"/>
          <w:highlight w:val="none"/>
        </w:rPr>
        <w:t>运行维护要求</w:t>
      </w:r>
    </w:p>
    <w:p w14:paraId="49809472">
      <w:pPr>
        <w:tabs>
          <w:tab w:val="left" w:pos="2280"/>
        </w:tabs>
        <w:spacing w:line="560" w:lineRule="exact"/>
        <w:ind w:firstLine="241"/>
        <w:contextualSpacing/>
        <w:jc w:val="both"/>
        <w:rPr>
          <w:rFonts w:hint="default" w:ascii="Times New Roman" w:hAnsi="Times New Roman" w:eastAsia="宋体" w:cs="Times New Roman"/>
          <w:b/>
          <w:kern w:val="0"/>
          <w:sz w:val="24"/>
          <w:szCs w:val="24"/>
          <w:highlight w:val="none"/>
        </w:rPr>
      </w:pPr>
      <w:r>
        <w:rPr>
          <w:rFonts w:hint="eastAsia" w:ascii="宋体" w:hAnsi="宋体" w:eastAsia="宋体" w:cs="Times New Roman"/>
          <w:b/>
          <w:kern w:val="0"/>
          <w:sz w:val="24"/>
          <w:szCs w:val="24"/>
          <w:highlight w:val="none"/>
          <w:lang w:val="en-US" w:eastAsia="zh-CN"/>
        </w:rPr>
        <w:t>3.1</w:t>
      </w:r>
      <w:r>
        <w:rPr>
          <w:rFonts w:hint="default" w:ascii="宋体" w:hAnsi="宋体" w:eastAsia="宋体" w:cs="Times New Roman"/>
          <w:b/>
          <w:kern w:val="0"/>
          <w:sz w:val="24"/>
          <w:szCs w:val="24"/>
          <w:highlight w:val="none"/>
        </w:rPr>
        <w:t>总体要求</w:t>
      </w:r>
    </w:p>
    <w:p w14:paraId="7B592694">
      <w:pPr>
        <w:tabs>
          <w:tab w:val="left" w:pos="2280"/>
        </w:tabs>
        <w:spacing w:line="560" w:lineRule="exact"/>
        <w:ind w:firstLine="240"/>
        <w:contextualSpacing/>
        <w:jc w:val="both"/>
        <w:rPr>
          <w:rFonts w:hint="default" w:ascii="Times New Roman" w:hAnsi="Times New Roman" w:eastAsia="宋体" w:cs="Times New Roman"/>
          <w:iCs/>
          <w:kern w:val="0"/>
          <w:sz w:val="24"/>
          <w:szCs w:val="24"/>
          <w:highlight w:val="none"/>
        </w:rPr>
      </w:pPr>
      <w:r>
        <w:rPr>
          <w:rFonts w:hint="eastAsia" w:ascii="宋体" w:hAnsi="宋体" w:eastAsia="宋体" w:cs="Times New Roman"/>
          <w:iCs/>
          <w:kern w:val="0"/>
          <w:sz w:val="24"/>
          <w:szCs w:val="24"/>
          <w:highlight w:val="none"/>
          <w:lang w:val="en-US" w:eastAsia="zh-CN"/>
        </w:rPr>
        <w:t>3.1.1</w:t>
      </w:r>
      <w:r>
        <w:rPr>
          <w:rFonts w:hint="eastAsia" w:ascii="宋体" w:hAnsi="宋体" w:eastAsia="宋体" w:cs="Times New Roman"/>
          <w:iCs/>
          <w:kern w:val="0"/>
          <w:sz w:val="24"/>
          <w:szCs w:val="24"/>
          <w:highlight w:val="none"/>
        </w:rPr>
        <w:t>应有足够的</w:t>
      </w:r>
      <w:r>
        <w:rPr>
          <w:rFonts w:hint="default" w:ascii="宋体" w:hAnsi="宋体" w:eastAsia="宋体" w:cs="Times New Roman"/>
          <w:iCs/>
          <w:kern w:val="0"/>
          <w:sz w:val="24"/>
          <w:szCs w:val="24"/>
          <w:highlight w:val="none"/>
        </w:rPr>
        <w:t>资金</w:t>
      </w:r>
      <w:r>
        <w:rPr>
          <w:rFonts w:hint="eastAsia" w:ascii="宋体" w:hAnsi="宋体" w:eastAsia="宋体" w:cs="Times New Roman"/>
          <w:iCs/>
          <w:kern w:val="0"/>
          <w:sz w:val="24"/>
          <w:szCs w:val="24"/>
          <w:highlight w:val="none"/>
        </w:rPr>
        <w:t>保障</w:t>
      </w:r>
      <w:r>
        <w:rPr>
          <w:rFonts w:hint="default" w:ascii="宋体" w:hAnsi="宋体" w:eastAsia="宋体" w:cs="Times New Roman"/>
          <w:iCs/>
          <w:kern w:val="0"/>
          <w:sz w:val="24"/>
          <w:szCs w:val="24"/>
          <w:highlight w:val="none"/>
        </w:rPr>
        <w:t>。</w:t>
      </w:r>
    </w:p>
    <w:p w14:paraId="583D0461">
      <w:pPr>
        <w:tabs>
          <w:tab w:val="left" w:pos="2280"/>
        </w:tabs>
        <w:spacing w:line="560" w:lineRule="exact"/>
        <w:ind w:firstLine="240"/>
        <w:contextualSpacing/>
        <w:jc w:val="both"/>
        <w:rPr>
          <w:rFonts w:hint="default" w:ascii="Times New Roman" w:hAnsi="Times New Roman" w:eastAsia="宋体" w:cs="Times New Roman"/>
          <w:iCs/>
          <w:kern w:val="0"/>
          <w:sz w:val="24"/>
          <w:szCs w:val="24"/>
          <w:highlight w:val="none"/>
        </w:rPr>
      </w:pPr>
      <w:r>
        <w:rPr>
          <w:rFonts w:hint="eastAsia" w:ascii="宋体" w:hAnsi="宋体" w:eastAsia="宋体" w:cs="Times New Roman"/>
          <w:iCs/>
          <w:kern w:val="0"/>
          <w:sz w:val="24"/>
          <w:szCs w:val="24"/>
          <w:highlight w:val="none"/>
          <w:lang w:val="en-US" w:eastAsia="zh-CN"/>
        </w:rPr>
        <w:t>3.1.2</w:t>
      </w:r>
      <w:r>
        <w:rPr>
          <w:rFonts w:hint="default" w:ascii="宋体" w:hAnsi="宋体" w:eastAsia="宋体" w:cs="Times New Roman"/>
          <w:iCs/>
          <w:kern w:val="0"/>
          <w:sz w:val="24"/>
          <w:szCs w:val="24"/>
          <w:highlight w:val="none"/>
        </w:rPr>
        <w:t>在水质自动监测系统运维及管理期间，在合同约束范围内成交单位拥有管理自主权；不能以任何形式外包合同规定的运行维护任务。</w:t>
      </w:r>
    </w:p>
    <w:p w14:paraId="09562B7B">
      <w:pPr>
        <w:tabs>
          <w:tab w:val="left" w:pos="2280"/>
        </w:tabs>
        <w:spacing w:line="560" w:lineRule="exact"/>
        <w:ind w:firstLine="240"/>
        <w:contextualSpacing/>
        <w:jc w:val="both"/>
        <w:rPr>
          <w:rFonts w:hint="default" w:ascii="Times New Roman" w:hAnsi="Times New Roman" w:eastAsia="宋体" w:cs="Times New Roman"/>
          <w:iCs/>
          <w:kern w:val="0"/>
          <w:sz w:val="24"/>
          <w:szCs w:val="24"/>
          <w:highlight w:val="none"/>
        </w:rPr>
      </w:pPr>
      <w:r>
        <w:rPr>
          <w:rFonts w:hint="eastAsia" w:ascii="宋体" w:hAnsi="宋体" w:eastAsia="宋体" w:cs="Times New Roman"/>
          <w:iCs/>
          <w:kern w:val="0"/>
          <w:sz w:val="24"/>
          <w:szCs w:val="24"/>
          <w:highlight w:val="none"/>
          <w:lang w:val="en-US" w:eastAsia="zh-CN"/>
        </w:rPr>
        <w:t>3.1.3</w:t>
      </w:r>
      <w:r>
        <w:rPr>
          <w:rFonts w:hint="default" w:ascii="宋体" w:hAnsi="宋体" w:eastAsia="宋体" w:cs="Times New Roman"/>
          <w:iCs/>
          <w:kern w:val="0"/>
          <w:sz w:val="24"/>
          <w:szCs w:val="24"/>
          <w:highlight w:val="none"/>
        </w:rPr>
        <w:t>在水质自动监测系统运维及管理期间，成交单位应严格按照业主制订的操作规范和规章制度，对所管理的系统及仪器设备进行规范操作和精心维护及必要维修，保证系统及仪器设备的正常运行，达到业主提出的系统及仪器设备考核指标要求。成交单位必须接受</w:t>
      </w:r>
      <w:r>
        <w:rPr>
          <w:rFonts w:hint="eastAsia" w:ascii="宋体" w:hAnsi="宋体" w:eastAsia="宋体" w:cs="宋体"/>
          <w:bCs/>
          <w:color w:val="000000"/>
          <w:kern w:val="0"/>
          <w:sz w:val="24"/>
          <w:szCs w:val="24"/>
          <w:highlight w:val="none"/>
        </w:rPr>
        <w:t>徐州市丰县生态环境局</w:t>
      </w:r>
      <w:r>
        <w:rPr>
          <w:rFonts w:hint="eastAsia" w:ascii="宋体" w:hAnsi="宋体" w:eastAsia="宋体" w:cs="Times New Roman"/>
          <w:iCs/>
          <w:kern w:val="0"/>
          <w:sz w:val="24"/>
          <w:szCs w:val="24"/>
          <w:highlight w:val="none"/>
        </w:rPr>
        <w:t>、</w:t>
      </w:r>
      <w:r>
        <w:rPr>
          <w:rFonts w:hint="default" w:ascii="宋体" w:hAnsi="宋体" w:eastAsia="宋体" w:cs="Times New Roman"/>
          <w:iCs/>
          <w:kern w:val="0"/>
          <w:sz w:val="24"/>
          <w:szCs w:val="24"/>
          <w:highlight w:val="none"/>
        </w:rPr>
        <w:t>驻市监测中心等单位的定期、不定期检查和考核。</w:t>
      </w:r>
    </w:p>
    <w:p w14:paraId="403ABC85">
      <w:pPr>
        <w:tabs>
          <w:tab w:val="left" w:pos="2280"/>
        </w:tabs>
        <w:spacing w:line="560" w:lineRule="exact"/>
        <w:ind w:firstLine="240"/>
        <w:contextualSpacing/>
        <w:jc w:val="both"/>
        <w:rPr>
          <w:rFonts w:hint="default" w:ascii="Times New Roman" w:hAnsi="Times New Roman" w:eastAsia="宋体" w:cs="Times New Roman"/>
          <w:iCs/>
          <w:kern w:val="0"/>
          <w:sz w:val="24"/>
          <w:szCs w:val="24"/>
          <w:highlight w:val="none"/>
        </w:rPr>
      </w:pPr>
      <w:r>
        <w:rPr>
          <w:rFonts w:hint="eastAsia" w:ascii="宋体" w:hAnsi="宋体" w:eastAsia="宋体" w:cs="Times New Roman"/>
          <w:iCs/>
          <w:kern w:val="0"/>
          <w:sz w:val="24"/>
          <w:szCs w:val="24"/>
          <w:highlight w:val="none"/>
          <w:lang w:val="en-US" w:eastAsia="zh-CN"/>
        </w:rPr>
        <w:t>3.1.4</w:t>
      </w:r>
      <w:r>
        <w:rPr>
          <w:rFonts w:hint="eastAsia" w:ascii="宋体" w:hAnsi="宋体" w:eastAsia="宋体" w:cs="Times New Roman"/>
          <w:iCs/>
          <w:kern w:val="0"/>
          <w:sz w:val="24"/>
          <w:szCs w:val="24"/>
          <w:highlight w:val="none"/>
        </w:rPr>
        <w:t>供应商</w:t>
      </w:r>
      <w:r>
        <w:rPr>
          <w:rFonts w:hint="default" w:ascii="宋体" w:hAnsi="宋体" w:eastAsia="宋体" w:cs="Times New Roman"/>
          <w:iCs/>
          <w:kern w:val="0"/>
          <w:sz w:val="24"/>
          <w:szCs w:val="24"/>
          <w:highlight w:val="none"/>
        </w:rPr>
        <w:t>具备一定的监测数据分析能力，能配合</w:t>
      </w:r>
      <w:r>
        <w:rPr>
          <w:rFonts w:hint="eastAsia" w:ascii="宋体" w:hAnsi="宋体" w:eastAsia="宋体" w:cs="宋体"/>
          <w:bCs/>
          <w:color w:val="000000"/>
          <w:kern w:val="0"/>
          <w:sz w:val="24"/>
          <w:szCs w:val="24"/>
          <w:highlight w:val="none"/>
        </w:rPr>
        <w:t>徐州市丰县生态环境局</w:t>
      </w:r>
      <w:r>
        <w:rPr>
          <w:rFonts w:hint="default" w:ascii="宋体" w:hAnsi="宋体" w:eastAsia="宋体" w:cs="Times New Roman"/>
          <w:iCs/>
          <w:kern w:val="0"/>
          <w:sz w:val="24"/>
          <w:szCs w:val="24"/>
          <w:highlight w:val="none"/>
        </w:rPr>
        <w:t>完成各类分析报告的编制工作</w:t>
      </w:r>
      <w:r>
        <w:rPr>
          <w:rFonts w:hint="eastAsia" w:ascii="宋体" w:hAnsi="宋体" w:eastAsia="宋体" w:cs="Times New Roman"/>
          <w:iCs/>
          <w:kern w:val="0"/>
          <w:sz w:val="24"/>
          <w:szCs w:val="24"/>
          <w:highlight w:val="none"/>
        </w:rPr>
        <w:t>，可为环境管理提供技术支撑，</w:t>
      </w:r>
      <w:r>
        <w:rPr>
          <w:rFonts w:hint="default" w:ascii="宋体" w:hAnsi="宋体" w:eastAsia="宋体" w:cs="Times New Roman"/>
          <w:iCs/>
          <w:kern w:val="0"/>
          <w:sz w:val="24"/>
          <w:szCs w:val="24"/>
          <w:highlight w:val="none"/>
        </w:rPr>
        <w:t>承担</w:t>
      </w:r>
      <w:r>
        <w:rPr>
          <w:rFonts w:hint="eastAsia" w:ascii="宋体" w:hAnsi="宋体" w:eastAsia="宋体" w:cs="Times New Roman"/>
          <w:iCs/>
          <w:kern w:val="0"/>
          <w:sz w:val="24"/>
          <w:szCs w:val="24"/>
          <w:highlight w:val="none"/>
        </w:rPr>
        <w:t>过省级及以上</w:t>
      </w:r>
      <w:r>
        <w:rPr>
          <w:rFonts w:hint="default" w:ascii="宋体" w:hAnsi="宋体" w:eastAsia="宋体" w:cs="Times New Roman"/>
          <w:iCs/>
          <w:kern w:val="0"/>
          <w:sz w:val="24"/>
          <w:szCs w:val="24"/>
          <w:highlight w:val="none"/>
        </w:rPr>
        <w:t>环境管理有关的课题</w:t>
      </w:r>
      <w:r>
        <w:rPr>
          <w:rFonts w:hint="eastAsia" w:ascii="宋体" w:hAnsi="宋体" w:eastAsia="宋体" w:cs="Times New Roman"/>
          <w:iCs/>
          <w:kern w:val="0"/>
          <w:sz w:val="24"/>
          <w:szCs w:val="24"/>
          <w:highlight w:val="none"/>
        </w:rPr>
        <w:t>。</w:t>
      </w:r>
    </w:p>
    <w:p w14:paraId="18749AE6">
      <w:pPr>
        <w:tabs>
          <w:tab w:val="left" w:pos="2280"/>
        </w:tabs>
        <w:spacing w:line="360" w:lineRule="auto"/>
        <w:ind w:firstLine="241"/>
        <w:contextualSpacing/>
        <w:jc w:val="both"/>
        <w:rPr>
          <w:rFonts w:hint="default" w:ascii="Times New Roman" w:hAnsi="Times New Roman" w:eastAsia="宋体" w:cs="Times New Roman"/>
          <w:b/>
          <w:kern w:val="0"/>
          <w:sz w:val="24"/>
          <w:szCs w:val="24"/>
          <w:highlight w:val="none"/>
        </w:rPr>
      </w:pPr>
      <w:r>
        <w:rPr>
          <w:rFonts w:hint="eastAsia" w:ascii="宋体" w:hAnsi="宋体" w:eastAsia="宋体" w:cs="Times New Roman"/>
          <w:b/>
          <w:kern w:val="0"/>
          <w:sz w:val="24"/>
          <w:szCs w:val="24"/>
          <w:highlight w:val="none"/>
          <w:lang w:val="en-US" w:eastAsia="zh-CN"/>
        </w:rPr>
        <w:t>3.2</w:t>
      </w:r>
      <w:r>
        <w:rPr>
          <w:rFonts w:hint="default" w:ascii="宋体" w:hAnsi="宋体" w:eastAsia="宋体" w:cs="Times New Roman"/>
          <w:b/>
          <w:kern w:val="0"/>
          <w:sz w:val="24"/>
          <w:szCs w:val="24"/>
          <w:highlight w:val="none"/>
        </w:rPr>
        <w:t>机构、人员、车辆、设备配备要求</w:t>
      </w:r>
    </w:p>
    <w:p w14:paraId="34BCFAFE">
      <w:pPr>
        <w:tabs>
          <w:tab w:val="left" w:pos="2280"/>
        </w:tabs>
        <w:spacing w:line="360" w:lineRule="auto"/>
        <w:ind w:firstLine="480"/>
        <w:contextualSpacing/>
        <w:jc w:val="both"/>
        <w:rPr>
          <w:rFonts w:hint="default" w:ascii="Times New Roman" w:hAnsi="Times New Roman" w:eastAsia="宋体" w:cs="Times New Roman"/>
          <w:iCs/>
          <w:kern w:val="0"/>
          <w:sz w:val="24"/>
          <w:szCs w:val="24"/>
          <w:highlight w:val="none"/>
        </w:rPr>
      </w:pPr>
      <w:r>
        <w:rPr>
          <w:rFonts w:hint="eastAsia" w:ascii="宋体" w:hAnsi="宋体" w:eastAsia="宋体" w:cs="Times New Roman"/>
          <w:iCs/>
          <w:kern w:val="0"/>
          <w:sz w:val="24"/>
          <w:szCs w:val="24"/>
          <w:highlight w:val="none"/>
          <w:lang w:val="en-US" w:eastAsia="zh-CN"/>
        </w:rPr>
        <w:t>3.2.1</w:t>
      </w:r>
      <w:r>
        <w:rPr>
          <w:rFonts w:hint="default" w:ascii="宋体" w:hAnsi="宋体" w:eastAsia="宋体" w:cs="Times New Roman"/>
          <w:iCs/>
          <w:kern w:val="0"/>
          <w:sz w:val="24"/>
          <w:szCs w:val="24"/>
          <w:highlight w:val="none"/>
        </w:rPr>
        <w:t xml:space="preserve"> 运维单位需具备本地化运维服务能力，应在对应分包的区域2小时车程范围内至少设立1个运维技术支持机构</w:t>
      </w:r>
      <w:r>
        <w:rPr>
          <w:rFonts w:hint="eastAsia" w:ascii="宋体" w:hAnsi="宋体" w:eastAsia="宋体" w:cs="Times New Roman"/>
          <w:iCs/>
          <w:kern w:val="0"/>
          <w:sz w:val="24"/>
          <w:szCs w:val="24"/>
          <w:highlight w:val="none"/>
        </w:rPr>
        <w:t>。</w:t>
      </w:r>
    </w:p>
    <w:p w14:paraId="1C626B28">
      <w:pPr>
        <w:ind w:left="400" w:right="6" w:firstLine="170"/>
        <w:rPr>
          <w:rFonts w:hint="eastAsia" w:ascii="宋体" w:hAnsi="宋体" w:eastAsia="宋体" w:cs="Times New Roman"/>
          <w:iCs/>
          <w:kern w:val="0"/>
          <w:sz w:val="24"/>
          <w:szCs w:val="24"/>
          <w:highlight w:val="none"/>
          <w:lang w:val="en-US" w:eastAsia="zh-CN" w:bidi="ar-SA"/>
        </w:rPr>
      </w:pPr>
      <w:r>
        <w:rPr>
          <w:rFonts w:hint="eastAsia" w:ascii="宋体" w:hAnsi="宋体" w:eastAsia="宋体" w:cs="Times New Roman"/>
          <w:iCs/>
          <w:kern w:val="0"/>
          <w:sz w:val="24"/>
          <w:szCs w:val="24"/>
          <w:highlight w:val="none"/>
          <w:lang w:val="en-US" w:eastAsia="zh-CN" w:bidi="ar-SA"/>
        </w:rPr>
        <w:t>3.2.2项目管理人员配备</w:t>
      </w:r>
    </w:p>
    <w:p w14:paraId="51B82BFC">
      <w:pPr>
        <w:ind w:left="400" w:right="6" w:firstLine="170"/>
        <w:rPr>
          <w:rFonts w:hint="default"/>
          <w:kern w:val="0"/>
          <w:sz w:val="20"/>
          <w:szCs w:val="20"/>
          <w:highlight w:val="none"/>
          <w:lang w:val="en-US" w:eastAsia="zh-CN"/>
        </w:rPr>
      </w:pPr>
      <w:r>
        <w:rPr>
          <w:rFonts w:hint="eastAsia" w:ascii="宋体" w:hAnsi="宋体" w:eastAsia="宋体" w:cs="Times New Roman"/>
          <w:iCs/>
          <w:kern w:val="0"/>
          <w:sz w:val="24"/>
          <w:szCs w:val="24"/>
          <w:highlight w:val="none"/>
          <w:lang w:val="en-US" w:eastAsia="zh-CN" w:bidi="ar-SA"/>
        </w:rPr>
        <w:t>表1</w:t>
      </w:r>
    </w:p>
    <w:tbl>
      <w:tblPr>
        <w:tblStyle w:val="6"/>
        <w:tblpPr w:leftFromText="180" w:rightFromText="180" w:vertAnchor="text" w:horzAnchor="margin" w:tblpX="108" w:tblpY="318"/>
        <w:tblW w:w="9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617"/>
        <w:gridCol w:w="1583"/>
        <w:gridCol w:w="2234"/>
        <w:gridCol w:w="3283"/>
      </w:tblGrid>
      <w:tr w14:paraId="7D1FF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81" w:type="dxa"/>
            <w:noWrap w:val="0"/>
            <w:vAlign w:val="center"/>
          </w:tcPr>
          <w:p w14:paraId="21E972C6">
            <w:pPr>
              <w:tabs>
                <w:tab w:val="left" w:pos="2280"/>
              </w:tabs>
              <w:spacing w:line="360" w:lineRule="auto"/>
              <w:contextualSpacing/>
              <w:jc w:val="center"/>
              <w:rPr>
                <w:rFonts w:hint="default" w:ascii="宋体" w:hAnsi="宋体" w:eastAsia="宋体" w:cs="Times New Roman"/>
                <w:iCs/>
                <w:kern w:val="0"/>
                <w:sz w:val="24"/>
                <w:szCs w:val="24"/>
                <w:highlight w:val="none"/>
              </w:rPr>
            </w:pPr>
            <w:r>
              <w:rPr>
                <w:rFonts w:hint="eastAsia" w:ascii="宋体" w:hAnsi="宋体" w:eastAsia="宋体" w:cs="Times New Roman"/>
                <w:iCs/>
                <w:kern w:val="0"/>
                <w:sz w:val="24"/>
                <w:szCs w:val="24"/>
                <w:highlight w:val="none"/>
              </w:rPr>
              <w:t>序 号</w:t>
            </w:r>
          </w:p>
        </w:tc>
        <w:tc>
          <w:tcPr>
            <w:tcW w:w="1617" w:type="dxa"/>
            <w:noWrap w:val="0"/>
            <w:vAlign w:val="center"/>
          </w:tcPr>
          <w:p w14:paraId="4DCABF41">
            <w:pPr>
              <w:tabs>
                <w:tab w:val="left" w:pos="2280"/>
              </w:tabs>
              <w:spacing w:line="360" w:lineRule="auto"/>
              <w:contextualSpacing/>
              <w:jc w:val="center"/>
              <w:rPr>
                <w:rFonts w:hint="default" w:ascii="宋体" w:hAnsi="宋体" w:eastAsia="宋体" w:cs="Times New Roman"/>
                <w:iCs/>
                <w:kern w:val="0"/>
                <w:sz w:val="24"/>
                <w:szCs w:val="24"/>
                <w:highlight w:val="none"/>
              </w:rPr>
            </w:pPr>
            <w:r>
              <w:rPr>
                <w:rFonts w:hint="eastAsia" w:ascii="宋体" w:hAnsi="宋体" w:eastAsia="宋体" w:cs="Times New Roman"/>
                <w:iCs/>
                <w:kern w:val="0"/>
                <w:sz w:val="24"/>
                <w:szCs w:val="24"/>
                <w:highlight w:val="none"/>
              </w:rPr>
              <w:t>职 务</w:t>
            </w:r>
          </w:p>
        </w:tc>
        <w:tc>
          <w:tcPr>
            <w:tcW w:w="1583" w:type="dxa"/>
            <w:noWrap w:val="0"/>
            <w:vAlign w:val="center"/>
          </w:tcPr>
          <w:p w14:paraId="28BF4519">
            <w:pPr>
              <w:tabs>
                <w:tab w:val="left" w:pos="2280"/>
              </w:tabs>
              <w:spacing w:line="360" w:lineRule="auto"/>
              <w:contextualSpacing/>
              <w:jc w:val="center"/>
              <w:rPr>
                <w:rFonts w:hint="default" w:ascii="宋体" w:hAnsi="宋体" w:eastAsia="宋体" w:cs="Times New Roman"/>
                <w:iCs/>
                <w:kern w:val="0"/>
                <w:sz w:val="24"/>
                <w:szCs w:val="24"/>
                <w:highlight w:val="none"/>
              </w:rPr>
            </w:pPr>
            <w:r>
              <w:rPr>
                <w:rFonts w:hint="eastAsia" w:ascii="宋体" w:hAnsi="宋体" w:eastAsia="宋体" w:cs="Times New Roman"/>
                <w:iCs/>
                <w:kern w:val="0"/>
                <w:sz w:val="24"/>
                <w:szCs w:val="24"/>
                <w:highlight w:val="none"/>
              </w:rPr>
              <w:t>人数（个）</w:t>
            </w:r>
          </w:p>
        </w:tc>
        <w:tc>
          <w:tcPr>
            <w:tcW w:w="2234" w:type="dxa"/>
            <w:noWrap w:val="0"/>
            <w:vAlign w:val="center"/>
          </w:tcPr>
          <w:p w14:paraId="76A03ED0">
            <w:pPr>
              <w:tabs>
                <w:tab w:val="left" w:pos="2280"/>
              </w:tabs>
              <w:spacing w:line="360" w:lineRule="auto"/>
              <w:contextualSpacing/>
              <w:jc w:val="center"/>
              <w:rPr>
                <w:rFonts w:hint="default" w:ascii="宋体" w:hAnsi="宋体" w:eastAsia="宋体" w:cs="Times New Roman"/>
                <w:iCs/>
                <w:kern w:val="0"/>
                <w:sz w:val="24"/>
                <w:szCs w:val="24"/>
                <w:highlight w:val="none"/>
              </w:rPr>
            </w:pPr>
            <w:r>
              <w:rPr>
                <w:rFonts w:hint="eastAsia" w:ascii="宋体" w:hAnsi="宋体" w:eastAsia="宋体" w:cs="Times New Roman"/>
                <w:iCs/>
                <w:kern w:val="0"/>
                <w:sz w:val="24"/>
                <w:szCs w:val="24"/>
                <w:highlight w:val="none"/>
              </w:rPr>
              <w:t>要  求</w:t>
            </w:r>
          </w:p>
        </w:tc>
        <w:tc>
          <w:tcPr>
            <w:tcW w:w="3283" w:type="dxa"/>
            <w:noWrap w:val="0"/>
            <w:vAlign w:val="center"/>
          </w:tcPr>
          <w:p w14:paraId="4C988C2C">
            <w:pPr>
              <w:tabs>
                <w:tab w:val="left" w:pos="2280"/>
              </w:tabs>
              <w:spacing w:line="360" w:lineRule="auto"/>
              <w:contextualSpacing/>
              <w:jc w:val="center"/>
              <w:rPr>
                <w:rFonts w:hint="default" w:ascii="宋体" w:hAnsi="宋体" w:eastAsia="宋体" w:cs="Times New Roman"/>
                <w:iCs/>
                <w:kern w:val="0"/>
                <w:sz w:val="24"/>
                <w:szCs w:val="24"/>
                <w:highlight w:val="none"/>
              </w:rPr>
            </w:pPr>
            <w:r>
              <w:rPr>
                <w:rFonts w:hint="eastAsia" w:ascii="宋体" w:hAnsi="宋体" w:eastAsia="宋体" w:cs="Times New Roman"/>
                <w:iCs/>
                <w:kern w:val="0"/>
                <w:sz w:val="24"/>
                <w:szCs w:val="24"/>
                <w:highlight w:val="none"/>
              </w:rPr>
              <w:t>备 注</w:t>
            </w:r>
          </w:p>
        </w:tc>
      </w:tr>
      <w:tr w14:paraId="0F20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81" w:type="dxa"/>
            <w:noWrap w:val="0"/>
            <w:vAlign w:val="center"/>
          </w:tcPr>
          <w:p w14:paraId="6A9B51B2">
            <w:pPr>
              <w:tabs>
                <w:tab w:val="left" w:pos="2280"/>
              </w:tabs>
              <w:spacing w:line="360" w:lineRule="auto"/>
              <w:contextualSpacing/>
              <w:jc w:val="center"/>
              <w:rPr>
                <w:rFonts w:hint="default" w:ascii="宋体" w:hAnsi="宋体" w:eastAsia="宋体" w:cs="Times New Roman"/>
                <w:iCs/>
                <w:kern w:val="0"/>
                <w:sz w:val="24"/>
                <w:szCs w:val="24"/>
                <w:highlight w:val="none"/>
              </w:rPr>
            </w:pPr>
            <w:r>
              <w:rPr>
                <w:rFonts w:hint="eastAsia" w:ascii="宋体" w:hAnsi="宋体" w:eastAsia="宋体" w:cs="Times New Roman"/>
                <w:iCs/>
                <w:kern w:val="0"/>
                <w:sz w:val="24"/>
                <w:szCs w:val="24"/>
                <w:highlight w:val="none"/>
              </w:rPr>
              <w:t>1</w:t>
            </w:r>
          </w:p>
        </w:tc>
        <w:tc>
          <w:tcPr>
            <w:tcW w:w="1617" w:type="dxa"/>
            <w:noWrap w:val="0"/>
            <w:vAlign w:val="center"/>
          </w:tcPr>
          <w:p w14:paraId="073A7473">
            <w:pPr>
              <w:tabs>
                <w:tab w:val="left" w:pos="2280"/>
              </w:tabs>
              <w:spacing w:line="360" w:lineRule="auto"/>
              <w:contextualSpacing/>
              <w:jc w:val="center"/>
              <w:rPr>
                <w:rFonts w:hint="eastAsia" w:ascii="宋体" w:hAnsi="宋体" w:eastAsia="宋体" w:cs="Times New Roman"/>
                <w:iCs/>
                <w:kern w:val="0"/>
                <w:sz w:val="24"/>
                <w:szCs w:val="24"/>
                <w:highlight w:val="none"/>
                <w:lang w:eastAsia="zh-CN"/>
              </w:rPr>
            </w:pPr>
            <w:r>
              <w:rPr>
                <w:rFonts w:hint="eastAsia" w:ascii="宋体" w:hAnsi="宋体" w:eastAsia="宋体" w:cs="Times New Roman"/>
                <w:iCs/>
                <w:kern w:val="0"/>
                <w:sz w:val="24"/>
                <w:szCs w:val="24"/>
                <w:highlight w:val="none"/>
              </w:rPr>
              <w:t>项目</w:t>
            </w:r>
            <w:r>
              <w:rPr>
                <w:rFonts w:hint="eastAsia" w:ascii="宋体" w:hAnsi="宋体" w:eastAsia="宋体" w:cs="Times New Roman"/>
                <w:iCs/>
                <w:kern w:val="0"/>
                <w:sz w:val="24"/>
                <w:szCs w:val="24"/>
                <w:highlight w:val="none"/>
                <w:lang w:eastAsia="zh-CN"/>
              </w:rPr>
              <w:t>负责人</w:t>
            </w:r>
          </w:p>
        </w:tc>
        <w:tc>
          <w:tcPr>
            <w:tcW w:w="1583" w:type="dxa"/>
            <w:noWrap w:val="0"/>
            <w:vAlign w:val="center"/>
          </w:tcPr>
          <w:p w14:paraId="30AC36F9">
            <w:pPr>
              <w:tabs>
                <w:tab w:val="left" w:pos="2280"/>
              </w:tabs>
              <w:spacing w:line="360" w:lineRule="auto"/>
              <w:contextualSpacing/>
              <w:jc w:val="center"/>
              <w:rPr>
                <w:rFonts w:hint="default" w:ascii="宋体" w:hAnsi="宋体" w:eastAsia="宋体" w:cs="Times New Roman"/>
                <w:iCs/>
                <w:kern w:val="0"/>
                <w:sz w:val="24"/>
                <w:szCs w:val="24"/>
                <w:highlight w:val="none"/>
              </w:rPr>
            </w:pPr>
            <w:r>
              <w:rPr>
                <w:rFonts w:hint="eastAsia" w:ascii="宋体" w:hAnsi="宋体" w:eastAsia="宋体" w:cs="Times New Roman"/>
                <w:iCs/>
                <w:kern w:val="0"/>
                <w:sz w:val="24"/>
                <w:szCs w:val="24"/>
                <w:highlight w:val="none"/>
              </w:rPr>
              <w:t>1</w:t>
            </w:r>
          </w:p>
        </w:tc>
        <w:tc>
          <w:tcPr>
            <w:tcW w:w="2234" w:type="dxa"/>
            <w:noWrap w:val="0"/>
            <w:vAlign w:val="center"/>
          </w:tcPr>
          <w:p w14:paraId="263AE800">
            <w:pPr>
              <w:tabs>
                <w:tab w:val="left" w:pos="2280"/>
              </w:tabs>
              <w:spacing w:line="360" w:lineRule="auto"/>
              <w:contextualSpacing/>
              <w:jc w:val="center"/>
              <w:rPr>
                <w:rFonts w:hint="default" w:ascii="宋体" w:hAnsi="宋体" w:eastAsia="宋体" w:cs="Times New Roman"/>
                <w:iCs/>
                <w:kern w:val="0"/>
                <w:sz w:val="24"/>
                <w:szCs w:val="24"/>
                <w:highlight w:val="none"/>
              </w:rPr>
            </w:pPr>
            <w:r>
              <w:rPr>
                <w:rFonts w:hint="eastAsia" w:ascii="宋体" w:hAnsi="宋体" w:eastAsia="宋体" w:cs="Times New Roman"/>
                <w:iCs/>
                <w:kern w:val="0"/>
                <w:sz w:val="24"/>
                <w:szCs w:val="24"/>
                <w:highlight w:val="none"/>
              </w:rPr>
              <w:t>专科或以上学历</w:t>
            </w:r>
          </w:p>
        </w:tc>
        <w:tc>
          <w:tcPr>
            <w:tcW w:w="3283" w:type="dxa"/>
            <w:noWrap w:val="0"/>
            <w:vAlign w:val="center"/>
          </w:tcPr>
          <w:p w14:paraId="023631DC">
            <w:pPr>
              <w:tabs>
                <w:tab w:val="left" w:pos="2280"/>
              </w:tabs>
              <w:spacing w:line="360" w:lineRule="auto"/>
              <w:ind w:firstLine="480"/>
              <w:contextualSpacing/>
              <w:jc w:val="center"/>
              <w:rPr>
                <w:rFonts w:hint="default" w:ascii="宋体" w:hAnsi="宋体" w:eastAsia="宋体" w:cs="Times New Roman"/>
                <w:iCs/>
                <w:kern w:val="0"/>
                <w:sz w:val="24"/>
                <w:szCs w:val="24"/>
                <w:highlight w:val="none"/>
              </w:rPr>
            </w:pPr>
          </w:p>
        </w:tc>
      </w:tr>
      <w:tr w14:paraId="3BD8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81" w:type="dxa"/>
            <w:noWrap w:val="0"/>
            <w:vAlign w:val="center"/>
          </w:tcPr>
          <w:p w14:paraId="260AECB0">
            <w:pPr>
              <w:tabs>
                <w:tab w:val="left" w:pos="2280"/>
              </w:tabs>
              <w:spacing w:line="360" w:lineRule="auto"/>
              <w:contextualSpacing/>
              <w:jc w:val="center"/>
              <w:rPr>
                <w:rFonts w:hint="default" w:ascii="宋体" w:hAnsi="宋体" w:eastAsia="宋体" w:cs="Times New Roman"/>
                <w:iCs/>
                <w:kern w:val="0"/>
                <w:sz w:val="24"/>
                <w:szCs w:val="24"/>
                <w:highlight w:val="none"/>
              </w:rPr>
            </w:pPr>
            <w:r>
              <w:rPr>
                <w:rFonts w:hint="eastAsia" w:ascii="宋体" w:hAnsi="宋体" w:eastAsia="宋体" w:cs="Times New Roman"/>
                <w:iCs/>
                <w:kern w:val="0"/>
                <w:sz w:val="24"/>
                <w:szCs w:val="24"/>
                <w:highlight w:val="none"/>
              </w:rPr>
              <w:t>2</w:t>
            </w:r>
          </w:p>
        </w:tc>
        <w:tc>
          <w:tcPr>
            <w:tcW w:w="1617" w:type="dxa"/>
            <w:noWrap w:val="0"/>
            <w:vAlign w:val="center"/>
          </w:tcPr>
          <w:p w14:paraId="15E4133B">
            <w:pPr>
              <w:tabs>
                <w:tab w:val="left" w:pos="2280"/>
              </w:tabs>
              <w:spacing w:line="360" w:lineRule="auto"/>
              <w:contextualSpacing/>
              <w:jc w:val="center"/>
              <w:rPr>
                <w:rFonts w:hint="eastAsia" w:ascii="宋体" w:hAnsi="宋体" w:eastAsia="宋体" w:cs="Times New Roman"/>
                <w:iCs/>
                <w:kern w:val="0"/>
                <w:sz w:val="24"/>
                <w:szCs w:val="24"/>
                <w:highlight w:val="none"/>
                <w:lang w:eastAsia="zh-CN"/>
              </w:rPr>
            </w:pPr>
            <w:r>
              <w:rPr>
                <w:rFonts w:hint="eastAsia" w:ascii="宋体" w:hAnsi="宋体" w:eastAsia="宋体" w:cs="Times New Roman"/>
                <w:iCs/>
                <w:kern w:val="0"/>
                <w:sz w:val="24"/>
                <w:szCs w:val="24"/>
                <w:highlight w:val="none"/>
              </w:rPr>
              <w:t>技术</w:t>
            </w:r>
            <w:r>
              <w:rPr>
                <w:rFonts w:hint="eastAsia" w:ascii="宋体" w:hAnsi="宋体" w:eastAsia="宋体" w:cs="Times New Roman"/>
                <w:iCs/>
                <w:kern w:val="0"/>
                <w:sz w:val="24"/>
                <w:szCs w:val="24"/>
                <w:highlight w:val="none"/>
                <w:lang w:eastAsia="zh-CN"/>
              </w:rPr>
              <w:t>负责人</w:t>
            </w:r>
          </w:p>
        </w:tc>
        <w:tc>
          <w:tcPr>
            <w:tcW w:w="1583" w:type="dxa"/>
            <w:noWrap w:val="0"/>
            <w:vAlign w:val="center"/>
          </w:tcPr>
          <w:p w14:paraId="29376566">
            <w:pPr>
              <w:tabs>
                <w:tab w:val="left" w:pos="2280"/>
              </w:tabs>
              <w:spacing w:line="360" w:lineRule="auto"/>
              <w:contextualSpacing/>
              <w:jc w:val="center"/>
              <w:rPr>
                <w:rFonts w:hint="eastAsia" w:ascii="宋体" w:hAnsi="宋体" w:eastAsia="宋体" w:cs="Times New Roman"/>
                <w:iCs/>
                <w:kern w:val="0"/>
                <w:sz w:val="24"/>
                <w:szCs w:val="24"/>
                <w:highlight w:val="none"/>
                <w:lang w:eastAsia="zh-CN"/>
              </w:rPr>
            </w:pPr>
            <w:r>
              <w:rPr>
                <w:rFonts w:hint="eastAsia" w:ascii="宋体" w:hAnsi="宋体" w:eastAsia="宋体" w:cs="Times New Roman"/>
                <w:iCs/>
                <w:kern w:val="0"/>
                <w:sz w:val="24"/>
                <w:szCs w:val="24"/>
                <w:highlight w:val="none"/>
                <w:lang w:val="en-US" w:eastAsia="zh-CN"/>
              </w:rPr>
              <w:t>1</w:t>
            </w:r>
          </w:p>
        </w:tc>
        <w:tc>
          <w:tcPr>
            <w:tcW w:w="2234" w:type="dxa"/>
            <w:noWrap w:val="0"/>
            <w:vAlign w:val="center"/>
          </w:tcPr>
          <w:p w14:paraId="74BF6BC4">
            <w:pPr>
              <w:tabs>
                <w:tab w:val="left" w:pos="2280"/>
              </w:tabs>
              <w:spacing w:line="360" w:lineRule="auto"/>
              <w:contextualSpacing/>
              <w:jc w:val="center"/>
              <w:rPr>
                <w:rFonts w:hint="default" w:ascii="宋体" w:hAnsi="宋体" w:eastAsia="宋体" w:cs="Times New Roman"/>
                <w:iCs/>
                <w:kern w:val="0"/>
                <w:sz w:val="24"/>
                <w:szCs w:val="24"/>
                <w:highlight w:val="none"/>
              </w:rPr>
            </w:pPr>
            <w:r>
              <w:rPr>
                <w:rFonts w:hint="eastAsia" w:ascii="宋体" w:hAnsi="宋体" w:eastAsia="宋体" w:cs="Times New Roman"/>
                <w:iCs/>
                <w:kern w:val="0"/>
                <w:sz w:val="24"/>
                <w:szCs w:val="24"/>
                <w:highlight w:val="none"/>
              </w:rPr>
              <w:t>中专或以上学历</w:t>
            </w:r>
          </w:p>
        </w:tc>
        <w:tc>
          <w:tcPr>
            <w:tcW w:w="3283" w:type="dxa"/>
            <w:noWrap w:val="0"/>
            <w:vAlign w:val="center"/>
          </w:tcPr>
          <w:p w14:paraId="4B8E29EA">
            <w:pPr>
              <w:tabs>
                <w:tab w:val="left" w:pos="2280"/>
              </w:tabs>
              <w:spacing w:line="360" w:lineRule="auto"/>
              <w:ind w:firstLine="480"/>
              <w:contextualSpacing/>
              <w:jc w:val="center"/>
              <w:rPr>
                <w:rFonts w:hint="default" w:ascii="宋体" w:hAnsi="宋体" w:eastAsia="宋体" w:cs="Times New Roman"/>
                <w:iCs/>
                <w:kern w:val="0"/>
                <w:sz w:val="24"/>
                <w:szCs w:val="24"/>
                <w:highlight w:val="none"/>
              </w:rPr>
            </w:pPr>
          </w:p>
        </w:tc>
      </w:tr>
      <w:tr w14:paraId="42163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81" w:type="dxa"/>
            <w:shd w:val="clear" w:color="auto" w:fill="auto"/>
            <w:noWrap w:val="0"/>
            <w:vAlign w:val="center"/>
          </w:tcPr>
          <w:p w14:paraId="5D9AD34F">
            <w:pPr>
              <w:tabs>
                <w:tab w:val="left" w:pos="2280"/>
              </w:tabs>
              <w:spacing w:line="360" w:lineRule="auto"/>
              <w:contextualSpacing/>
              <w:jc w:val="center"/>
              <w:rPr>
                <w:rFonts w:hint="default" w:ascii="宋体" w:hAnsi="宋体" w:eastAsia="宋体" w:cs="Times New Roman"/>
                <w:iCs/>
                <w:kern w:val="0"/>
                <w:sz w:val="24"/>
                <w:szCs w:val="24"/>
                <w:highlight w:val="none"/>
                <w:lang w:val="en-US" w:eastAsia="zh-CN" w:bidi="ar-SA"/>
              </w:rPr>
            </w:pPr>
            <w:r>
              <w:rPr>
                <w:rFonts w:hint="eastAsia" w:ascii="宋体" w:hAnsi="宋体" w:eastAsia="宋体" w:cs="Times New Roman"/>
                <w:iCs/>
                <w:kern w:val="0"/>
                <w:sz w:val="24"/>
                <w:szCs w:val="24"/>
                <w:highlight w:val="none"/>
                <w:lang w:val="en-US" w:eastAsia="zh-CN" w:bidi="ar-SA"/>
              </w:rPr>
              <w:t>3</w:t>
            </w:r>
          </w:p>
        </w:tc>
        <w:tc>
          <w:tcPr>
            <w:tcW w:w="1617" w:type="dxa"/>
            <w:shd w:val="clear" w:color="auto" w:fill="auto"/>
            <w:noWrap w:val="0"/>
            <w:vAlign w:val="center"/>
          </w:tcPr>
          <w:p w14:paraId="18711248">
            <w:pPr>
              <w:tabs>
                <w:tab w:val="left" w:pos="2280"/>
              </w:tabs>
              <w:spacing w:line="360" w:lineRule="auto"/>
              <w:contextualSpacing/>
              <w:jc w:val="center"/>
              <w:rPr>
                <w:rFonts w:hint="eastAsia" w:ascii="宋体" w:hAnsi="宋体" w:eastAsia="宋体" w:cs="Times New Roman"/>
                <w:iCs/>
                <w:kern w:val="0"/>
                <w:sz w:val="24"/>
                <w:szCs w:val="24"/>
                <w:highlight w:val="none"/>
                <w:lang w:val="en-US" w:eastAsia="zh-CN" w:bidi="ar-SA"/>
              </w:rPr>
            </w:pPr>
            <w:r>
              <w:rPr>
                <w:rFonts w:hint="eastAsia" w:ascii="宋体" w:hAnsi="宋体" w:eastAsia="宋体" w:cs="Times New Roman"/>
                <w:iCs/>
                <w:kern w:val="0"/>
                <w:sz w:val="24"/>
                <w:szCs w:val="24"/>
                <w:highlight w:val="none"/>
                <w:lang w:eastAsia="zh-CN"/>
              </w:rPr>
              <w:t>运维人员</w:t>
            </w:r>
          </w:p>
        </w:tc>
        <w:tc>
          <w:tcPr>
            <w:tcW w:w="1583" w:type="dxa"/>
            <w:shd w:val="clear" w:color="auto" w:fill="auto"/>
            <w:noWrap w:val="0"/>
            <w:vAlign w:val="center"/>
          </w:tcPr>
          <w:p w14:paraId="2B8A9C09">
            <w:pPr>
              <w:tabs>
                <w:tab w:val="left" w:pos="2280"/>
              </w:tabs>
              <w:spacing w:line="360" w:lineRule="auto"/>
              <w:contextualSpacing/>
              <w:jc w:val="center"/>
              <w:rPr>
                <w:rFonts w:hint="eastAsia" w:ascii="宋体" w:hAnsi="宋体" w:eastAsia="宋体" w:cs="Times New Roman"/>
                <w:iCs/>
                <w:kern w:val="0"/>
                <w:sz w:val="24"/>
                <w:szCs w:val="24"/>
                <w:highlight w:val="none"/>
                <w:lang w:val="en-US" w:eastAsia="zh-CN" w:bidi="ar-SA"/>
              </w:rPr>
            </w:pPr>
            <w:r>
              <w:rPr>
                <w:rFonts w:hint="eastAsia" w:ascii="宋体" w:hAnsi="宋体" w:eastAsia="宋体" w:cs="Times New Roman"/>
                <w:iCs/>
                <w:kern w:val="0"/>
                <w:sz w:val="24"/>
                <w:szCs w:val="24"/>
                <w:highlight w:val="none"/>
                <w:lang w:val="en-US" w:eastAsia="zh-CN"/>
              </w:rPr>
              <w:t>2</w:t>
            </w:r>
          </w:p>
        </w:tc>
        <w:tc>
          <w:tcPr>
            <w:tcW w:w="2234" w:type="dxa"/>
            <w:shd w:val="clear" w:color="auto" w:fill="auto"/>
            <w:noWrap w:val="0"/>
            <w:vAlign w:val="center"/>
          </w:tcPr>
          <w:p w14:paraId="39F56A8B">
            <w:pPr>
              <w:tabs>
                <w:tab w:val="left" w:pos="2280"/>
              </w:tabs>
              <w:spacing w:line="360" w:lineRule="auto"/>
              <w:contextualSpacing/>
              <w:jc w:val="center"/>
              <w:rPr>
                <w:rFonts w:hint="eastAsia" w:ascii="宋体" w:hAnsi="宋体" w:eastAsia="宋体" w:cs="Times New Roman"/>
                <w:iCs/>
                <w:kern w:val="0"/>
                <w:sz w:val="24"/>
                <w:szCs w:val="24"/>
                <w:highlight w:val="none"/>
                <w:lang w:val="en-US" w:eastAsia="zh-CN" w:bidi="ar-SA"/>
              </w:rPr>
            </w:pPr>
            <w:r>
              <w:rPr>
                <w:rFonts w:hint="eastAsia" w:ascii="宋体" w:hAnsi="宋体" w:eastAsia="宋体" w:cs="Times New Roman"/>
                <w:iCs/>
                <w:kern w:val="0"/>
                <w:sz w:val="24"/>
                <w:szCs w:val="24"/>
                <w:highlight w:val="none"/>
              </w:rPr>
              <w:t>中专或以上学历</w:t>
            </w:r>
          </w:p>
        </w:tc>
        <w:tc>
          <w:tcPr>
            <w:tcW w:w="3283" w:type="dxa"/>
            <w:shd w:val="clear" w:color="auto" w:fill="auto"/>
            <w:noWrap w:val="0"/>
            <w:vAlign w:val="center"/>
          </w:tcPr>
          <w:p w14:paraId="700BE2C9">
            <w:pPr>
              <w:tabs>
                <w:tab w:val="left" w:pos="2280"/>
              </w:tabs>
              <w:spacing w:line="360" w:lineRule="auto"/>
              <w:contextualSpacing/>
              <w:jc w:val="center"/>
              <w:rPr>
                <w:rFonts w:hint="eastAsia" w:ascii="宋体" w:hAnsi="宋体" w:eastAsia="宋体" w:cs="Times New Roman"/>
                <w:iCs/>
                <w:kern w:val="0"/>
                <w:sz w:val="24"/>
                <w:szCs w:val="24"/>
                <w:highlight w:val="none"/>
                <w:lang w:val="en-US" w:eastAsia="zh-CN" w:bidi="ar-SA"/>
              </w:rPr>
            </w:pPr>
            <w:r>
              <w:rPr>
                <w:rFonts w:hint="eastAsia" w:ascii="宋体" w:hAnsi="宋体" w:eastAsia="宋体" w:cs="Times New Roman"/>
                <w:iCs/>
                <w:kern w:val="0"/>
                <w:sz w:val="24"/>
                <w:szCs w:val="24"/>
                <w:highlight w:val="none"/>
                <w:lang w:eastAsia="zh-CN"/>
              </w:rPr>
              <w:t>根据需要随时增派人员</w:t>
            </w:r>
          </w:p>
        </w:tc>
      </w:tr>
    </w:tbl>
    <w:p w14:paraId="1C67A837">
      <w:pPr>
        <w:ind w:left="0" w:right="6" w:firstLine="480"/>
        <w:rPr>
          <w:rFonts w:hint="eastAsia" w:ascii="宋体" w:hAnsi="宋体" w:eastAsia="宋体" w:cs="Times New Roman"/>
          <w:iCs/>
          <w:kern w:val="0"/>
          <w:sz w:val="24"/>
          <w:szCs w:val="24"/>
          <w:highlight w:val="none"/>
          <w:lang w:val="en-US" w:eastAsia="zh-CN" w:bidi="ar-SA"/>
        </w:rPr>
      </w:pPr>
      <w:r>
        <w:rPr>
          <w:rFonts w:hint="eastAsia" w:ascii="宋体" w:hAnsi="宋体" w:eastAsia="宋体" w:cs="Times New Roman"/>
          <w:iCs/>
          <w:kern w:val="0"/>
          <w:sz w:val="24"/>
          <w:szCs w:val="24"/>
          <w:highlight w:val="none"/>
          <w:lang w:val="en-US" w:eastAsia="zh-CN" w:bidi="ar-SA"/>
        </w:rPr>
        <w:t>3.2.3.项目设备配置</w:t>
      </w:r>
    </w:p>
    <w:p w14:paraId="3EFF180A">
      <w:pPr>
        <w:keepNext w:val="0"/>
        <w:keepLines w:val="0"/>
        <w:pageBreakBefore w:val="0"/>
        <w:widowControl/>
        <w:ind w:left="400" w:right="6" w:firstLine="170"/>
        <w:rPr>
          <w:rFonts w:hint="default" w:ascii="Times New Roman" w:hAnsi="Times New Roman" w:eastAsia="宋体" w:cs="Times New Roman"/>
          <w:iCs/>
          <w:kern w:val="0"/>
          <w:sz w:val="24"/>
          <w:szCs w:val="24"/>
          <w:highlight w:val="none"/>
          <w:lang w:val="en-US" w:eastAsia="zh-CN" w:bidi="ar-SA"/>
        </w:rPr>
      </w:pPr>
      <w:r>
        <w:rPr>
          <w:rFonts w:hint="eastAsia" w:ascii="宋体" w:hAnsi="宋体" w:eastAsia="宋体" w:cs="Times New Roman"/>
          <w:iCs/>
          <w:kern w:val="0"/>
          <w:sz w:val="24"/>
          <w:szCs w:val="24"/>
          <w:highlight w:val="none"/>
          <w:lang w:val="en-US" w:eastAsia="zh-CN" w:bidi="ar-SA"/>
        </w:rPr>
        <w:t>表2</w:t>
      </w:r>
    </w:p>
    <w:tbl>
      <w:tblPr>
        <w:tblStyle w:val="6"/>
        <w:tblpPr w:leftFromText="180" w:rightFromText="180" w:vertAnchor="text" w:horzAnchor="page" w:tblpX="1345" w:tblpY="232"/>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17"/>
        <w:gridCol w:w="1366"/>
        <w:gridCol w:w="3500"/>
        <w:gridCol w:w="2329"/>
      </w:tblGrid>
      <w:tr w14:paraId="001FF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3" w:type="dxa"/>
            <w:noWrap w:val="0"/>
            <w:vAlign w:val="center"/>
          </w:tcPr>
          <w:p w14:paraId="54B8F86E">
            <w:pPr>
              <w:keepNext w:val="0"/>
              <w:keepLines w:val="0"/>
              <w:pageBreakBefore w:val="0"/>
              <w:widowControl/>
              <w:jc w:val="center"/>
              <w:rPr>
                <w:rFonts w:hint="default"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序号</w:t>
            </w:r>
          </w:p>
        </w:tc>
        <w:tc>
          <w:tcPr>
            <w:tcW w:w="1517" w:type="dxa"/>
            <w:noWrap w:val="0"/>
            <w:vAlign w:val="center"/>
          </w:tcPr>
          <w:p w14:paraId="5328B8A5">
            <w:pPr>
              <w:keepNext w:val="0"/>
              <w:keepLines w:val="0"/>
              <w:pageBreakBefore w:val="0"/>
              <w:widowControl/>
              <w:jc w:val="center"/>
              <w:rPr>
                <w:rFonts w:hint="default"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设备名称</w:t>
            </w:r>
          </w:p>
        </w:tc>
        <w:tc>
          <w:tcPr>
            <w:tcW w:w="1366" w:type="dxa"/>
            <w:noWrap w:val="0"/>
            <w:vAlign w:val="center"/>
          </w:tcPr>
          <w:p w14:paraId="19CF63FD">
            <w:pPr>
              <w:keepNext w:val="0"/>
              <w:keepLines w:val="0"/>
              <w:pageBreakBefore w:val="0"/>
              <w:widowControl/>
              <w:jc w:val="center"/>
              <w:rPr>
                <w:rFonts w:hint="default"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设备数量（套）</w:t>
            </w:r>
          </w:p>
        </w:tc>
        <w:tc>
          <w:tcPr>
            <w:tcW w:w="3500" w:type="dxa"/>
            <w:noWrap w:val="0"/>
            <w:vAlign w:val="center"/>
          </w:tcPr>
          <w:p w14:paraId="7303A556">
            <w:pPr>
              <w:keepNext w:val="0"/>
              <w:keepLines w:val="0"/>
              <w:pageBreakBefore w:val="0"/>
              <w:widowControl/>
              <w:jc w:val="center"/>
              <w:rPr>
                <w:rFonts w:hint="default"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要  求</w:t>
            </w:r>
          </w:p>
        </w:tc>
        <w:tc>
          <w:tcPr>
            <w:tcW w:w="2329" w:type="dxa"/>
            <w:noWrap w:val="0"/>
            <w:vAlign w:val="center"/>
          </w:tcPr>
          <w:p w14:paraId="6DACB8C1">
            <w:pPr>
              <w:keepNext w:val="0"/>
              <w:keepLines w:val="0"/>
              <w:pageBreakBefore w:val="0"/>
              <w:widowControl/>
              <w:jc w:val="center"/>
              <w:rPr>
                <w:rFonts w:hint="default"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备 注</w:t>
            </w:r>
          </w:p>
        </w:tc>
      </w:tr>
      <w:tr w14:paraId="51BBB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3" w:type="dxa"/>
            <w:noWrap w:val="0"/>
            <w:vAlign w:val="center"/>
          </w:tcPr>
          <w:p w14:paraId="21B3D916">
            <w:pPr>
              <w:jc w:val="center"/>
              <w:rPr>
                <w:rFonts w:hint="default"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1</w:t>
            </w:r>
          </w:p>
        </w:tc>
        <w:tc>
          <w:tcPr>
            <w:tcW w:w="1517" w:type="dxa"/>
            <w:noWrap w:val="0"/>
            <w:vAlign w:val="center"/>
          </w:tcPr>
          <w:p w14:paraId="6D9499A2">
            <w:pPr>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分析仪</w:t>
            </w:r>
          </w:p>
        </w:tc>
        <w:tc>
          <w:tcPr>
            <w:tcW w:w="1366" w:type="dxa"/>
            <w:noWrap w:val="0"/>
            <w:vAlign w:val="center"/>
          </w:tcPr>
          <w:p w14:paraId="57B78D28">
            <w:pPr>
              <w:jc w:val="center"/>
              <w:rPr>
                <w:rFonts w:hint="default"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1</w:t>
            </w:r>
          </w:p>
        </w:tc>
        <w:tc>
          <w:tcPr>
            <w:tcW w:w="3500" w:type="dxa"/>
            <w:noWrap w:val="0"/>
            <w:vAlign w:val="center"/>
          </w:tcPr>
          <w:p w14:paraId="7847A0D0">
            <w:pP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水温、pH、溶解氧、电导率、浊度、高锰酸盐指数、氨氮、总磷</w:t>
            </w:r>
            <w:r>
              <w:rPr>
                <w:rFonts w:hint="eastAsia" w:ascii="Times New Roman" w:hAnsi="Times New Roman" w:eastAsia="宋体" w:cs="Times New Roman"/>
                <w:kern w:val="0"/>
                <w:sz w:val="24"/>
                <w:szCs w:val="24"/>
                <w:highlight w:val="none"/>
              </w:rPr>
              <w:t>八</w:t>
            </w:r>
            <w:r>
              <w:rPr>
                <w:rFonts w:hint="default" w:ascii="Times New Roman" w:hAnsi="Times New Roman" w:eastAsia="宋体" w:cs="Times New Roman"/>
                <w:kern w:val="0"/>
                <w:sz w:val="24"/>
                <w:szCs w:val="24"/>
                <w:highlight w:val="none"/>
              </w:rPr>
              <w:t>参数</w:t>
            </w:r>
            <w:r>
              <w:rPr>
                <w:rFonts w:hint="eastAsia" w:ascii="Times New Roman" w:hAnsi="Times New Roman" w:eastAsia="宋体" w:cs="Times New Roman"/>
                <w:kern w:val="0"/>
                <w:sz w:val="24"/>
                <w:szCs w:val="24"/>
                <w:highlight w:val="none"/>
              </w:rPr>
              <w:t>或以上</w:t>
            </w:r>
            <w:r>
              <w:rPr>
                <w:rFonts w:hint="default" w:ascii="Times New Roman" w:hAnsi="Times New Roman" w:eastAsia="宋体" w:cs="Times New Roman"/>
                <w:kern w:val="0"/>
                <w:sz w:val="24"/>
                <w:szCs w:val="24"/>
                <w:highlight w:val="none"/>
              </w:rPr>
              <w:t>分析仪</w:t>
            </w:r>
          </w:p>
        </w:tc>
        <w:tc>
          <w:tcPr>
            <w:tcW w:w="2329" w:type="dxa"/>
            <w:noWrap w:val="0"/>
            <w:vAlign w:val="center"/>
          </w:tcPr>
          <w:p w14:paraId="5EE90509">
            <w:pPr>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通过国家计量认证</w:t>
            </w:r>
          </w:p>
        </w:tc>
      </w:tr>
      <w:tr w14:paraId="460B4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3" w:type="dxa"/>
            <w:noWrap w:val="0"/>
            <w:vAlign w:val="center"/>
          </w:tcPr>
          <w:p w14:paraId="2F7966DC">
            <w:pPr>
              <w:jc w:val="center"/>
              <w:rPr>
                <w:rFonts w:hint="default"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2</w:t>
            </w:r>
          </w:p>
        </w:tc>
        <w:tc>
          <w:tcPr>
            <w:tcW w:w="1517" w:type="dxa"/>
            <w:noWrap w:val="0"/>
            <w:vAlign w:val="center"/>
          </w:tcPr>
          <w:p w14:paraId="35C8F088">
            <w:pPr>
              <w:jc w:val="both"/>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便携式仪器</w:t>
            </w:r>
          </w:p>
        </w:tc>
        <w:tc>
          <w:tcPr>
            <w:tcW w:w="1366" w:type="dxa"/>
            <w:noWrap w:val="0"/>
            <w:vAlign w:val="center"/>
          </w:tcPr>
          <w:p w14:paraId="435996D0">
            <w:pPr>
              <w:jc w:val="center"/>
              <w:rPr>
                <w:rFonts w:hint="default"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1</w:t>
            </w:r>
          </w:p>
        </w:tc>
        <w:tc>
          <w:tcPr>
            <w:tcW w:w="3500" w:type="dxa"/>
            <w:noWrap w:val="0"/>
            <w:vAlign w:val="center"/>
          </w:tcPr>
          <w:p w14:paraId="3BFD5A54">
            <w:pPr>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常规参数便携式仪器</w:t>
            </w:r>
          </w:p>
        </w:tc>
        <w:tc>
          <w:tcPr>
            <w:tcW w:w="2329" w:type="dxa"/>
            <w:noWrap w:val="0"/>
            <w:vAlign w:val="center"/>
          </w:tcPr>
          <w:p w14:paraId="15220E55">
            <w:pPr>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通过国家计量认证</w:t>
            </w:r>
          </w:p>
        </w:tc>
      </w:tr>
      <w:tr w14:paraId="6AE9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3" w:type="dxa"/>
            <w:noWrap w:val="0"/>
            <w:vAlign w:val="center"/>
          </w:tcPr>
          <w:p w14:paraId="5BF51C71">
            <w:pPr>
              <w:jc w:val="center"/>
              <w:rPr>
                <w:rFonts w:hint="default"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3</w:t>
            </w:r>
          </w:p>
        </w:tc>
        <w:tc>
          <w:tcPr>
            <w:tcW w:w="1517" w:type="dxa"/>
            <w:noWrap w:val="0"/>
            <w:vAlign w:val="center"/>
          </w:tcPr>
          <w:p w14:paraId="4550F4CB">
            <w:pPr>
              <w:jc w:val="both"/>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便携式电脑</w:t>
            </w:r>
          </w:p>
        </w:tc>
        <w:tc>
          <w:tcPr>
            <w:tcW w:w="1366" w:type="dxa"/>
            <w:noWrap w:val="0"/>
            <w:vAlign w:val="center"/>
          </w:tcPr>
          <w:p w14:paraId="26EA2641">
            <w:pPr>
              <w:jc w:val="center"/>
              <w:rPr>
                <w:rFonts w:hint="default"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2</w:t>
            </w:r>
          </w:p>
        </w:tc>
        <w:tc>
          <w:tcPr>
            <w:tcW w:w="3500" w:type="dxa"/>
            <w:noWrap w:val="0"/>
            <w:vAlign w:val="center"/>
          </w:tcPr>
          <w:p w14:paraId="1442F3A9">
            <w:pPr>
              <w:jc w:val="center"/>
              <w:rPr>
                <w:rFonts w:hint="default"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安装有</w:t>
            </w:r>
            <w:r>
              <w:rPr>
                <w:rFonts w:hint="default" w:ascii="Times New Roman" w:hAnsi="Times New Roman" w:eastAsia="宋体" w:cs="Times New Roman"/>
                <w:kern w:val="0"/>
                <w:sz w:val="24"/>
                <w:szCs w:val="24"/>
                <w:highlight w:val="none"/>
              </w:rPr>
              <w:t>远程数据查询系统</w:t>
            </w:r>
          </w:p>
        </w:tc>
        <w:tc>
          <w:tcPr>
            <w:tcW w:w="2329" w:type="dxa"/>
            <w:noWrap w:val="0"/>
            <w:vAlign w:val="center"/>
          </w:tcPr>
          <w:p w14:paraId="08ECA8B0">
            <w:pPr>
              <w:ind w:firstLine="420"/>
              <w:jc w:val="center"/>
              <w:rPr>
                <w:rFonts w:hint="default" w:ascii="Times New Roman" w:hAnsi="Times New Roman" w:eastAsia="宋体" w:cs="Times New Roman"/>
                <w:kern w:val="0"/>
                <w:sz w:val="24"/>
                <w:szCs w:val="24"/>
                <w:highlight w:val="none"/>
              </w:rPr>
            </w:pPr>
          </w:p>
        </w:tc>
      </w:tr>
    </w:tbl>
    <w:p w14:paraId="37CC0114">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iCs/>
          <w:kern w:val="0"/>
          <w:sz w:val="24"/>
          <w:szCs w:val="24"/>
          <w:highlight w:val="none"/>
          <w:lang w:val="en-US" w:eastAsia="zh-CN"/>
        </w:rPr>
        <w:t>3.2.4</w:t>
      </w:r>
      <w:r>
        <w:rPr>
          <w:rFonts w:hint="default" w:ascii="宋体" w:hAnsi="宋体" w:eastAsia="宋体" w:cs="Times New Roman"/>
          <w:kern w:val="0"/>
          <w:sz w:val="24"/>
          <w:szCs w:val="24"/>
          <w:highlight w:val="none"/>
        </w:rPr>
        <w:t>运维单位须承诺成交后1个月（30日历日）内配齐本技术要求中所涉及的仪器设备、耗材和备件。耗材按照不少于半年的消耗量配置，备件按照至少1年使用量配置。必须使用原厂生产的备品备件和耗材（若无原厂生产的，则应使用经权威机构检定合格的），严禁使用未经权威机构检定合格或劣质备品备件和耗材。</w:t>
      </w:r>
    </w:p>
    <w:p w14:paraId="4B53BC2F">
      <w:pPr>
        <w:spacing w:line="480" w:lineRule="exact"/>
        <w:ind w:firstLine="480"/>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3.2.5</w:t>
      </w:r>
      <w:r>
        <w:rPr>
          <w:rFonts w:hint="eastAsia" w:ascii="宋体" w:hAnsi="宋体" w:eastAsia="宋体" w:cs="Times New Roman"/>
          <w:kern w:val="0"/>
          <w:sz w:val="24"/>
          <w:szCs w:val="24"/>
          <w:highlight w:val="none"/>
        </w:rPr>
        <w:t>运维单位需具备良好的</w:t>
      </w:r>
      <w:r>
        <w:rPr>
          <w:rFonts w:hint="default" w:ascii="宋体" w:hAnsi="宋体" w:eastAsia="宋体" w:cs="Times New Roman"/>
          <w:kern w:val="0"/>
          <w:sz w:val="24"/>
          <w:szCs w:val="24"/>
          <w:highlight w:val="none"/>
        </w:rPr>
        <w:t>质量管理体系</w:t>
      </w:r>
      <w:r>
        <w:rPr>
          <w:rFonts w:hint="eastAsia" w:ascii="宋体" w:hAnsi="宋体" w:eastAsia="宋体" w:cs="Times New Roman"/>
          <w:kern w:val="0"/>
          <w:sz w:val="24"/>
          <w:szCs w:val="24"/>
          <w:highlight w:val="none"/>
        </w:rPr>
        <w:t>，满足水站运维的质量要求；同时需保障运维人员身心健康，具备</w:t>
      </w:r>
      <w:r>
        <w:rPr>
          <w:rFonts w:hint="default" w:ascii="宋体" w:hAnsi="宋体" w:eastAsia="宋体" w:cs="Times New Roman"/>
          <w:kern w:val="0"/>
          <w:sz w:val="24"/>
          <w:szCs w:val="24"/>
          <w:highlight w:val="none"/>
        </w:rPr>
        <w:t>职业健康安全体系</w:t>
      </w:r>
      <w:r>
        <w:rPr>
          <w:rFonts w:hint="eastAsia" w:ascii="宋体" w:hAnsi="宋体" w:eastAsia="宋体" w:cs="Times New Roman"/>
          <w:kern w:val="0"/>
          <w:sz w:val="24"/>
          <w:szCs w:val="24"/>
          <w:highlight w:val="none"/>
        </w:rPr>
        <w:t>的证明文件；需具备业界良好的口碑，具有良好的</w:t>
      </w:r>
      <w:r>
        <w:rPr>
          <w:rFonts w:hint="default" w:ascii="宋体" w:hAnsi="宋体" w:eastAsia="宋体" w:cs="Times New Roman"/>
          <w:kern w:val="0"/>
          <w:sz w:val="24"/>
          <w:szCs w:val="24"/>
          <w:highlight w:val="none"/>
        </w:rPr>
        <w:t>信用等级（或资信等级）。</w:t>
      </w:r>
    </w:p>
    <w:p w14:paraId="5857AA6D">
      <w:pPr>
        <w:spacing w:line="480" w:lineRule="exact"/>
        <w:ind w:firstLine="480"/>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3.2.6</w:t>
      </w:r>
      <w:r>
        <w:rPr>
          <w:rFonts w:hint="default" w:ascii="宋体" w:hAnsi="宋体" w:eastAsia="宋体" w:cs="Times New Roman"/>
          <w:kern w:val="0"/>
          <w:sz w:val="24"/>
          <w:szCs w:val="24"/>
          <w:highlight w:val="none"/>
        </w:rPr>
        <w:t>成交后，承诺按照</w:t>
      </w:r>
      <w:r>
        <w:rPr>
          <w:rFonts w:hint="eastAsia" w:ascii="宋体" w:hAnsi="宋体" w:eastAsia="宋体" w:cs="宋体"/>
          <w:bCs/>
          <w:color w:val="000000"/>
          <w:kern w:val="0"/>
          <w:sz w:val="24"/>
          <w:szCs w:val="24"/>
          <w:highlight w:val="none"/>
        </w:rPr>
        <w:t>徐州市丰县生态环境局</w:t>
      </w:r>
      <w:r>
        <w:rPr>
          <w:rFonts w:hint="default" w:ascii="宋体" w:hAnsi="宋体" w:eastAsia="宋体" w:cs="Times New Roman"/>
          <w:kern w:val="0"/>
          <w:sz w:val="24"/>
          <w:szCs w:val="24"/>
          <w:highlight w:val="none"/>
        </w:rPr>
        <w:t>要求开展运维交接工作</w:t>
      </w:r>
      <w:r>
        <w:rPr>
          <w:rFonts w:hint="eastAsia" w:ascii="宋体" w:hAnsi="宋体" w:eastAsia="宋体" w:cs="Times New Roman"/>
          <w:kern w:val="0"/>
          <w:sz w:val="24"/>
          <w:szCs w:val="24"/>
          <w:highlight w:val="none"/>
        </w:rPr>
        <w:t>，并做好接收方案</w:t>
      </w:r>
      <w:r>
        <w:rPr>
          <w:rFonts w:hint="default" w:ascii="宋体" w:hAnsi="宋体" w:eastAsia="宋体" w:cs="Times New Roman"/>
          <w:kern w:val="0"/>
          <w:sz w:val="24"/>
          <w:szCs w:val="24"/>
          <w:highlight w:val="none"/>
        </w:rPr>
        <w:t>。</w:t>
      </w:r>
    </w:p>
    <w:p w14:paraId="45770045">
      <w:pPr>
        <w:tabs>
          <w:tab w:val="left" w:pos="2280"/>
        </w:tabs>
        <w:spacing w:line="560" w:lineRule="exact"/>
        <w:ind w:firstLine="241"/>
        <w:contextualSpacing/>
        <w:jc w:val="both"/>
        <w:rPr>
          <w:rFonts w:hint="default" w:ascii="Times New Roman" w:hAnsi="Times New Roman" w:eastAsia="宋体" w:cs="Times New Roman"/>
          <w:b/>
          <w:kern w:val="0"/>
          <w:sz w:val="24"/>
          <w:szCs w:val="24"/>
          <w:highlight w:val="none"/>
        </w:rPr>
      </w:pPr>
      <w:r>
        <w:rPr>
          <w:rFonts w:hint="eastAsia" w:ascii="宋体" w:hAnsi="宋体" w:eastAsia="宋体" w:cs="Times New Roman"/>
          <w:b/>
          <w:kern w:val="0"/>
          <w:sz w:val="24"/>
          <w:szCs w:val="24"/>
          <w:highlight w:val="none"/>
          <w:lang w:val="en-US" w:eastAsia="zh-CN"/>
        </w:rPr>
        <w:t>3.3</w:t>
      </w:r>
      <w:r>
        <w:rPr>
          <w:rFonts w:hint="default" w:ascii="宋体" w:hAnsi="宋体" w:eastAsia="宋体" w:cs="Times New Roman"/>
          <w:b/>
          <w:kern w:val="0"/>
          <w:sz w:val="24"/>
          <w:szCs w:val="24"/>
          <w:highlight w:val="none"/>
        </w:rPr>
        <w:t>运维工作内容</w:t>
      </w:r>
    </w:p>
    <w:p w14:paraId="00CFA811">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运维过程中主要完成以下工作：</w:t>
      </w:r>
    </w:p>
    <w:p w14:paraId="3963628E">
      <w:pPr>
        <w:tabs>
          <w:tab w:val="left" w:pos="567"/>
          <w:tab w:val="left" w:pos="993"/>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3.3.1</w:t>
      </w:r>
      <w:r>
        <w:rPr>
          <w:rFonts w:hint="eastAsia" w:ascii="宋体" w:hAnsi="宋体" w:eastAsia="宋体" w:cs="Times New Roman"/>
          <w:kern w:val="0"/>
          <w:sz w:val="24"/>
          <w:szCs w:val="24"/>
          <w:highlight w:val="none"/>
        </w:rPr>
        <w:t>水站</w:t>
      </w:r>
      <w:r>
        <w:rPr>
          <w:rFonts w:hint="default" w:ascii="宋体" w:hAnsi="宋体" w:eastAsia="宋体" w:cs="Times New Roman"/>
          <w:kern w:val="0"/>
          <w:sz w:val="24"/>
          <w:szCs w:val="24"/>
          <w:highlight w:val="none"/>
        </w:rPr>
        <w:t>的日常运行维护。提供、配制并定期更换水质自动监测仪器所需试剂、气体和标样；根据仪器运行状况和类型，定期对溶解氧电极、氨氮电极、pH电极、高锰酸盐指数电极、总磷UV灯等耗材进行更换，其余备品备件根据江苏省有关水质自动站备品备件管理制度的要求按期更换。所有备品备件均由成交单位提供。</w:t>
      </w:r>
    </w:p>
    <w:p w14:paraId="6A76803A">
      <w:pPr>
        <w:tabs>
          <w:tab w:val="left" w:pos="567"/>
          <w:tab w:val="left" w:pos="180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3.3.2</w:t>
      </w:r>
      <w:r>
        <w:rPr>
          <w:rFonts w:hint="default" w:ascii="宋体" w:hAnsi="宋体" w:eastAsia="宋体" w:cs="Times New Roman"/>
          <w:kern w:val="0"/>
          <w:sz w:val="24"/>
          <w:szCs w:val="24"/>
          <w:highlight w:val="none"/>
        </w:rPr>
        <w:t>.</w:t>
      </w:r>
      <w:r>
        <w:rPr>
          <w:rFonts w:hint="eastAsia" w:ascii="宋体" w:hAnsi="宋体" w:eastAsia="宋体" w:cs="Times New Roman"/>
          <w:kern w:val="0"/>
          <w:sz w:val="24"/>
          <w:szCs w:val="24"/>
          <w:highlight w:val="none"/>
        </w:rPr>
        <w:t>水</w:t>
      </w:r>
      <w:r>
        <w:rPr>
          <w:rFonts w:hint="default" w:ascii="宋体" w:hAnsi="宋体" w:eastAsia="宋体" w:cs="Times New Roman"/>
          <w:kern w:val="0"/>
          <w:sz w:val="24"/>
          <w:szCs w:val="24"/>
          <w:highlight w:val="none"/>
        </w:rPr>
        <w:t>站的日常质量管理。对水站仪表进行定期校准、核查、比对、性能测试。配合</w:t>
      </w:r>
      <w:r>
        <w:rPr>
          <w:rFonts w:hint="eastAsia" w:ascii="宋体" w:hAnsi="宋体" w:eastAsia="宋体" w:cs="宋体"/>
          <w:bCs/>
          <w:color w:val="000000"/>
          <w:kern w:val="0"/>
          <w:sz w:val="24"/>
          <w:szCs w:val="24"/>
          <w:highlight w:val="none"/>
        </w:rPr>
        <w:t>徐州市丰县生态环境局</w:t>
      </w:r>
      <w:r>
        <w:rPr>
          <w:rFonts w:hint="default" w:ascii="宋体" w:hAnsi="宋体" w:eastAsia="宋体" w:cs="Times New Roman"/>
          <w:kern w:val="0"/>
          <w:sz w:val="24"/>
          <w:szCs w:val="24"/>
          <w:highlight w:val="none"/>
        </w:rPr>
        <w:t>、驻市中心进行水站质量保证和质量质控工作。</w:t>
      </w:r>
    </w:p>
    <w:p w14:paraId="40C31069">
      <w:pPr>
        <w:tabs>
          <w:tab w:val="left" w:pos="567"/>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3.3.3</w:t>
      </w:r>
      <w:r>
        <w:rPr>
          <w:rFonts w:hint="default" w:ascii="宋体" w:hAnsi="宋体" w:eastAsia="宋体" w:cs="Times New Roman"/>
          <w:kern w:val="0"/>
          <w:sz w:val="24"/>
          <w:szCs w:val="24"/>
          <w:highlight w:val="none"/>
        </w:rPr>
        <w:t>.</w:t>
      </w:r>
      <w:r>
        <w:rPr>
          <w:rFonts w:hint="eastAsia" w:ascii="宋体" w:hAnsi="宋体" w:eastAsia="宋体" w:cs="Times New Roman"/>
          <w:kern w:val="0"/>
          <w:sz w:val="24"/>
          <w:szCs w:val="24"/>
          <w:highlight w:val="none"/>
        </w:rPr>
        <w:t>水站</w:t>
      </w:r>
      <w:r>
        <w:rPr>
          <w:rFonts w:hint="default" w:ascii="宋体" w:hAnsi="宋体" w:eastAsia="宋体" w:cs="Times New Roman"/>
          <w:kern w:val="0"/>
          <w:sz w:val="24"/>
          <w:szCs w:val="24"/>
          <w:highlight w:val="none"/>
        </w:rPr>
        <w:t>的日常安全管</w:t>
      </w:r>
      <w:r>
        <w:rPr>
          <w:rFonts w:hint="default" w:ascii="宋体" w:hAnsi="宋体" w:eastAsia="宋体" w:cs="Times New Roman"/>
          <w:kern w:val="0"/>
          <w:sz w:val="24"/>
          <w:szCs w:val="24"/>
          <w:highlight w:val="none"/>
        </w:rPr>
        <w:t>理。运营维护期间所需水电、通讯费用由成交单位负责，委托运营维护及管理的全部资产（包括全部产权和建筑物、设备、软件、配套设施、水质自动站和配套监控系统产生的各类数据信息及相关文档资料）属业主方所有。成交人不得以任何方式对各类财产进行出售、抵押或转移；同时，在委托运营及管理期间，成交单位有责任保证上述全部资产的完整、安全并处于良好状态。未经业主允许，非水站运维人员不得擅自进入站房。</w:t>
      </w:r>
    </w:p>
    <w:p w14:paraId="6102EF45">
      <w:pPr>
        <w:tabs>
          <w:tab w:val="left" w:pos="567"/>
          <w:tab w:val="left" w:pos="2280"/>
        </w:tabs>
        <w:spacing w:line="480" w:lineRule="exact"/>
        <w:ind w:firstLine="36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3.3.4</w:t>
      </w:r>
      <w:r>
        <w:rPr>
          <w:rFonts w:hint="default" w:ascii="宋体" w:hAnsi="宋体" w:eastAsia="宋体" w:cs="Times New Roman"/>
          <w:kern w:val="0"/>
          <w:sz w:val="24"/>
          <w:szCs w:val="24"/>
          <w:highlight w:val="none"/>
        </w:rPr>
        <w:t>.</w:t>
      </w:r>
      <w:r>
        <w:rPr>
          <w:rFonts w:hint="eastAsia" w:ascii="宋体" w:hAnsi="宋体" w:eastAsia="宋体" w:cs="Times New Roman"/>
          <w:kern w:val="0"/>
          <w:sz w:val="24"/>
          <w:szCs w:val="24"/>
          <w:highlight w:val="none"/>
        </w:rPr>
        <w:t>水</w:t>
      </w:r>
      <w:r>
        <w:rPr>
          <w:rFonts w:hint="default" w:ascii="宋体" w:hAnsi="宋体" w:eastAsia="宋体" w:cs="Times New Roman"/>
          <w:kern w:val="0"/>
          <w:sz w:val="24"/>
          <w:szCs w:val="24"/>
          <w:highlight w:val="none"/>
        </w:rPr>
        <w:t>站运维记录的规范、上报。认真、及时做好水站运行维护记录，汇总各水站每周维护记录，每月以书面形式报</w:t>
      </w:r>
      <w:r>
        <w:rPr>
          <w:rFonts w:hint="eastAsia" w:ascii="宋体" w:hAnsi="宋体" w:eastAsia="宋体" w:cs="宋体"/>
          <w:bCs/>
          <w:color w:val="000000"/>
          <w:kern w:val="0"/>
          <w:sz w:val="24"/>
          <w:szCs w:val="24"/>
          <w:highlight w:val="none"/>
        </w:rPr>
        <w:t>徐州市丰县生态环境局</w:t>
      </w:r>
      <w:r>
        <w:rPr>
          <w:rFonts w:hint="default" w:ascii="宋体" w:hAnsi="宋体" w:eastAsia="宋体" w:cs="Times New Roman"/>
          <w:kern w:val="0"/>
          <w:sz w:val="24"/>
          <w:szCs w:val="24"/>
          <w:highlight w:val="none"/>
        </w:rPr>
        <w:t>，书面报告作为运行维护考核依据之一，具体包括：</w:t>
      </w:r>
    </w:p>
    <w:p w14:paraId="1CED2370">
      <w:pPr>
        <w:tabs>
          <w:tab w:val="left" w:pos="567"/>
          <w:tab w:val="left" w:pos="993"/>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3.3.4.1</w:t>
      </w:r>
      <w:r>
        <w:rPr>
          <w:rFonts w:hint="default" w:ascii="宋体" w:hAnsi="宋体" w:eastAsia="宋体" w:cs="Times New Roman"/>
          <w:kern w:val="0"/>
          <w:sz w:val="24"/>
          <w:szCs w:val="24"/>
          <w:highlight w:val="none"/>
        </w:rPr>
        <w:t>自动站每日运行数据情况统计</w:t>
      </w:r>
    </w:p>
    <w:p w14:paraId="142253BE">
      <w:pPr>
        <w:tabs>
          <w:tab w:val="left" w:pos="567"/>
          <w:tab w:val="left" w:pos="993"/>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3.3.4.2</w:t>
      </w:r>
      <w:r>
        <w:rPr>
          <w:rFonts w:hint="default" w:ascii="宋体" w:hAnsi="宋体" w:eastAsia="宋体" w:cs="Times New Roman"/>
          <w:kern w:val="0"/>
          <w:sz w:val="24"/>
          <w:szCs w:val="24"/>
          <w:highlight w:val="none"/>
        </w:rPr>
        <w:t>自动站现场维护记录</w:t>
      </w:r>
    </w:p>
    <w:p w14:paraId="0DA0BF30">
      <w:pPr>
        <w:tabs>
          <w:tab w:val="left" w:pos="567"/>
          <w:tab w:val="left" w:pos="993"/>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3.3.4.3</w:t>
      </w:r>
      <w:r>
        <w:rPr>
          <w:rFonts w:hint="default" w:ascii="宋体" w:hAnsi="宋体" w:eastAsia="宋体" w:cs="Times New Roman"/>
          <w:kern w:val="0"/>
          <w:sz w:val="24"/>
          <w:szCs w:val="24"/>
          <w:highlight w:val="none"/>
        </w:rPr>
        <w:t>自动站仪器设备故障及排除情况登记表</w:t>
      </w:r>
    </w:p>
    <w:p w14:paraId="13A9FCFB">
      <w:pPr>
        <w:tabs>
          <w:tab w:val="left" w:pos="567"/>
          <w:tab w:val="left" w:pos="993"/>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3.3.4.4</w:t>
      </w:r>
      <w:r>
        <w:rPr>
          <w:rFonts w:hint="default" w:ascii="宋体" w:hAnsi="宋体" w:eastAsia="宋体" w:cs="Times New Roman"/>
          <w:kern w:val="0"/>
          <w:sz w:val="24"/>
          <w:szCs w:val="24"/>
          <w:highlight w:val="none"/>
        </w:rPr>
        <w:t>自动站每月运行情况</w:t>
      </w:r>
    </w:p>
    <w:p w14:paraId="6C53907A">
      <w:pPr>
        <w:tabs>
          <w:tab w:val="left" w:pos="567"/>
          <w:tab w:val="left" w:pos="993"/>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3.3.4.5</w:t>
      </w:r>
      <w:r>
        <w:rPr>
          <w:rFonts w:hint="default" w:ascii="宋体" w:hAnsi="宋体" w:eastAsia="宋体" w:cs="Times New Roman"/>
          <w:kern w:val="0"/>
          <w:sz w:val="24"/>
          <w:szCs w:val="24"/>
          <w:highlight w:val="none"/>
        </w:rPr>
        <w:t>自动站备品备件管理登记表</w:t>
      </w:r>
    </w:p>
    <w:p w14:paraId="34AB2366">
      <w:pPr>
        <w:tabs>
          <w:tab w:val="left" w:pos="567"/>
          <w:tab w:val="left" w:pos="709"/>
          <w:tab w:val="left" w:pos="75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3.3.5</w:t>
      </w:r>
      <w:r>
        <w:rPr>
          <w:rFonts w:hint="default" w:ascii="宋体" w:hAnsi="宋体" w:eastAsia="宋体" w:cs="Times New Roman"/>
          <w:kern w:val="0"/>
          <w:sz w:val="24"/>
          <w:szCs w:val="24"/>
          <w:highlight w:val="none"/>
        </w:rPr>
        <w:t>.水站的仪器设备及其他相关辅助设备设施的维护保养及故障维修。成交单位须针对水站系统和仪表制定年度保养检修计划并按期进行。保养检修包括系统的清洗和检修、仪器管路清洗、主要备件的更换、仪器的性能测试检查等内容。按照《江苏省环境水质（地表水）自动监测预警系统运行管理办法（试行）》要求，及时排除水站系统和仪表出现的故障，并对各种原因造成的仪器故障进行维修（由于地震、洪水和战争等不可预防和不可抗拒因素造成的自动站系统及仪器损坏除外）。</w:t>
      </w:r>
    </w:p>
    <w:p w14:paraId="5C4F1276">
      <w:pPr>
        <w:tabs>
          <w:tab w:val="left" w:pos="567"/>
          <w:tab w:val="left" w:pos="709"/>
          <w:tab w:val="left" w:pos="75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3.3.6</w:t>
      </w:r>
      <w:r>
        <w:rPr>
          <w:rFonts w:hint="default" w:ascii="宋体" w:hAnsi="宋体" w:eastAsia="宋体" w:cs="Times New Roman"/>
          <w:kern w:val="0"/>
          <w:sz w:val="24"/>
          <w:szCs w:val="24"/>
          <w:highlight w:val="none"/>
        </w:rPr>
        <w:t>.</w:t>
      </w:r>
      <w:r>
        <w:rPr>
          <w:rFonts w:hint="default" w:ascii="宋体" w:hAnsi="宋体" w:eastAsia="宋体" w:cs="Times New Roman"/>
          <w:kern w:val="0"/>
          <w:sz w:val="24"/>
          <w:szCs w:val="24"/>
          <w:highlight w:val="none"/>
        </w:rPr>
        <w:tab/>
      </w:r>
      <w:r>
        <w:rPr>
          <w:rFonts w:hint="default" w:ascii="宋体" w:hAnsi="宋体" w:eastAsia="宋体" w:cs="Times New Roman"/>
          <w:kern w:val="0"/>
          <w:sz w:val="24"/>
          <w:szCs w:val="24"/>
          <w:highlight w:val="none"/>
        </w:rPr>
        <w:t>水站数据采集及传输系统的维护及维修，保证通讯正常。</w:t>
      </w:r>
    </w:p>
    <w:p w14:paraId="178B6D09">
      <w:pPr>
        <w:tabs>
          <w:tab w:val="left" w:pos="567"/>
          <w:tab w:val="left" w:pos="709"/>
          <w:tab w:val="left" w:pos="75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3.3.7</w:t>
      </w:r>
      <w:r>
        <w:rPr>
          <w:rFonts w:hint="default" w:ascii="宋体" w:hAnsi="宋体" w:eastAsia="宋体" w:cs="Times New Roman"/>
          <w:kern w:val="0"/>
          <w:sz w:val="24"/>
          <w:szCs w:val="24"/>
          <w:highlight w:val="none"/>
        </w:rPr>
        <w:t>.</w:t>
      </w:r>
      <w:r>
        <w:rPr>
          <w:rFonts w:hint="default" w:ascii="宋体" w:hAnsi="宋体" w:eastAsia="宋体" w:cs="Times New Roman"/>
          <w:kern w:val="0"/>
          <w:sz w:val="24"/>
          <w:szCs w:val="24"/>
          <w:highlight w:val="none"/>
        </w:rPr>
        <w:tab/>
      </w:r>
      <w:r>
        <w:rPr>
          <w:rFonts w:hint="default" w:ascii="宋体" w:hAnsi="宋体" w:eastAsia="宋体" w:cs="Times New Roman"/>
          <w:kern w:val="0"/>
          <w:sz w:val="24"/>
          <w:szCs w:val="24"/>
          <w:highlight w:val="none"/>
        </w:rPr>
        <w:t>当仪器出现故障不能及时修复时，应在24小时之内使用备机开展监测；</w:t>
      </w:r>
    </w:p>
    <w:p w14:paraId="23975F18">
      <w:pPr>
        <w:tabs>
          <w:tab w:val="left" w:pos="567"/>
          <w:tab w:val="left" w:pos="709"/>
          <w:tab w:val="left" w:pos="750"/>
        </w:tabs>
        <w:spacing w:line="480" w:lineRule="exact"/>
        <w:ind w:right="45"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3.3.8</w:t>
      </w:r>
      <w:r>
        <w:rPr>
          <w:rFonts w:hint="default" w:ascii="宋体" w:hAnsi="宋体" w:eastAsia="宋体" w:cs="Times New Roman"/>
          <w:kern w:val="0"/>
          <w:sz w:val="24"/>
          <w:szCs w:val="24"/>
          <w:highlight w:val="none"/>
        </w:rPr>
        <w:t>.</w:t>
      </w:r>
      <w:r>
        <w:rPr>
          <w:rFonts w:hint="default" w:ascii="宋体" w:hAnsi="宋体" w:eastAsia="宋体" w:cs="Times New Roman"/>
          <w:kern w:val="0"/>
          <w:sz w:val="24"/>
          <w:szCs w:val="24"/>
          <w:highlight w:val="none"/>
        </w:rPr>
        <w:tab/>
      </w:r>
      <w:r>
        <w:rPr>
          <w:rFonts w:hint="default" w:ascii="宋体" w:hAnsi="宋体" w:eastAsia="宋体" w:cs="Times New Roman"/>
          <w:kern w:val="0"/>
          <w:sz w:val="24"/>
          <w:szCs w:val="24"/>
          <w:highlight w:val="none"/>
        </w:rPr>
        <w:t>仪器报废后（包括使用超过8年导致，或因洪水、地震、台风、站房外部火灾、爆炸、恐怖袭击、武装冲突、蓄意破坏等不可抗力导致），运维单位须先行及时使用备机开展监测，同时报告</w:t>
      </w:r>
      <w:r>
        <w:rPr>
          <w:rFonts w:hint="eastAsia" w:ascii="宋体" w:hAnsi="宋体" w:eastAsia="宋体" w:cs="宋体"/>
          <w:bCs/>
          <w:color w:val="000000"/>
          <w:kern w:val="0"/>
          <w:sz w:val="24"/>
          <w:szCs w:val="24"/>
          <w:highlight w:val="none"/>
        </w:rPr>
        <w:t>徐州市丰县生态环境局</w:t>
      </w:r>
      <w:r>
        <w:rPr>
          <w:rFonts w:hint="default" w:ascii="宋体" w:hAnsi="宋体" w:eastAsia="宋体" w:cs="Times New Roman"/>
          <w:kern w:val="0"/>
          <w:sz w:val="24"/>
          <w:szCs w:val="24"/>
          <w:highlight w:val="none"/>
        </w:rPr>
        <w:t>。</w:t>
      </w:r>
    </w:p>
    <w:p w14:paraId="15669ED5">
      <w:pPr>
        <w:tabs>
          <w:tab w:val="left" w:pos="567"/>
          <w:tab w:val="left" w:pos="709"/>
          <w:tab w:val="left" w:pos="993"/>
        </w:tabs>
        <w:spacing w:line="480" w:lineRule="exact"/>
        <w:ind w:right="45"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3.3.9</w:t>
      </w:r>
      <w:r>
        <w:rPr>
          <w:rFonts w:hint="default" w:ascii="宋体" w:hAnsi="宋体" w:eastAsia="宋体" w:cs="Times New Roman"/>
          <w:kern w:val="0"/>
          <w:sz w:val="24"/>
          <w:szCs w:val="24"/>
          <w:highlight w:val="none"/>
        </w:rPr>
        <w:t>.当点位需要新增、撤销、变更时，由所在地城市生态环境部门按照点位管理程序向省生态环境厅报批。涉及站点迁移的，运维单位应做好迁移前后监测仪器设备检查工作并做好相关记录。</w:t>
      </w:r>
    </w:p>
    <w:p w14:paraId="2433786F">
      <w:pPr>
        <w:tabs>
          <w:tab w:val="left" w:pos="2280"/>
        </w:tabs>
        <w:spacing w:line="560" w:lineRule="exact"/>
        <w:ind w:firstLine="241"/>
        <w:contextualSpacing/>
        <w:jc w:val="both"/>
        <w:rPr>
          <w:rFonts w:hint="default" w:ascii="Times New Roman" w:hAnsi="Times New Roman" w:eastAsia="宋体" w:cs="Times New Roman"/>
          <w:b/>
          <w:kern w:val="0"/>
          <w:sz w:val="24"/>
          <w:szCs w:val="24"/>
          <w:highlight w:val="none"/>
        </w:rPr>
      </w:pPr>
      <w:r>
        <w:rPr>
          <w:rFonts w:hint="eastAsia" w:ascii="宋体" w:hAnsi="宋体" w:eastAsia="宋体" w:cs="Times New Roman"/>
          <w:b/>
          <w:kern w:val="0"/>
          <w:sz w:val="24"/>
          <w:szCs w:val="24"/>
          <w:highlight w:val="none"/>
          <w:lang w:val="en-US" w:eastAsia="zh-CN"/>
        </w:rPr>
        <w:t>3.4</w:t>
      </w:r>
      <w:r>
        <w:rPr>
          <w:rFonts w:hint="default" w:ascii="宋体" w:hAnsi="宋体" w:eastAsia="宋体" w:cs="Times New Roman"/>
          <w:b/>
          <w:kern w:val="0"/>
          <w:sz w:val="24"/>
          <w:szCs w:val="24"/>
          <w:highlight w:val="none"/>
        </w:rPr>
        <w:t>运维工作要求</w:t>
      </w:r>
    </w:p>
    <w:p w14:paraId="647568B8">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运维单位应遵守省国家、省关于水质自动站运行管理的各项规定，如运维期间出台新的运行管理规定，则运维工作按最新规定执行。</w:t>
      </w:r>
    </w:p>
    <w:p w14:paraId="79AABBCA">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3.4.1</w:t>
      </w:r>
      <w:r>
        <w:rPr>
          <w:rFonts w:hint="default" w:ascii="宋体" w:hAnsi="宋体" w:eastAsia="宋体" w:cs="Times New Roman"/>
          <w:kern w:val="0"/>
          <w:sz w:val="24"/>
          <w:szCs w:val="24"/>
          <w:highlight w:val="none"/>
        </w:rPr>
        <w:t>.运维工作一般要求如下：</w:t>
      </w:r>
    </w:p>
    <w:p w14:paraId="69E14D8C">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3.4.1.1</w:t>
      </w:r>
      <w:r>
        <w:rPr>
          <w:rFonts w:hint="default" w:ascii="宋体" w:hAnsi="宋体" w:eastAsia="宋体" w:cs="Times New Roman"/>
          <w:kern w:val="0"/>
          <w:sz w:val="24"/>
          <w:szCs w:val="24"/>
          <w:highlight w:val="none"/>
        </w:rPr>
        <w:t>保持站房内部环境清洁，布置整齐，各仪器设备干净清洁，设备标识清楚；</w:t>
      </w:r>
    </w:p>
    <w:p w14:paraId="38F27A9C">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3.4.1.2</w:t>
      </w:r>
      <w:r>
        <w:rPr>
          <w:rFonts w:hint="default" w:ascii="宋体" w:hAnsi="宋体" w:eastAsia="宋体" w:cs="Times New Roman"/>
          <w:kern w:val="0"/>
          <w:sz w:val="24"/>
          <w:szCs w:val="24"/>
          <w:highlight w:val="none"/>
        </w:rPr>
        <w:t>保持站房外20m以内的环境清洁；</w:t>
      </w:r>
    </w:p>
    <w:p w14:paraId="6A4AA1B2">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3.4.1.3</w:t>
      </w:r>
      <w:r>
        <w:rPr>
          <w:rFonts w:hint="default" w:ascii="宋体" w:hAnsi="宋体" w:eastAsia="宋体" w:cs="Times New Roman"/>
          <w:kern w:val="0"/>
          <w:sz w:val="24"/>
          <w:szCs w:val="24"/>
          <w:highlight w:val="none"/>
        </w:rPr>
        <w:t>检查供电和网络通讯情况，保证系统的正常运行;</w:t>
      </w:r>
    </w:p>
    <w:p w14:paraId="2FECDDF7">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3.4.1.4</w:t>
      </w:r>
      <w:r>
        <w:rPr>
          <w:rFonts w:hint="default" w:ascii="宋体" w:hAnsi="宋体" w:eastAsia="宋体" w:cs="Times New Roman"/>
          <w:kern w:val="0"/>
          <w:sz w:val="24"/>
          <w:szCs w:val="24"/>
          <w:highlight w:val="none"/>
        </w:rPr>
        <w:t>保证空调正常工作，站房内温度、湿度满足仪器运行要求；</w:t>
      </w:r>
    </w:p>
    <w:p w14:paraId="3D4A4A17">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3.4.1.5</w:t>
      </w:r>
      <w:r>
        <w:rPr>
          <w:rFonts w:hint="default" w:ascii="宋体" w:hAnsi="宋体" w:eastAsia="宋体" w:cs="Times New Roman"/>
          <w:kern w:val="0"/>
          <w:sz w:val="24"/>
          <w:szCs w:val="24"/>
          <w:highlight w:val="none"/>
        </w:rPr>
        <w:t>指派专人维护，设备固定牢固，门窗关闭良好，人走关门，非工作人员未经许可不得入内；</w:t>
      </w:r>
    </w:p>
    <w:p w14:paraId="0ABD0097">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3.4.1.6</w:t>
      </w:r>
      <w:r>
        <w:rPr>
          <w:rFonts w:hint="default" w:ascii="宋体" w:hAnsi="宋体" w:eastAsia="宋体" w:cs="Times New Roman"/>
          <w:kern w:val="0"/>
          <w:sz w:val="24"/>
          <w:szCs w:val="24"/>
          <w:highlight w:val="none"/>
        </w:rPr>
        <w:t>定期检查消防和安全设施；</w:t>
      </w:r>
    </w:p>
    <w:p w14:paraId="491E5D45">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3.4.1.7</w:t>
      </w:r>
      <w:r>
        <w:rPr>
          <w:rFonts w:hint="default" w:ascii="宋体" w:hAnsi="宋体" w:eastAsia="宋体" w:cs="Times New Roman"/>
          <w:kern w:val="0"/>
          <w:sz w:val="24"/>
          <w:szCs w:val="24"/>
          <w:highlight w:val="none"/>
        </w:rPr>
        <w:t>每次维护后做好系统运行维护记录；</w:t>
      </w:r>
    </w:p>
    <w:p w14:paraId="7BA3455D">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3.4.1.8</w:t>
      </w:r>
      <w:r>
        <w:rPr>
          <w:rFonts w:hint="default" w:ascii="宋体" w:hAnsi="宋体" w:eastAsia="宋体" w:cs="Times New Roman"/>
          <w:kern w:val="0"/>
          <w:sz w:val="24"/>
          <w:szCs w:val="24"/>
          <w:highlight w:val="none"/>
        </w:rPr>
        <w:t>进行维护时，应规范操作，注意安全，防止意外发生。</w:t>
      </w:r>
    </w:p>
    <w:p w14:paraId="3EB8A445">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3.4.2</w:t>
      </w:r>
      <w:r>
        <w:rPr>
          <w:rFonts w:hint="default" w:ascii="宋体" w:hAnsi="宋体" w:eastAsia="宋体" w:cs="Times New Roman"/>
          <w:kern w:val="0"/>
          <w:sz w:val="24"/>
          <w:szCs w:val="24"/>
          <w:highlight w:val="none"/>
        </w:rPr>
        <w:t>每日工作内容如下：</w:t>
      </w:r>
    </w:p>
    <w:p w14:paraId="15BF0C6D">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每天上午和下午两次远程查看省控站数据并形成记录，分析监测数据，对站点运行情况进行远程诊断和运行管理，内容包括：</w:t>
      </w:r>
    </w:p>
    <w:p w14:paraId="3387F2C7">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3.4.2.1</w:t>
      </w:r>
      <w:r>
        <w:rPr>
          <w:rFonts w:hint="default" w:ascii="宋体" w:hAnsi="宋体" w:eastAsia="宋体" w:cs="Times New Roman"/>
          <w:kern w:val="0"/>
          <w:sz w:val="24"/>
          <w:szCs w:val="24"/>
          <w:highlight w:val="none"/>
        </w:rPr>
        <w:t>判断系统数据采集与传输情况；</w:t>
      </w:r>
    </w:p>
    <w:p w14:paraId="5FD7EFCB">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3.4.2.2</w:t>
      </w:r>
      <w:r>
        <w:rPr>
          <w:rFonts w:hint="default" w:ascii="宋体" w:hAnsi="宋体" w:eastAsia="宋体" w:cs="Times New Roman"/>
          <w:kern w:val="0"/>
          <w:sz w:val="24"/>
          <w:szCs w:val="24"/>
          <w:highlight w:val="none"/>
        </w:rPr>
        <w:t>根据电源电压、站房温度、湿度数据判断站房内部情况；</w:t>
      </w:r>
    </w:p>
    <w:p w14:paraId="0095AFCC">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3.4.2.3</w:t>
      </w:r>
      <w:r>
        <w:rPr>
          <w:rFonts w:hint="default" w:ascii="宋体" w:hAnsi="宋体" w:eastAsia="宋体" w:cs="Times New Roman"/>
          <w:kern w:val="0"/>
          <w:sz w:val="24"/>
          <w:szCs w:val="24"/>
          <w:highlight w:val="none"/>
        </w:rPr>
        <w:t>发现监测数据异常，应立即通知</w:t>
      </w:r>
      <w:r>
        <w:rPr>
          <w:rFonts w:hint="eastAsia" w:ascii="宋体" w:hAnsi="宋体" w:eastAsia="宋体" w:cs="宋体"/>
          <w:bCs/>
          <w:color w:val="000000"/>
          <w:kern w:val="0"/>
          <w:sz w:val="24"/>
          <w:szCs w:val="24"/>
          <w:highlight w:val="none"/>
        </w:rPr>
        <w:t>徐州市丰县生态环境局</w:t>
      </w:r>
      <w:r>
        <w:rPr>
          <w:rFonts w:hint="default" w:ascii="宋体" w:hAnsi="宋体" w:eastAsia="宋体" w:cs="Times New Roman"/>
          <w:kern w:val="0"/>
          <w:sz w:val="24"/>
          <w:szCs w:val="24"/>
          <w:highlight w:val="none"/>
        </w:rPr>
        <w:t>，在每日6时～23时出现的异常，应在4小时内解决（通信线路、电力线路故障除外，但应及时与相关部门联系积极解决），每日0～5时出现的异常，应在次日上午10时前解决；</w:t>
      </w:r>
    </w:p>
    <w:p w14:paraId="376878A1">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3.4.2.4</w:t>
      </w:r>
      <w:r>
        <w:rPr>
          <w:rFonts w:hint="default" w:ascii="宋体" w:hAnsi="宋体" w:eastAsia="宋体" w:cs="Times New Roman"/>
          <w:kern w:val="0"/>
          <w:sz w:val="24"/>
          <w:szCs w:val="24"/>
          <w:highlight w:val="none"/>
        </w:rPr>
        <w:t>发生水质异常等特殊情况后，应在4小时内开展相应的运维工作，并将现场情况及时上报</w:t>
      </w:r>
      <w:r>
        <w:rPr>
          <w:rFonts w:hint="eastAsia" w:ascii="宋体" w:hAnsi="宋体" w:eastAsia="宋体" w:cs="宋体"/>
          <w:bCs/>
          <w:color w:val="000000"/>
          <w:kern w:val="0"/>
          <w:sz w:val="24"/>
          <w:szCs w:val="24"/>
          <w:highlight w:val="none"/>
        </w:rPr>
        <w:t>徐州市丰县生态环境局</w:t>
      </w:r>
      <w:r>
        <w:rPr>
          <w:rFonts w:hint="default" w:ascii="宋体" w:hAnsi="宋体" w:eastAsia="宋体" w:cs="Times New Roman"/>
          <w:kern w:val="0"/>
          <w:sz w:val="24"/>
          <w:szCs w:val="24"/>
          <w:highlight w:val="none"/>
        </w:rPr>
        <w:t>；</w:t>
      </w:r>
    </w:p>
    <w:p w14:paraId="1915797D">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3.4.2.5</w:t>
      </w:r>
      <w:r>
        <w:rPr>
          <w:rFonts w:hint="default" w:ascii="宋体" w:hAnsi="宋体" w:eastAsia="宋体" w:cs="Times New Roman"/>
          <w:kern w:val="0"/>
          <w:sz w:val="24"/>
          <w:szCs w:val="24"/>
          <w:highlight w:val="none"/>
        </w:rPr>
        <w:t>根据数据分析结果、设备状态参数和仪器故障报警信号，判断仪器运行情况和现场状况；</w:t>
      </w:r>
    </w:p>
    <w:p w14:paraId="78E0EF4E">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3.4.2.6</w:t>
      </w:r>
      <w:r>
        <w:rPr>
          <w:rFonts w:hint="default" w:ascii="宋体" w:hAnsi="宋体" w:eastAsia="宋体" w:cs="Times New Roman"/>
          <w:kern w:val="0"/>
          <w:sz w:val="24"/>
          <w:szCs w:val="24"/>
          <w:highlight w:val="none"/>
        </w:rPr>
        <w:t>每日检查数据是否及时上传并正常发布，发现数据断网及时恢复。</w:t>
      </w:r>
    </w:p>
    <w:p w14:paraId="69114032">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3.4.2.7</w:t>
      </w:r>
      <w:r>
        <w:rPr>
          <w:rFonts w:hint="default" w:ascii="宋体" w:hAnsi="宋体" w:eastAsia="宋体" w:cs="Times New Roman"/>
          <w:kern w:val="0"/>
          <w:sz w:val="24"/>
          <w:szCs w:val="24"/>
          <w:highlight w:val="none"/>
        </w:rPr>
        <w:t>运维单位对</w:t>
      </w:r>
      <w:r>
        <w:rPr>
          <w:rFonts w:hint="eastAsia" w:ascii="宋体" w:hAnsi="宋体" w:eastAsia="宋体" w:cs="Times New Roman"/>
          <w:kern w:val="0"/>
          <w:sz w:val="24"/>
          <w:szCs w:val="24"/>
          <w:highlight w:val="none"/>
        </w:rPr>
        <w:t>水</w:t>
      </w:r>
      <w:r>
        <w:rPr>
          <w:rFonts w:hint="default" w:ascii="宋体" w:hAnsi="宋体" w:eastAsia="宋体" w:cs="Times New Roman"/>
          <w:kern w:val="0"/>
          <w:sz w:val="24"/>
          <w:szCs w:val="24"/>
          <w:highlight w:val="none"/>
        </w:rPr>
        <w:t>站监测数据进行初审，并配合</w:t>
      </w:r>
      <w:r>
        <w:rPr>
          <w:rFonts w:hint="eastAsia" w:ascii="宋体" w:hAnsi="宋体" w:eastAsia="宋体" w:cs="宋体"/>
          <w:bCs/>
          <w:color w:val="000000"/>
          <w:kern w:val="0"/>
          <w:sz w:val="24"/>
          <w:szCs w:val="24"/>
          <w:highlight w:val="none"/>
        </w:rPr>
        <w:t>徐州市丰县生态环境局</w:t>
      </w:r>
      <w:r>
        <w:rPr>
          <w:rFonts w:hint="default" w:ascii="宋体" w:hAnsi="宋体" w:eastAsia="宋体" w:cs="Times New Roman"/>
          <w:kern w:val="0"/>
          <w:sz w:val="24"/>
          <w:szCs w:val="24"/>
          <w:highlight w:val="none"/>
        </w:rPr>
        <w:t>将审核数据按时提交</w:t>
      </w:r>
      <w:r>
        <w:rPr>
          <w:rFonts w:hint="eastAsia" w:ascii="宋体" w:hAnsi="宋体" w:eastAsia="宋体" w:cs="Times New Roman"/>
          <w:kern w:val="0"/>
          <w:sz w:val="24"/>
          <w:szCs w:val="24"/>
          <w:highlight w:val="none"/>
        </w:rPr>
        <w:t>驻市</w:t>
      </w:r>
      <w:r>
        <w:rPr>
          <w:rFonts w:hint="default" w:ascii="宋体" w:hAnsi="宋体" w:eastAsia="宋体" w:cs="Times New Roman"/>
          <w:kern w:val="0"/>
          <w:sz w:val="24"/>
          <w:szCs w:val="24"/>
          <w:highlight w:val="none"/>
        </w:rPr>
        <w:t>监测中心。</w:t>
      </w:r>
    </w:p>
    <w:p w14:paraId="3A08FB6A">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每日10时前</w:t>
      </w:r>
      <w:r>
        <w:rPr>
          <w:rFonts w:hint="eastAsia" w:ascii="宋体" w:hAnsi="宋体" w:eastAsia="宋体" w:cs="Times New Roman"/>
          <w:kern w:val="0"/>
          <w:sz w:val="24"/>
          <w:szCs w:val="24"/>
          <w:highlight w:val="none"/>
        </w:rPr>
        <w:t>运维人</w:t>
      </w:r>
      <w:r>
        <w:rPr>
          <w:rFonts w:hint="default" w:ascii="宋体" w:hAnsi="宋体" w:eastAsia="宋体" w:cs="Times New Roman"/>
          <w:kern w:val="0"/>
          <w:sz w:val="24"/>
          <w:szCs w:val="24"/>
          <w:highlight w:val="none"/>
        </w:rPr>
        <w:t>员配合</w:t>
      </w:r>
      <w:r>
        <w:rPr>
          <w:rFonts w:hint="eastAsia" w:ascii="宋体" w:hAnsi="宋体" w:eastAsia="宋体" w:cs="宋体"/>
          <w:bCs/>
          <w:color w:val="000000"/>
          <w:kern w:val="0"/>
          <w:sz w:val="24"/>
          <w:szCs w:val="24"/>
          <w:highlight w:val="none"/>
        </w:rPr>
        <w:t>徐州市丰县生态环境局</w:t>
      </w:r>
      <w:r>
        <w:rPr>
          <w:rFonts w:hint="default" w:ascii="宋体" w:hAnsi="宋体" w:eastAsia="宋体" w:cs="Times New Roman"/>
          <w:kern w:val="0"/>
          <w:sz w:val="24"/>
          <w:szCs w:val="24"/>
          <w:highlight w:val="none"/>
        </w:rPr>
        <w:t>完成</w:t>
      </w:r>
      <w:r>
        <w:rPr>
          <w:rFonts w:hint="eastAsia" w:ascii="宋体" w:hAnsi="宋体" w:eastAsia="宋体" w:cs="Times New Roman"/>
          <w:kern w:val="0"/>
          <w:sz w:val="24"/>
          <w:szCs w:val="24"/>
          <w:highlight w:val="none"/>
        </w:rPr>
        <w:t>水站</w:t>
      </w:r>
      <w:r>
        <w:rPr>
          <w:rFonts w:hint="default" w:ascii="宋体" w:hAnsi="宋体" w:eastAsia="宋体" w:cs="Times New Roman"/>
          <w:kern w:val="0"/>
          <w:sz w:val="24"/>
          <w:szCs w:val="24"/>
          <w:highlight w:val="none"/>
        </w:rPr>
        <w:t>前日各站点原始数据的审核，上报复核。当天因网络故障等原因未能完成数据审核报送的，应于当日18时前审核报送。</w:t>
      </w:r>
    </w:p>
    <w:p w14:paraId="7A498D1B">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w:t>
      </w:r>
      <w:r>
        <w:rPr>
          <w:rFonts w:hint="default" w:ascii="宋体" w:hAnsi="宋体" w:eastAsia="宋体" w:cs="Times New Roman"/>
          <w:kern w:val="0"/>
          <w:sz w:val="24"/>
          <w:szCs w:val="24"/>
          <w:highlight w:val="none"/>
        </w:rPr>
        <w:t>3.每周工作内容如下：</w:t>
      </w:r>
    </w:p>
    <w:p w14:paraId="58E7AA5B">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每周至少巡检省控站1次，并做好巡查记录，巡检时需要完成的工作包括：</w:t>
      </w:r>
    </w:p>
    <w:p w14:paraId="01C08635">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3.4.3.1</w:t>
      </w:r>
      <w:r>
        <w:rPr>
          <w:rFonts w:hint="default" w:ascii="宋体" w:hAnsi="宋体" w:eastAsia="宋体" w:cs="Times New Roman"/>
          <w:kern w:val="0"/>
          <w:sz w:val="24"/>
          <w:szCs w:val="24"/>
          <w:highlight w:val="none"/>
        </w:rPr>
        <w:t>查看站房内设备是否齐备，有无丢失和损坏；检查工控机、数采仪、视频监控设备及其它辅助设施工作是否正常；检查电路系统，保证系统供电正常，电压稳定；检查站点的通讯系统，保证站点与相关数据监控平台的连接正常，数据传输正常。</w:t>
      </w:r>
    </w:p>
    <w:p w14:paraId="09734514">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3.4.3.2</w:t>
      </w:r>
      <w:r>
        <w:rPr>
          <w:rFonts w:hint="default" w:ascii="宋体" w:hAnsi="宋体" w:eastAsia="宋体" w:cs="Times New Roman"/>
          <w:kern w:val="0"/>
          <w:sz w:val="24"/>
          <w:szCs w:val="24"/>
          <w:highlight w:val="none"/>
        </w:rPr>
        <w:t>检查各仪器管路、阀门是否正常，仪器电极有无沾污，检查试剂的消耗情况。</w:t>
      </w:r>
    </w:p>
    <w:p w14:paraId="63E5ADBF">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3.4.3.3</w:t>
      </w:r>
      <w:r>
        <w:rPr>
          <w:rFonts w:hint="default" w:ascii="宋体" w:hAnsi="宋体" w:eastAsia="宋体" w:cs="Times New Roman"/>
          <w:kern w:val="0"/>
          <w:sz w:val="24"/>
          <w:szCs w:val="24"/>
          <w:highlight w:val="none"/>
        </w:rPr>
        <w:t>检查各监测仪器的运行状况和工作参数，判断是否正常，如有异常情况及时处理，保证仪器运行正常。</w:t>
      </w:r>
      <w:r>
        <w:rPr>
          <w:rFonts w:hint="default" w:ascii="宋体" w:hAnsi="宋体" w:eastAsia="宋体" w:cs="Times New Roman"/>
          <w:kern w:val="0"/>
          <w:sz w:val="24"/>
          <w:szCs w:val="24"/>
          <w:highlight w:val="none"/>
        </w:rPr>
        <w:tab/>
      </w:r>
    </w:p>
    <w:p w14:paraId="1F23CC7F">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3.4.3.4</w:t>
      </w:r>
      <w:r>
        <w:rPr>
          <w:rFonts w:hint="default" w:ascii="宋体" w:hAnsi="宋体" w:eastAsia="宋体" w:cs="Times New Roman"/>
          <w:kern w:val="0"/>
          <w:sz w:val="24"/>
          <w:szCs w:val="24"/>
          <w:highlight w:val="none"/>
        </w:rPr>
        <w:t>高锰酸盐指数、氨氮、总磷每周2次质控核查（零点核查及漂移、标点核查及漂移，间隔不超过4天，可以为自动或手工）。</w:t>
      </w:r>
    </w:p>
    <w:p w14:paraId="53A7EBBB">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 xml:space="preserve">3.4.3.5 </w:t>
      </w:r>
      <w:r>
        <w:rPr>
          <w:rFonts w:hint="default" w:ascii="宋体" w:hAnsi="宋体" w:eastAsia="宋体" w:cs="Times New Roman"/>
          <w:kern w:val="0"/>
          <w:sz w:val="24"/>
          <w:szCs w:val="24"/>
          <w:highlight w:val="none"/>
        </w:rPr>
        <w:t>pH、溶解氧、电导率、浊度、水温每周至少进行一次水样比对。</w:t>
      </w:r>
    </w:p>
    <w:p w14:paraId="3774C577">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3.4.3.6</w:t>
      </w:r>
      <w:r>
        <w:rPr>
          <w:rFonts w:hint="default" w:ascii="宋体" w:hAnsi="宋体" w:eastAsia="宋体" w:cs="Times New Roman"/>
          <w:kern w:val="0"/>
          <w:sz w:val="24"/>
          <w:szCs w:val="24"/>
          <w:highlight w:val="none"/>
        </w:rPr>
        <w:t>水站系统（以氨氮、高锰酸盐指数为代表指标）进行一次系统干预检查。</w:t>
      </w:r>
    </w:p>
    <w:p w14:paraId="75BFEF1F">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3.4.3.7</w:t>
      </w:r>
      <w:r>
        <w:rPr>
          <w:rFonts w:hint="default" w:ascii="宋体" w:hAnsi="宋体" w:eastAsia="宋体" w:cs="Times New Roman"/>
          <w:kern w:val="0"/>
          <w:sz w:val="24"/>
          <w:szCs w:val="24"/>
          <w:highlight w:val="none"/>
        </w:rPr>
        <w:t>对仪器显示数据、时间与数据采集仪之间的一致性进行检查和校准。</w:t>
      </w:r>
    </w:p>
    <w:p w14:paraId="2644301F">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3.4.3.8</w:t>
      </w:r>
      <w:r>
        <w:rPr>
          <w:rFonts w:hint="default" w:ascii="宋体" w:hAnsi="宋体" w:eastAsia="宋体" w:cs="Times New Roman"/>
          <w:kern w:val="0"/>
          <w:sz w:val="24"/>
          <w:szCs w:val="24"/>
          <w:highlight w:val="none"/>
        </w:rPr>
        <w:t>每周对站房内各仪器、内外环境卫生进行检查，及时保洁。及时清除站房周围的杂草、积水和取水口附近杂物。</w:t>
      </w:r>
    </w:p>
    <w:p w14:paraId="0D0F5146">
      <w:pPr>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3.4.3.9</w:t>
      </w:r>
      <w:r>
        <w:rPr>
          <w:rFonts w:hint="default" w:ascii="宋体" w:hAnsi="宋体" w:eastAsia="宋体" w:cs="Times New Roman"/>
          <w:kern w:val="0"/>
          <w:sz w:val="24"/>
          <w:szCs w:val="24"/>
          <w:highlight w:val="none"/>
        </w:rPr>
        <w:t>检查站房的安全设施，做好防火防盗工作。</w:t>
      </w:r>
    </w:p>
    <w:p w14:paraId="046981CD">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具体要求见下表：</w:t>
      </w:r>
    </w:p>
    <w:tbl>
      <w:tblPr>
        <w:tblStyle w:val="6"/>
        <w:tblW w:w="91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10"/>
        <w:gridCol w:w="1498"/>
        <w:gridCol w:w="1255"/>
        <w:gridCol w:w="5691"/>
      </w:tblGrid>
      <w:tr w14:paraId="496B36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10" w:type="dxa"/>
            <w:noWrap w:val="0"/>
            <w:vAlign w:val="center"/>
          </w:tcPr>
          <w:p w14:paraId="53169B79">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序号</w:t>
            </w:r>
          </w:p>
        </w:tc>
        <w:tc>
          <w:tcPr>
            <w:tcW w:w="1498" w:type="dxa"/>
            <w:noWrap w:val="0"/>
            <w:vAlign w:val="center"/>
          </w:tcPr>
          <w:p w14:paraId="682D75DC">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维护内容</w:t>
            </w:r>
          </w:p>
        </w:tc>
        <w:tc>
          <w:tcPr>
            <w:tcW w:w="1255" w:type="dxa"/>
            <w:noWrap w:val="0"/>
            <w:vAlign w:val="center"/>
          </w:tcPr>
          <w:p w14:paraId="436D43E2">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维护周期及目标</w:t>
            </w:r>
          </w:p>
        </w:tc>
        <w:tc>
          <w:tcPr>
            <w:tcW w:w="5691" w:type="dxa"/>
            <w:noWrap w:val="0"/>
            <w:vAlign w:val="center"/>
          </w:tcPr>
          <w:p w14:paraId="6FD785DC">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维护要求</w:t>
            </w:r>
          </w:p>
        </w:tc>
      </w:tr>
      <w:tr w14:paraId="671720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710" w:type="dxa"/>
            <w:vMerge w:val="restart"/>
            <w:noWrap w:val="0"/>
            <w:vAlign w:val="center"/>
          </w:tcPr>
          <w:p w14:paraId="5C45ED5E">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w:t>
            </w:r>
          </w:p>
        </w:tc>
        <w:tc>
          <w:tcPr>
            <w:tcW w:w="1498" w:type="dxa"/>
            <w:vMerge w:val="restart"/>
            <w:noWrap w:val="0"/>
            <w:vAlign w:val="center"/>
          </w:tcPr>
          <w:p w14:paraId="3FF247CE">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通讯检查</w:t>
            </w:r>
          </w:p>
        </w:tc>
        <w:tc>
          <w:tcPr>
            <w:tcW w:w="1255" w:type="dxa"/>
            <w:vMerge w:val="restart"/>
            <w:noWrap w:val="0"/>
            <w:vAlign w:val="center"/>
          </w:tcPr>
          <w:p w14:paraId="3C126D15">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1次/周，确保控制和数据上传通道畅通</w:t>
            </w:r>
          </w:p>
        </w:tc>
        <w:tc>
          <w:tcPr>
            <w:tcW w:w="5691" w:type="dxa"/>
            <w:noWrap w:val="0"/>
            <w:vAlign w:val="center"/>
          </w:tcPr>
          <w:p w14:paraId="4B595A67">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确保工控机各串口和PLC、数采仪、分析仪器连接一一对应正确且牢固</w:t>
            </w:r>
          </w:p>
        </w:tc>
      </w:tr>
      <w:tr w14:paraId="644C51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710" w:type="dxa"/>
            <w:vMerge w:val="continue"/>
            <w:noWrap w:val="0"/>
            <w:vAlign w:val="center"/>
          </w:tcPr>
          <w:p w14:paraId="6246711B">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13E14D54">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55656421">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3935D88C">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通过现场监控软件测试工控与PLC及各仪器之间是否连接正确</w:t>
            </w:r>
          </w:p>
        </w:tc>
      </w:tr>
      <w:tr w14:paraId="08BB8A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710" w:type="dxa"/>
            <w:vMerge w:val="continue"/>
            <w:noWrap w:val="0"/>
            <w:vAlign w:val="center"/>
          </w:tcPr>
          <w:p w14:paraId="55D4E497">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33368546">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52C72BF0">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4DD8410D">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VPN网络设备检查，保证通讯畅通</w:t>
            </w:r>
          </w:p>
        </w:tc>
      </w:tr>
      <w:tr w14:paraId="1EA85C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10" w:type="dxa"/>
            <w:vMerge w:val="continue"/>
            <w:noWrap w:val="0"/>
            <w:vAlign w:val="center"/>
          </w:tcPr>
          <w:p w14:paraId="5EE3A243">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0E1142B4">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71B372DB">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014A5103">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视频监控设备检查，监控视角位置</w:t>
            </w:r>
          </w:p>
        </w:tc>
      </w:tr>
      <w:tr w14:paraId="7B0865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710" w:type="dxa"/>
            <w:vMerge w:val="restart"/>
            <w:noWrap w:val="0"/>
            <w:vAlign w:val="center"/>
          </w:tcPr>
          <w:p w14:paraId="5A2D2350">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2</w:t>
            </w:r>
          </w:p>
        </w:tc>
        <w:tc>
          <w:tcPr>
            <w:tcW w:w="1498" w:type="dxa"/>
            <w:vMerge w:val="restart"/>
            <w:noWrap w:val="0"/>
            <w:vAlign w:val="center"/>
          </w:tcPr>
          <w:p w14:paraId="78EC306B">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PLC检查</w:t>
            </w:r>
          </w:p>
        </w:tc>
        <w:tc>
          <w:tcPr>
            <w:tcW w:w="1255" w:type="dxa"/>
            <w:vMerge w:val="continue"/>
            <w:noWrap w:val="0"/>
            <w:vAlign w:val="center"/>
          </w:tcPr>
          <w:p w14:paraId="2722F7CE">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4322C3BB">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检查PLC状态数据传输和报警灯，确保无数据传输和报警</w:t>
            </w:r>
          </w:p>
        </w:tc>
      </w:tr>
      <w:tr w14:paraId="5B81D2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710" w:type="dxa"/>
            <w:vMerge w:val="continue"/>
            <w:noWrap w:val="0"/>
            <w:vAlign w:val="center"/>
          </w:tcPr>
          <w:p w14:paraId="558AE617">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56421677">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0FCEB141">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68923D56">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确保取水过程中PLC上各点输入输出状态正确</w:t>
            </w:r>
          </w:p>
        </w:tc>
      </w:tr>
      <w:tr w14:paraId="3BE405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710" w:type="dxa"/>
            <w:vMerge w:val="continue"/>
            <w:noWrap w:val="0"/>
            <w:vAlign w:val="center"/>
          </w:tcPr>
          <w:p w14:paraId="1827A28E">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20E20719">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1CCE4E09">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2E08D18F">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测量并确保PLC时钟电池电压正常。必要的情况更换电池</w:t>
            </w:r>
          </w:p>
        </w:tc>
      </w:tr>
      <w:tr w14:paraId="44E176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jc w:val="center"/>
        </w:trPr>
        <w:tc>
          <w:tcPr>
            <w:tcW w:w="710" w:type="dxa"/>
            <w:vMerge w:val="continue"/>
            <w:noWrap w:val="0"/>
            <w:vAlign w:val="center"/>
          </w:tcPr>
          <w:p w14:paraId="3E0F6E8B">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679C22BF">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5ABF78DE">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11EBECC6">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确保PLC串口模块连接牢固</w:t>
            </w:r>
          </w:p>
        </w:tc>
      </w:tr>
      <w:tr w14:paraId="6EEE23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jc w:val="center"/>
        </w:trPr>
        <w:tc>
          <w:tcPr>
            <w:tcW w:w="710" w:type="dxa"/>
            <w:noWrap w:val="0"/>
            <w:vAlign w:val="center"/>
          </w:tcPr>
          <w:p w14:paraId="535EC402">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3</w:t>
            </w:r>
          </w:p>
        </w:tc>
        <w:tc>
          <w:tcPr>
            <w:tcW w:w="1498" w:type="dxa"/>
            <w:noWrap w:val="0"/>
            <w:vAlign w:val="center"/>
          </w:tcPr>
          <w:p w14:paraId="7258AF12">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面板开关检查</w:t>
            </w:r>
          </w:p>
        </w:tc>
        <w:tc>
          <w:tcPr>
            <w:tcW w:w="1255" w:type="dxa"/>
            <w:vMerge w:val="restart"/>
            <w:noWrap w:val="0"/>
            <w:vAlign w:val="center"/>
          </w:tcPr>
          <w:p w14:paraId="62FB9D05">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1次/周，确保各开关功能正常</w:t>
            </w:r>
          </w:p>
        </w:tc>
        <w:tc>
          <w:tcPr>
            <w:tcW w:w="5691" w:type="dxa"/>
            <w:noWrap w:val="0"/>
            <w:vAlign w:val="center"/>
          </w:tcPr>
          <w:p w14:paraId="716B53D7">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检查控制柜前面板开关和指示灯确保其工作正常</w:t>
            </w:r>
          </w:p>
        </w:tc>
      </w:tr>
      <w:tr w14:paraId="061ADD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jc w:val="center"/>
        </w:trPr>
        <w:tc>
          <w:tcPr>
            <w:tcW w:w="710" w:type="dxa"/>
            <w:noWrap w:val="0"/>
            <w:vAlign w:val="center"/>
          </w:tcPr>
          <w:p w14:paraId="0765FA73">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4</w:t>
            </w:r>
          </w:p>
        </w:tc>
        <w:tc>
          <w:tcPr>
            <w:tcW w:w="1498" w:type="dxa"/>
            <w:noWrap w:val="0"/>
            <w:vAlign w:val="center"/>
          </w:tcPr>
          <w:p w14:paraId="240E356A">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配电板清扫</w:t>
            </w:r>
          </w:p>
        </w:tc>
        <w:tc>
          <w:tcPr>
            <w:tcW w:w="1255" w:type="dxa"/>
            <w:vMerge w:val="continue"/>
            <w:noWrap w:val="0"/>
            <w:vAlign w:val="center"/>
          </w:tcPr>
          <w:p w14:paraId="3335B4D3">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57DCE308">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清扫配电板上各个元件上的灰尘</w:t>
            </w:r>
          </w:p>
        </w:tc>
      </w:tr>
      <w:tr w14:paraId="2010A0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710" w:type="dxa"/>
            <w:noWrap w:val="0"/>
            <w:vAlign w:val="center"/>
          </w:tcPr>
          <w:p w14:paraId="334F7B9E">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5</w:t>
            </w:r>
          </w:p>
        </w:tc>
        <w:tc>
          <w:tcPr>
            <w:tcW w:w="1498" w:type="dxa"/>
            <w:noWrap w:val="0"/>
            <w:vAlign w:val="center"/>
          </w:tcPr>
          <w:p w14:paraId="3F4BC74B">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配电板状态检查</w:t>
            </w:r>
          </w:p>
        </w:tc>
        <w:tc>
          <w:tcPr>
            <w:tcW w:w="1255" w:type="dxa"/>
            <w:vMerge w:val="continue"/>
            <w:noWrap w:val="0"/>
            <w:vAlign w:val="center"/>
          </w:tcPr>
          <w:p w14:paraId="6A026048">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3A942642">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检查确保配电板上各个接线接头不松动，并清除锈蚀接头。确保各个接触器和继电器工作正常</w:t>
            </w:r>
          </w:p>
        </w:tc>
      </w:tr>
      <w:tr w14:paraId="1274BE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jc w:val="center"/>
        </w:trPr>
        <w:tc>
          <w:tcPr>
            <w:tcW w:w="710" w:type="dxa"/>
            <w:noWrap w:val="0"/>
            <w:vAlign w:val="center"/>
          </w:tcPr>
          <w:p w14:paraId="26374184">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6</w:t>
            </w:r>
          </w:p>
        </w:tc>
        <w:tc>
          <w:tcPr>
            <w:tcW w:w="1498" w:type="dxa"/>
            <w:noWrap w:val="0"/>
            <w:vAlign w:val="center"/>
          </w:tcPr>
          <w:p w14:paraId="6F106D83">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接地检查</w:t>
            </w:r>
          </w:p>
        </w:tc>
        <w:tc>
          <w:tcPr>
            <w:tcW w:w="1255" w:type="dxa"/>
            <w:vMerge w:val="continue"/>
            <w:noWrap w:val="0"/>
            <w:vAlign w:val="center"/>
          </w:tcPr>
          <w:p w14:paraId="2EA182AA">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59D5AD3E">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确保各个机柜和用电器接地良好，尤其注意防雷保护器接地</w:t>
            </w:r>
          </w:p>
        </w:tc>
      </w:tr>
      <w:tr w14:paraId="671339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jc w:val="center"/>
        </w:trPr>
        <w:tc>
          <w:tcPr>
            <w:tcW w:w="710" w:type="dxa"/>
            <w:noWrap w:val="0"/>
            <w:vAlign w:val="center"/>
          </w:tcPr>
          <w:p w14:paraId="72F4CFF5">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7</w:t>
            </w:r>
          </w:p>
        </w:tc>
        <w:tc>
          <w:tcPr>
            <w:tcW w:w="1498" w:type="dxa"/>
            <w:noWrap w:val="0"/>
            <w:vAlign w:val="center"/>
          </w:tcPr>
          <w:p w14:paraId="1E95DA09">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温湿度仪检查</w:t>
            </w:r>
          </w:p>
        </w:tc>
        <w:tc>
          <w:tcPr>
            <w:tcW w:w="1255" w:type="dxa"/>
            <w:vMerge w:val="continue"/>
            <w:noWrap w:val="0"/>
            <w:vAlign w:val="center"/>
          </w:tcPr>
          <w:p w14:paraId="4AF6D844">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071E903E">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检查温、湿度仪是否显示合理，保证温度探头反应灵敏</w:t>
            </w:r>
          </w:p>
        </w:tc>
      </w:tr>
      <w:tr w14:paraId="60ECE1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10" w:type="dxa"/>
            <w:vMerge w:val="restart"/>
            <w:noWrap w:val="0"/>
            <w:vAlign w:val="center"/>
          </w:tcPr>
          <w:p w14:paraId="60BA3E7C">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8</w:t>
            </w:r>
          </w:p>
        </w:tc>
        <w:tc>
          <w:tcPr>
            <w:tcW w:w="1498" w:type="dxa"/>
            <w:vMerge w:val="restart"/>
            <w:noWrap w:val="0"/>
            <w:vAlign w:val="center"/>
          </w:tcPr>
          <w:p w14:paraId="549BBAC3">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稳压电源清扫</w:t>
            </w:r>
          </w:p>
        </w:tc>
        <w:tc>
          <w:tcPr>
            <w:tcW w:w="1255" w:type="dxa"/>
            <w:vMerge w:val="continue"/>
            <w:noWrap w:val="0"/>
            <w:vAlign w:val="center"/>
          </w:tcPr>
          <w:p w14:paraId="58E965BB">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16C89DA8">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断电情况下清扫稳压电源内的灰尘</w:t>
            </w:r>
          </w:p>
        </w:tc>
      </w:tr>
      <w:tr w14:paraId="0AA950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10" w:type="dxa"/>
            <w:vMerge w:val="continue"/>
            <w:noWrap w:val="0"/>
            <w:vAlign w:val="center"/>
          </w:tcPr>
          <w:p w14:paraId="0BFC5864">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0950A405">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0A45E0C9">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2F6F5FC1">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检查碳刷是否正常，磨损较多情况必须更换</w:t>
            </w:r>
          </w:p>
        </w:tc>
      </w:tr>
      <w:tr w14:paraId="56F02D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10" w:type="dxa"/>
            <w:vMerge w:val="continue"/>
            <w:noWrap w:val="0"/>
            <w:vAlign w:val="center"/>
          </w:tcPr>
          <w:p w14:paraId="464E6BA4">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03E8E564">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4EB5A5D7">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6E287F75">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上电测试，确保稳压源工作正常</w:t>
            </w:r>
          </w:p>
        </w:tc>
      </w:tr>
      <w:tr w14:paraId="11EDD9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710" w:type="dxa"/>
            <w:vMerge w:val="restart"/>
            <w:noWrap w:val="0"/>
            <w:vAlign w:val="center"/>
          </w:tcPr>
          <w:p w14:paraId="78E58DA2">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9</w:t>
            </w:r>
          </w:p>
        </w:tc>
        <w:tc>
          <w:tcPr>
            <w:tcW w:w="1498" w:type="dxa"/>
            <w:vMerge w:val="restart"/>
            <w:noWrap w:val="0"/>
            <w:vAlign w:val="center"/>
          </w:tcPr>
          <w:p w14:paraId="67371215">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UPS检查清扫</w:t>
            </w:r>
          </w:p>
        </w:tc>
        <w:tc>
          <w:tcPr>
            <w:tcW w:w="1255" w:type="dxa"/>
            <w:vMerge w:val="continue"/>
            <w:noWrap w:val="0"/>
            <w:vAlign w:val="center"/>
          </w:tcPr>
          <w:p w14:paraId="5A092144">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50201EE3">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断电情况下清扫UPS各个散热孔上的灰尘</w:t>
            </w:r>
          </w:p>
        </w:tc>
      </w:tr>
      <w:tr w14:paraId="7F478D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jc w:val="center"/>
        </w:trPr>
        <w:tc>
          <w:tcPr>
            <w:tcW w:w="710" w:type="dxa"/>
            <w:vMerge w:val="continue"/>
            <w:noWrap w:val="0"/>
            <w:vAlign w:val="center"/>
          </w:tcPr>
          <w:p w14:paraId="1F961572">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4803F862">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1982C7BF">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18A6C964">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检查确保UPS充放电正常</w:t>
            </w:r>
          </w:p>
        </w:tc>
      </w:tr>
      <w:tr w14:paraId="613EBD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710" w:type="dxa"/>
            <w:vMerge w:val="restart"/>
            <w:noWrap w:val="0"/>
            <w:vAlign w:val="center"/>
          </w:tcPr>
          <w:p w14:paraId="07AF2382">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10</w:t>
            </w:r>
          </w:p>
        </w:tc>
        <w:tc>
          <w:tcPr>
            <w:tcW w:w="1498" w:type="dxa"/>
            <w:vMerge w:val="restart"/>
            <w:noWrap w:val="0"/>
            <w:vAlign w:val="center"/>
          </w:tcPr>
          <w:p w14:paraId="613A022D">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UPS电池箱清扫</w:t>
            </w:r>
          </w:p>
        </w:tc>
        <w:tc>
          <w:tcPr>
            <w:tcW w:w="1255" w:type="dxa"/>
            <w:vMerge w:val="continue"/>
            <w:noWrap w:val="0"/>
            <w:vAlign w:val="center"/>
          </w:tcPr>
          <w:p w14:paraId="2F3C1BEA">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62958186">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做好绝缘措施情况下清扫UPS电池箱内的灰尘</w:t>
            </w:r>
          </w:p>
        </w:tc>
      </w:tr>
      <w:tr w14:paraId="01CD95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10" w:type="dxa"/>
            <w:vMerge w:val="continue"/>
            <w:noWrap w:val="0"/>
            <w:vAlign w:val="center"/>
          </w:tcPr>
          <w:p w14:paraId="6AC003ED">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16161C89">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656382E9">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6F6D29D9">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确保箱内各个电池联线接触良好牢固</w:t>
            </w:r>
          </w:p>
        </w:tc>
      </w:tr>
      <w:tr w14:paraId="6B6401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10" w:type="dxa"/>
            <w:vMerge w:val="continue"/>
            <w:noWrap w:val="0"/>
            <w:vAlign w:val="center"/>
          </w:tcPr>
          <w:p w14:paraId="3E0C66AE">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13A401EE">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1954B35F">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6B1F6323">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确保各个电池无漏液，外观正常</w:t>
            </w:r>
          </w:p>
        </w:tc>
      </w:tr>
      <w:tr w14:paraId="14450E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10" w:type="dxa"/>
            <w:vMerge w:val="restart"/>
            <w:noWrap w:val="0"/>
            <w:vAlign w:val="center"/>
          </w:tcPr>
          <w:p w14:paraId="19486E45">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11</w:t>
            </w:r>
          </w:p>
        </w:tc>
        <w:tc>
          <w:tcPr>
            <w:tcW w:w="1498" w:type="dxa"/>
            <w:vMerge w:val="restart"/>
            <w:noWrap w:val="0"/>
            <w:vAlign w:val="center"/>
          </w:tcPr>
          <w:p w14:paraId="30D74222">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机柜台面清扫及检查</w:t>
            </w:r>
          </w:p>
        </w:tc>
        <w:tc>
          <w:tcPr>
            <w:tcW w:w="1255" w:type="dxa"/>
            <w:vMerge w:val="continue"/>
            <w:noWrap w:val="0"/>
            <w:vAlign w:val="center"/>
          </w:tcPr>
          <w:p w14:paraId="086380F4">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17FAB32A">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检查机柜台面及玻璃是否清洁</w:t>
            </w:r>
          </w:p>
        </w:tc>
      </w:tr>
      <w:tr w14:paraId="037810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jc w:val="center"/>
        </w:trPr>
        <w:tc>
          <w:tcPr>
            <w:tcW w:w="710" w:type="dxa"/>
            <w:vMerge w:val="continue"/>
            <w:noWrap w:val="0"/>
            <w:vAlign w:val="center"/>
          </w:tcPr>
          <w:p w14:paraId="183D3005">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02A51938">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2EDDD1C9">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52AA9A79">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检查机柜各门是否关于完好</w:t>
            </w:r>
          </w:p>
        </w:tc>
      </w:tr>
      <w:tr w14:paraId="71EB6E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10" w:type="dxa"/>
            <w:vMerge w:val="restart"/>
            <w:noWrap w:val="0"/>
            <w:vAlign w:val="center"/>
          </w:tcPr>
          <w:p w14:paraId="0FAC80E2">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12</w:t>
            </w:r>
          </w:p>
        </w:tc>
        <w:tc>
          <w:tcPr>
            <w:tcW w:w="1498" w:type="dxa"/>
            <w:vMerge w:val="restart"/>
            <w:noWrap w:val="0"/>
            <w:vAlign w:val="center"/>
          </w:tcPr>
          <w:p w14:paraId="63672266">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实验区清扫</w:t>
            </w:r>
          </w:p>
        </w:tc>
        <w:tc>
          <w:tcPr>
            <w:tcW w:w="1255" w:type="dxa"/>
            <w:vMerge w:val="restart"/>
            <w:noWrap w:val="0"/>
            <w:vAlign w:val="center"/>
          </w:tcPr>
          <w:p w14:paraId="7909C905">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1次/周，确保整齐清洁</w:t>
            </w:r>
          </w:p>
        </w:tc>
        <w:tc>
          <w:tcPr>
            <w:tcW w:w="5691" w:type="dxa"/>
            <w:noWrap w:val="0"/>
            <w:vAlign w:val="center"/>
          </w:tcPr>
          <w:p w14:paraId="22368B5B">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1）保持实验区台面清洁</w:t>
            </w:r>
          </w:p>
        </w:tc>
      </w:tr>
      <w:tr w14:paraId="04FC2B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10" w:type="dxa"/>
            <w:vMerge w:val="continue"/>
            <w:noWrap w:val="0"/>
            <w:vAlign w:val="center"/>
          </w:tcPr>
          <w:p w14:paraId="647E2913">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03625324">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5E95B547">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3D79B786">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2）保持仪器设备摆放征集</w:t>
            </w:r>
          </w:p>
        </w:tc>
      </w:tr>
      <w:tr w14:paraId="49E682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10" w:type="dxa"/>
            <w:vMerge w:val="continue"/>
            <w:noWrap w:val="0"/>
            <w:vAlign w:val="center"/>
          </w:tcPr>
          <w:p w14:paraId="2E25A8E2">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323C91BD">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74AE50AA">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3E503B63">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3）按要求存储试剂</w:t>
            </w:r>
          </w:p>
        </w:tc>
      </w:tr>
      <w:tr w14:paraId="562B37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jc w:val="center"/>
        </w:trPr>
        <w:tc>
          <w:tcPr>
            <w:tcW w:w="710" w:type="dxa"/>
            <w:vMerge w:val="continue"/>
            <w:noWrap w:val="0"/>
            <w:vAlign w:val="center"/>
          </w:tcPr>
          <w:p w14:paraId="475A22FD">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0CFC254E">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063621E3">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74F6033F">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4）按要求处置废液</w:t>
            </w:r>
          </w:p>
        </w:tc>
      </w:tr>
      <w:tr w14:paraId="64B9D9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1" w:hRule="atLeast"/>
          <w:jc w:val="center"/>
        </w:trPr>
        <w:tc>
          <w:tcPr>
            <w:tcW w:w="710" w:type="dxa"/>
            <w:vMerge w:val="restart"/>
            <w:noWrap w:val="0"/>
            <w:vAlign w:val="center"/>
          </w:tcPr>
          <w:p w14:paraId="7687A48D">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13</w:t>
            </w:r>
          </w:p>
        </w:tc>
        <w:tc>
          <w:tcPr>
            <w:tcW w:w="1498" w:type="dxa"/>
            <w:vMerge w:val="restart"/>
            <w:noWrap w:val="0"/>
            <w:vAlign w:val="center"/>
          </w:tcPr>
          <w:p w14:paraId="04C50B83">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高锰酸盐指数分析仪维护</w:t>
            </w:r>
          </w:p>
        </w:tc>
        <w:tc>
          <w:tcPr>
            <w:tcW w:w="1255" w:type="dxa"/>
            <w:vMerge w:val="restart"/>
            <w:noWrap w:val="0"/>
            <w:vAlign w:val="center"/>
          </w:tcPr>
          <w:p w14:paraId="4411D0B3">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1次/周，确保监测仪器所需试剂充足，管路、阀门处于正常状态，仪器电极无沾污，运行稳定，比对数据合格</w:t>
            </w:r>
          </w:p>
        </w:tc>
        <w:tc>
          <w:tcPr>
            <w:tcW w:w="5691" w:type="dxa"/>
            <w:noWrap w:val="0"/>
            <w:vAlign w:val="center"/>
          </w:tcPr>
          <w:p w14:paraId="45312DE5">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1）检查数据传输和报警模块是否正常</w:t>
            </w:r>
          </w:p>
        </w:tc>
      </w:tr>
      <w:tr w14:paraId="40F366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10" w:type="dxa"/>
            <w:vMerge w:val="continue"/>
            <w:noWrap w:val="0"/>
            <w:vAlign w:val="center"/>
          </w:tcPr>
          <w:p w14:paraId="3686820A">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43CA2FE9">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0FB61231">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102D5FD0">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2）确保冷却水供应正常</w:t>
            </w:r>
          </w:p>
        </w:tc>
      </w:tr>
      <w:tr w14:paraId="54526D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10" w:type="dxa"/>
            <w:vMerge w:val="continue"/>
            <w:noWrap w:val="0"/>
            <w:vAlign w:val="center"/>
          </w:tcPr>
          <w:p w14:paraId="0AC4D1F3">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305B19F0">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562C00E5">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469DD5D7">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3）清除水浴锅内水垢，疏通管道</w:t>
            </w:r>
          </w:p>
        </w:tc>
      </w:tr>
      <w:tr w14:paraId="30525E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10" w:type="dxa"/>
            <w:vMerge w:val="continue"/>
            <w:noWrap w:val="0"/>
            <w:vAlign w:val="center"/>
          </w:tcPr>
          <w:p w14:paraId="65AFAD26">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1CF6A1D6">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66A7D130">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22DE2B7A">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4）确保各个阀门正常</w:t>
            </w:r>
          </w:p>
        </w:tc>
      </w:tr>
      <w:tr w14:paraId="52A44F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10" w:type="dxa"/>
            <w:vMerge w:val="continue"/>
            <w:noWrap w:val="0"/>
            <w:vAlign w:val="center"/>
          </w:tcPr>
          <w:p w14:paraId="6FC69E98">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7D7D265E">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39C7E309">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0C14515B">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5）检查并更换老化的输送硫酸软管</w:t>
            </w:r>
          </w:p>
        </w:tc>
      </w:tr>
      <w:tr w14:paraId="0F43B2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10" w:type="dxa"/>
            <w:vMerge w:val="continue"/>
            <w:noWrap w:val="0"/>
            <w:vAlign w:val="center"/>
          </w:tcPr>
          <w:p w14:paraId="2D466772">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4D66B727">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0376B0A9">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4B00D681">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6）添加参比电极电解液</w:t>
            </w:r>
          </w:p>
        </w:tc>
      </w:tr>
      <w:tr w14:paraId="1FF6A4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10" w:type="dxa"/>
            <w:vMerge w:val="continue"/>
            <w:noWrap w:val="0"/>
            <w:vAlign w:val="center"/>
          </w:tcPr>
          <w:p w14:paraId="4263F15A">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4B8BF068">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00F4DDA0">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15F691AF">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7）清除ORP电极上污垢</w:t>
            </w:r>
          </w:p>
        </w:tc>
      </w:tr>
      <w:tr w14:paraId="7946EA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jc w:val="center"/>
        </w:trPr>
        <w:tc>
          <w:tcPr>
            <w:tcW w:w="710" w:type="dxa"/>
            <w:vMerge w:val="continue"/>
            <w:noWrap w:val="0"/>
            <w:vAlign w:val="center"/>
          </w:tcPr>
          <w:p w14:paraId="0E67EFA8">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72C1B56B">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10096008">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6841EBB6">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8）检查并更换老化的ORP电极</w:t>
            </w:r>
          </w:p>
        </w:tc>
      </w:tr>
      <w:tr w14:paraId="4A86CC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710" w:type="dxa"/>
            <w:vMerge w:val="restart"/>
            <w:noWrap w:val="0"/>
            <w:vAlign w:val="center"/>
          </w:tcPr>
          <w:p w14:paraId="1EC61056">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14</w:t>
            </w:r>
          </w:p>
        </w:tc>
        <w:tc>
          <w:tcPr>
            <w:tcW w:w="1498" w:type="dxa"/>
            <w:vMerge w:val="restart"/>
            <w:noWrap w:val="0"/>
            <w:vAlign w:val="center"/>
          </w:tcPr>
          <w:p w14:paraId="5B61D6FB">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氨氮分析仪维护</w:t>
            </w:r>
          </w:p>
        </w:tc>
        <w:tc>
          <w:tcPr>
            <w:tcW w:w="1255" w:type="dxa"/>
            <w:vMerge w:val="continue"/>
            <w:noWrap w:val="0"/>
            <w:vAlign w:val="center"/>
          </w:tcPr>
          <w:p w14:paraId="519570EC">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31C006DF">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1）检查氨氮分析仪加热模块是否正常，是否维持在40℃</w:t>
            </w:r>
          </w:p>
        </w:tc>
      </w:tr>
      <w:tr w14:paraId="1244F4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10" w:type="dxa"/>
            <w:vMerge w:val="continue"/>
            <w:noWrap w:val="0"/>
            <w:vAlign w:val="center"/>
          </w:tcPr>
          <w:p w14:paraId="56E927C6">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7C51774E">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616D8823">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44453E83">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2）检查气敏膜，添加电解液</w:t>
            </w:r>
          </w:p>
        </w:tc>
      </w:tr>
      <w:tr w14:paraId="25091B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10" w:type="dxa"/>
            <w:vMerge w:val="continue"/>
            <w:noWrap w:val="0"/>
            <w:vAlign w:val="center"/>
          </w:tcPr>
          <w:p w14:paraId="42CC8CCB">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3C61839C">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7A3F8108">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2926B3EF">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3）检查并更换老化的氨氮管路系统</w:t>
            </w:r>
          </w:p>
        </w:tc>
      </w:tr>
      <w:tr w14:paraId="1523A1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10" w:type="dxa"/>
            <w:vMerge w:val="continue"/>
            <w:noWrap w:val="0"/>
            <w:vAlign w:val="center"/>
          </w:tcPr>
          <w:p w14:paraId="3D7C9B0A">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4EC93592">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2CE9A7C9">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34B47651">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4）检查并更换老化的氨氮蠕动泵管</w:t>
            </w:r>
          </w:p>
        </w:tc>
      </w:tr>
      <w:tr w14:paraId="454092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10" w:type="dxa"/>
            <w:vMerge w:val="continue"/>
            <w:noWrap w:val="0"/>
            <w:vAlign w:val="center"/>
          </w:tcPr>
          <w:p w14:paraId="0AF2C915">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631A302E">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660A19AD">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2EEF2777">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5）检查并更换老化的加热迂回管路</w:t>
            </w:r>
          </w:p>
        </w:tc>
      </w:tr>
      <w:tr w14:paraId="11D3A6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10" w:type="dxa"/>
            <w:vMerge w:val="continue"/>
            <w:noWrap w:val="0"/>
            <w:vAlign w:val="center"/>
          </w:tcPr>
          <w:p w14:paraId="571870DA">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18C4DEE9">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027E7AC8">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072BD0DC">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6）检查并更换老化的电极</w:t>
            </w:r>
          </w:p>
        </w:tc>
      </w:tr>
      <w:tr w14:paraId="637A89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jc w:val="center"/>
        </w:trPr>
        <w:tc>
          <w:tcPr>
            <w:tcW w:w="710" w:type="dxa"/>
            <w:vMerge w:val="continue"/>
            <w:noWrap w:val="0"/>
            <w:vAlign w:val="center"/>
          </w:tcPr>
          <w:p w14:paraId="6F125B21">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25A4F806">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5445A43A">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74B8BBCA">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7）修正液位压力传感器参数</w:t>
            </w:r>
          </w:p>
        </w:tc>
      </w:tr>
      <w:tr w14:paraId="72A92B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710" w:type="dxa"/>
            <w:vMerge w:val="restart"/>
            <w:noWrap w:val="0"/>
            <w:vAlign w:val="center"/>
          </w:tcPr>
          <w:p w14:paraId="207FD20A">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15</w:t>
            </w:r>
          </w:p>
        </w:tc>
        <w:tc>
          <w:tcPr>
            <w:tcW w:w="1498" w:type="dxa"/>
            <w:vMerge w:val="restart"/>
            <w:noWrap w:val="0"/>
            <w:vAlign w:val="center"/>
          </w:tcPr>
          <w:p w14:paraId="59B571B4">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总磷分析仪维护</w:t>
            </w:r>
          </w:p>
        </w:tc>
        <w:tc>
          <w:tcPr>
            <w:tcW w:w="1255" w:type="dxa"/>
            <w:vMerge w:val="continue"/>
            <w:noWrap w:val="0"/>
            <w:vAlign w:val="center"/>
          </w:tcPr>
          <w:p w14:paraId="546ACF8B">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1B28575C">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1）检查数据传输和报警模块是否正常</w:t>
            </w:r>
          </w:p>
        </w:tc>
      </w:tr>
      <w:tr w14:paraId="3C53C9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710" w:type="dxa"/>
            <w:vMerge w:val="continue"/>
            <w:noWrap w:val="0"/>
            <w:vAlign w:val="center"/>
          </w:tcPr>
          <w:p w14:paraId="77B22DC0">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5462E190">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05257DDF">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5DD4EF6E">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2）更换试剂</w:t>
            </w:r>
          </w:p>
        </w:tc>
      </w:tr>
      <w:tr w14:paraId="49E0FF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710" w:type="dxa"/>
            <w:vMerge w:val="continue"/>
            <w:noWrap w:val="0"/>
            <w:vAlign w:val="center"/>
          </w:tcPr>
          <w:p w14:paraId="6E0A63C2">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75822249">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34735DFA">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2FE85BEF">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3）确保冷却水供应正常</w:t>
            </w:r>
          </w:p>
        </w:tc>
      </w:tr>
      <w:tr w14:paraId="7CE238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710" w:type="dxa"/>
            <w:vMerge w:val="continue"/>
            <w:noWrap w:val="0"/>
            <w:vAlign w:val="center"/>
          </w:tcPr>
          <w:p w14:paraId="1C105B64">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7FDA2438">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6DED4C92">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58D207BE">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4）清除水浴锅内水垢，疏通管道</w:t>
            </w:r>
          </w:p>
        </w:tc>
      </w:tr>
      <w:tr w14:paraId="41B94B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710" w:type="dxa"/>
            <w:vMerge w:val="continue"/>
            <w:noWrap w:val="0"/>
            <w:vAlign w:val="center"/>
          </w:tcPr>
          <w:p w14:paraId="6011AD37">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32B4454F">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4A081247">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3BC384A0">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5）检查并更换老化的UV灯</w:t>
            </w:r>
          </w:p>
        </w:tc>
      </w:tr>
      <w:tr w14:paraId="764057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710" w:type="dxa"/>
            <w:vMerge w:val="continue"/>
            <w:noWrap w:val="0"/>
            <w:vAlign w:val="center"/>
          </w:tcPr>
          <w:p w14:paraId="3FB4F7A4">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26BA6339">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6409CA26">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66064CAF">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6）确保各个阀门正常</w:t>
            </w:r>
          </w:p>
        </w:tc>
      </w:tr>
      <w:tr w14:paraId="27879E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710" w:type="dxa"/>
            <w:vMerge w:val="restart"/>
            <w:noWrap w:val="0"/>
            <w:vAlign w:val="center"/>
          </w:tcPr>
          <w:p w14:paraId="1F0D2BB5">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17</w:t>
            </w:r>
          </w:p>
        </w:tc>
        <w:tc>
          <w:tcPr>
            <w:tcW w:w="1498" w:type="dxa"/>
            <w:vMerge w:val="restart"/>
            <w:noWrap w:val="0"/>
            <w:vAlign w:val="center"/>
          </w:tcPr>
          <w:p w14:paraId="6BB4EF59">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五参数分析仪</w:t>
            </w:r>
          </w:p>
        </w:tc>
        <w:tc>
          <w:tcPr>
            <w:tcW w:w="1255" w:type="dxa"/>
            <w:vMerge w:val="continue"/>
            <w:noWrap w:val="0"/>
            <w:vAlign w:val="center"/>
          </w:tcPr>
          <w:p w14:paraId="4FAA6FE1">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0A228AB4">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1）检查数据传输和报警模块是否正常</w:t>
            </w:r>
          </w:p>
        </w:tc>
      </w:tr>
      <w:tr w14:paraId="7647C775">
        <w:tblPrEx>
          <w:tblCellMar>
            <w:top w:w="0" w:type="dxa"/>
            <w:left w:w="108" w:type="dxa"/>
            <w:bottom w:w="0" w:type="dxa"/>
            <w:right w:w="108" w:type="dxa"/>
          </w:tblCellMar>
        </w:tblPrEx>
        <w:trPr>
          <w:trHeight w:val="315" w:hRule="atLeast"/>
          <w:jc w:val="center"/>
        </w:trPr>
        <w:tc>
          <w:tcPr>
            <w:tcW w:w="710" w:type="dxa"/>
            <w:vMerge w:val="continue"/>
            <w:noWrap w:val="0"/>
            <w:vAlign w:val="center"/>
          </w:tcPr>
          <w:p w14:paraId="024C6080">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0B3C319C">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732DC0E3">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5EBEFFB9">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2）检查电极是否被泥沙和藻类沾污</w:t>
            </w:r>
          </w:p>
        </w:tc>
      </w:tr>
      <w:tr w14:paraId="471644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710" w:type="dxa"/>
            <w:vMerge w:val="continue"/>
            <w:noWrap w:val="0"/>
            <w:vAlign w:val="center"/>
          </w:tcPr>
          <w:p w14:paraId="599A3764">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38A171F7">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79219108">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49B46CF9">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3）清洗电极更换电极液</w:t>
            </w:r>
          </w:p>
        </w:tc>
      </w:tr>
      <w:tr w14:paraId="4E8CB3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710" w:type="dxa"/>
            <w:vMerge w:val="continue"/>
            <w:noWrap w:val="0"/>
            <w:vAlign w:val="center"/>
          </w:tcPr>
          <w:p w14:paraId="7712902D">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6CE13C72">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5D141655">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30A63AAC">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4）检查并更换老化的电极</w:t>
            </w:r>
          </w:p>
        </w:tc>
      </w:tr>
      <w:tr w14:paraId="017B55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jc w:val="center"/>
        </w:trPr>
        <w:tc>
          <w:tcPr>
            <w:tcW w:w="710" w:type="dxa"/>
            <w:vMerge w:val="continue"/>
            <w:noWrap w:val="0"/>
            <w:vAlign w:val="center"/>
          </w:tcPr>
          <w:p w14:paraId="5B357238">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24704812">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1A17AC2B">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6369A846">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5）确保清洗水供应正常</w:t>
            </w:r>
          </w:p>
        </w:tc>
      </w:tr>
      <w:tr w14:paraId="3BA45F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10" w:type="dxa"/>
            <w:vMerge w:val="restart"/>
            <w:noWrap w:val="0"/>
            <w:vAlign w:val="center"/>
          </w:tcPr>
          <w:p w14:paraId="6A3FDB4E">
            <w:pPr>
              <w:jc w:val="center"/>
              <w:rPr>
                <w:rFonts w:hint="default" w:ascii="Times New Roman" w:hAnsi="Times New Roman" w:eastAsia="宋体" w:cs="Times New Roman"/>
                <w:kern w:val="0"/>
                <w:sz w:val="21"/>
                <w:szCs w:val="24"/>
                <w:highlight w:val="none"/>
              </w:rPr>
            </w:pPr>
            <w:r>
              <w:rPr>
                <w:rFonts w:hint="eastAsia" w:ascii="Times New Roman" w:hAnsi="Times New Roman" w:eastAsia="宋体" w:cs="Times New Roman"/>
                <w:kern w:val="0"/>
                <w:sz w:val="21"/>
                <w:szCs w:val="24"/>
                <w:highlight w:val="none"/>
              </w:rPr>
              <w:t>18</w:t>
            </w:r>
          </w:p>
        </w:tc>
        <w:tc>
          <w:tcPr>
            <w:tcW w:w="1498" w:type="dxa"/>
            <w:vMerge w:val="restart"/>
            <w:noWrap w:val="0"/>
            <w:vAlign w:val="center"/>
          </w:tcPr>
          <w:p w14:paraId="5C193AFF">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采样器维护</w:t>
            </w:r>
          </w:p>
        </w:tc>
        <w:tc>
          <w:tcPr>
            <w:tcW w:w="1255" w:type="dxa"/>
            <w:vMerge w:val="restart"/>
            <w:noWrap w:val="0"/>
            <w:vAlign w:val="center"/>
          </w:tcPr>
          <w:p w14:paraId="01AB1C25">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1次/周，保证采样瓶清洁</w:t>
            </w:r>
          </w:p>
        </w:tc>
        <w:tc>
          <w:tcPr>
            <w:tcW w:w="5691" w:type="dxa"/>
            <w:noWrap w:val="0"/>
            <w:vAlign w:val="center"/>
          </w:tcPr>
          <w:p w14:paraId="785E7729">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1）检查并更换老化的蠕动泵软管</w:t>
            </w:r>
          </w:p>
        </w:tc>
      </w:tr>
      <w:tr w14:paraId="114057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10" w:type="dxa"/>
            <w:vMerge w:val="continue"/>
            <w:noWrap w:val="0"/>
            <w:vAlign w:val="center"/>
          </w:tcPr>
          <w:p w14:paraId="4D6C034A">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2A1E01F1">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0114F506">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266D1AD9">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2）检查并更换老化的分配臂软管</w:t>
            </w:r>
          </w:p>
        </w:tc>
      </w:tr>
      <w:tr w14:paraId="0A35F5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10" w:type="dxa"/>
            <w:vMerge w:val="continue"/>
            <w:noWrap w:val="0"/>
            <w:vAlign w:val="center"/>
          </w:tcPr>
          <w:p w14:paraId="588ED0E6">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0B7680E4">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441825B9">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768CB935">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3）检查并更换老化的采样管</w:t>
            </w:r>
          </w:p>
        </w:tc>
      </w:tr>
      <w:tr w14:paraId="22F2BE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10" w:type="dxa"/>
            <w:vMerge w:val="continue"/>
            <w:noWrap w:val="0"/>
            <w:vAlign w:val="center"/>
          </w:tcPr>
          <w:p w14:paraId="518DD6C2">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6B441F5A">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5105AA0B">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003E28A6">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4）清洗采样切换阀</w:t>
            </w:r>
          </w:p>
        </w:tc>
      </w:tr>
      <w:tr w14:paraId="625140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10" w:type="dxa"/>
            <w:vMerge w:val="continue"/>
            <w:noWrap w:val="0"/>
            <w:vAlign w:val="center"/>
          </w:tcPr>
          <w:p w14:paraId="7659D708">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1DC130A7">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36726609">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6F21C873">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5）重新调整采样参数，确认自动留样器工作正常。</w:t>
            </w:r>
          </w:p>
        </w:tc>
      </w:tr>
      <w:tr w14:paraId="77CDF4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10" w:type="dxa"/>
            <w:vMerge w:val="continue"/>
            <w:noWrap w:val="0"/>
            <w:vAlign w:val="center"/>
          </w:tcPr>
          <w:p w14:paraId="3B975EAD">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714BB818">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6B26182E">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2B61510F">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6）检查样品储藏室温度</w:t>
            </w:r>
          </w:p>
        </w:tc>
      </w:tr>
      <w:tr w14:paraId="79572A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jc w:val="center"/>
        </w:trPr>
        <w:tc>
          <w:tcPr>
            <w:tcW w:w="710" w:type="dxa"/>
            <w:vMerge w:val="continue"/>
            <w:noWrap w:val="0"/>
            <w:vAlign w:val="center"/>
          </w:tcPr>
          <w:p w14:paraId="35BF4940">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34C49F99">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62478C67">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6188BA44">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7）清洗样品储藏室</w:t>
            </w:r>
          </w:p>
        </w:tc>
      </w:tr>
    </w:tbl>
    <w:p w14:paraId="4010A98F">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3.4.4</w:t>
      </w:r>
      <w:r>
        <w:rPr>
          <w:rFonts w:hint="default" w:ascii="宋体" w:hAnsi="宋体" w:eastAsia="宋体" w:cs="Times New Roman"/>
          <w:kern w:val="0"/>
          <w:sz w:val="24"/>
          <w:szCs w:val="24"/>
          <w:highlight w:val="none"/>
        </w:rPr>
        <w:t>.每月工作内容如下：</w:t>
      </w:r>
    </w:p>
    <w:p w14:paraId="3266A472">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3.4.4.1</w:t>
      </w:r>
      <w:r>
        <w:rPr>
          <w:rFonts w:hint="default" w:ascii="宋体" w:hAnsi="宋体" w:eastAsia="宋体" w:cs="Times New Roman"/>
          <w:kern w:val="0"/>
          <w:sz w:val="24"/>
          <w:szCs w:val="24"/>
          <w:highlight w:val="none"/>
        </w:rPr>
        <w:t>室内外取水管路清洗、清淤，清洗液位计、液位观察管、样水杯喷头等部件。检查蠕动泵是否有堵塞和渗漏，采水系统综合测试。</w:t>
      </w:r>
    </w:p>
    <w:p w14:paraId="6032AE45">
      <w:pPr>
        <w:tabs>
          <w:tab w:val="left" w:pos="993"/>
        </w:tabs>
        <w:spacing w:line="360" w:lineRule="auto"/>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3.4.4.2</w:t>
      </w:r>
      <w:r>
        <w:rPr>
          <w:rFonts w:hint="default" w:ascii="宋体" w:hAnsi="宋体" w:eastAsia="宋体" w:cs="Times New Roman"/>
          <w:kern w:val="0"/>
          <w:sz w:val="24"/>
          <w:szCs w:val="24"/>
          <w:highlight w:val="none"/>
        </w:rPr>
        <w:t>校正pH、溶解氧电极，更换高锰酸盐指数、氨氮、总磷等仪器相关分析试剂并校正。</w:t>
      </w:r>
    </w:p>
    <w:p w14:paraId="16867AC4">
      <w:pPr>
        <w:tabs>
          <w:tab w:val="left" w:pos="993"/>
        </w:tabs>
        <w:spacing w:line="360" w:lineRule="auto"/>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3.4.4.3</w:t>
      </w:r>
      <w:r>
        <w:rPr>
          <w:rFonts w:hint="default" w:ascii="宋体" w:hAnsi="宋体" w:eastAsia="宋体" w:cs="Times New Roman"/>
          <w:kern w:val="0"/>
          <w:sz w:val="24"/>
          <w:szCs w:val="24"/>
          <w:highlight w:val="none"/>
        </w:rPr>
        <w:t>高锰酸盐指数、氨氮、总磷仪器线性检查。</w:t>
      </w:r>
    </w:p>
    <w:p w14:paraId="0BAC1CE6">
      <w:pPr>
        <w:tabs>
          <w:tab w:val="left" w:pos="993"/>
        </w:tabs>
        <w:spacing w:line="360" w:lineRule="auto"/>
        <w:ind w:firstLine="480"/>
        <w:contextualSpacing/>
        <w:jc w:val="both"/>
        <w:rPr>
          <w:rFonts w:hint="default" w:ascii="宋体" w:hAnsi="宋体"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3.4.4.4</w:t>
      </w:r>
      <w:r>
        <w:rPr>
          <w:rFonts w:hint="default" w:ascii="宋体" w:hAnsi="宋体" w:eastAsia="宋体" w:cs="Times New Roman"/>
          <w:kern w:val="0"/>
          <w:sz w:val="24"/>
          <w:szCs w:val="24"/>
          <w:highlight w:val="none"/>
        </w:rPr>
        <w:t>每月对数据和运维记录进行备份。</w:t>
      </w:r>
    </w:p>
    <w:p w14:paraId="06D2687E">
      <w:pPr>
        <w:tabs>
          <w:tab w:val="left" w:pos="993"/>
        </w:tabs>
        <w:spacing w:line="360" w:lineRule="auto"/>
        <w:ind w:firstLine="480"/>
        <w:contextualSpacing/>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具体要求见下表：</w:t>
      </w:r>
    </w:p>
    <w:tbl>
      <w:tblPr>
        <w:tblStyle w:val="6"/>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42"/>
        <w:gridCol w:w="1245"/>
        <w:gridCol w:w="1920"/>
        <w:gridCol w:w="5408"/>
      </w:tblGrid>
      <w:tr w14:paraId="180B8E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42" w:type="dxa"/>
            <w:noWrap w:val="0"/>
            <w:vAlign w:val="center"/>
          </w:tcPr>
          <w:p w14:paraId="1E718998">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序号</w:t>
            </w:r>
          </w:p>
        </w:tc>
        <w:tc>
          <w:tcPr>
            <w:tcW w:w="1245" w:type="dxa"/>
            <w:noWrap w:val="0"/>
            <w:vAlign w:val="center"/>
          </w:tcPr>
          <w:p w14:paraId="3DB440F8">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维护内容</w:t>
            </w:r>
          </w:p>
        </w:tc>
        <w:tc>
          <w:tcPr>
            <w:tcW w:w="1920" w:type="dxa"/>
            <w:noWrap w:val="0"/>
            <w:vAlign w:val="center"/>
          </w:tcPr>
          <w:p w14:paraId="7B8FB1B6">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维护周期及目标</w:t>
            </w:r>
          </w:p>
        </w:tc>
        <w:tc>
          <w:tcPr>
            <w:tcW w:w="5408" w:type="dxa"/>
            <w:noWrap w:val="0"/>
            <w:vAlign w:val="center"/>
          </w:tcPr>
          <w:p w14:paraId="3C8DF483">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维护要求</w:t>
            </w:r>
          </w:p>
        </w:tc>
      </w:tr>
      <w:tr w14:paraId="5D0459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642" w:type="dxa"/>
            <w:vMerge w:val="restart"/>
            <w:noWrap w:val="0"/>
            <w:vAlign w:val="center"/>
          </w:tcPr>
          <w:p w14:paraId="7DFC8C15">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w:t>
            </w:r>
          </w:p>
        </w:tc>
        <w:tc>
          <w:tcPr>
            <w:tcW w:w="1245" w:type="dxa"/>
            <w:vMerge w:val="restart"/>
            <w:noWrap w:val="0"/>
            <w:vAlign w:val="center"/>
          </w:tcPr>
          <w:p w14:paraId="6470549E">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室外取水管路清洗清淤</w:t>
            </w:r>
          </w:p>
        </w:tc>
        <w:tc>
          <w:tcPr>
            <w:tcW w:w="1920" w:type="dxa"/>
            <w:vMerge w:val="restart"/>
            <w:noWrap w:val="0"/>
            <w:vAlign w:val="center"/>
          </w:tcPr>
          <w:p w14:paraId="6B39B6BE">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1次/月，确保管路无泥沙附着</w:t>
            </w:r>
          </w:p>
        </w:tc>
        <w:tc>
          <w:tcPr>
            <w:tcW w:w="5408" w:type="dxa"/>
            <w:noWrap w:val="0"/>
            <w:vAlign w:val="center"/>
          </w:tcPr>
          <w:p w14:paraId="380CB706">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将室外取水管路淤泥吹出，至少三次空气吹洗，以便达到良好清淤效果</w:t>
            </w:r>
          </w:p>
        </w:tc>
      </w:tr>
      <w:tr w14:paraId="7B83DF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642" w:type="dxa"/>
            <w:vMerge w:val="continue"/>
            <w:noWrap w:val="0"/>
            <w:vAlign w:val="center"/>
          </w:tcPr>
          <w:p w14:paraId="78A757F7">
            <w:pPr>
              <w:jc w:val="center"/>
              <w:rPr>
                <w:rFonts w:hint="default" w:ascii="Times New Roman" w:hAnsi="Times New Roman" w:eastAsia="宋体" w:cs="Times New Roman"/>
                <w:kern w:val="0"/>
                <w:sz w:val="21"/>
                <w:szCs w:val="24"/>
                <w:highlight w:val="none"/>
              </w:rPr>
            </w:pPr>
          </w:p>
        </w:tc>
        <w:tc>
          <w:tcPr>
            <w:tcW w:w="1245" w:type="dxa"/>
            <w:vMerge w:val="continue"/>
            <w:noWrap w:val="0"/>
            <w:vAlign w:val="center"/>
          </w:tcPr>
          <w:p w14:paraId="05C6A858">
            <w:pPr>
              <w:jc w:val="center"/>
              <w:rPr>
                <w:rFonts w:hint="default" w:ascii="Times New Roman" w:hAnsi="Times New Roman" w:eastAsia="宋体" w:cs="Times New Roman"/>
                <w:kern w:val="0"/>
                <w:sz w:val="21"/>
                <w:szCs w:val="24"/>
                <w:highlight w:val="none"/>
              </w:rPr>
            </w:pPr>
          </w:p>
        </w:tc>
        <w:tc>
          <w:tcPr>
            <w:tcW w:w="1920" w:type="dxa"/>
            <w:vMerge w:val="continue"/>
            <w:noWrap w:val="0"/>
            <w:vAlign w:val="center"/>
          </w:tcPr>
          <w:p w14:paraId="63A9F297">
            <w:pPr>
              <w:jc w:val="center"/>
              <w:rPr>
                <w:rFonts w:hint="default" w:ascii="Times New Roman" w:hAnsi="Times New Roman" w:eastAsia="宋体" w:cs="Times New Roman"/>
                <w:kern w:val="0"/>
                <w:sz w:val="21"/>
                <w:szCs w:val="24"/>
                <w:highlight w:val="none"/>
              </w:rPr>
            </w:pPr>
          </w:p>
        </w:tc>
        <w:tc>
          <w:tcPr>
            <w:tcW w:w="5408" w:type="dxa"/>
            <w:noWrap w:val="0"/>
            <w:vAlign w:val="center"/>
          </w:tcPr>
          <w:p w14:paraId="4FE9B122">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采用3%稀盐酸，对取水管路进行清洗。清洗完毕后15分钟手动运行一次采水流程，以便将管路中残余药剂清洗掉</w:t>
            </w:r>
          </w:p>
        </w:tc>
      </w:tr>
      <w:tr w14:paraId="02C335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42" w:type="dxa"/>
            <w:vMerge w:val="continue"/>
            <w:noWrap w:val="0"/>
            <w:vAlign w:val="center"/>
          </w:tcPr>
          <w:p w14:paraId="33A66095">
            <w:pPr>
              <w:jc w:val="center"/>
              <w:rPr>
                <w:rFonts w:hint="default" w:ascii="Times New Roman" w:hAnsi="Times New Roman" w:eastAsia="宋体" w:cs="Times New Roman"/>
                <w:kern w:val="0"/>
                <w:sz w:val="21"/>
                <w:szCs w:val="24"/>
                <w:highlight w:val="none"/>
              </w:rPr>
            </w:pPr>
          </w:p>
        </w:tc>
        <w:tc>
          <w:tcPr>
            <w:tcW w:w="1245" w:type="dxa"/>
            <w:vMerge w:val="continue"/>
            <w:noWrap w:val="0"/>
            <w:vAlign w:val="center"/>
          </w:tcPr>
          <w:p w14:paraId="7166EE90">
            <w:pPr>
              <w:jc w:val="center"/>
              <w:rPr>
                <w:rFonts w:hint="default" w:ascii="Times New Roman" w:hAnsi="Times New Roman" w:eastAsia="宋体" w:cs="Times New Roman"/>
                <w:kern w:val="0"/>
                <w:sz w:val="21"/>
                <w:szCs w:val="24"/>
                <w:highlight w:val="none"/>
              </w:rPr>
            </w:pPr>
          </w:p>
        </w:tc>
        <w:tc>
          <w:tcPr>
            <w:tcW w:w="1920" w:type="dxa"/>
            <w:vMerge w:val="continue"/>
            <w:noWrap w:val="0"/>
            <w:vAlign w:val="center"/>
          </w:tcPr>
          <w:p w14:paraId="77F72C84">
            <w:pPr>
              <w:jc w:val="center"/>
              <w:rPr>
                <w:rFonts w:hint="default" w:ascii="Times New Roman" w:hAnsi="Times New Roman" w:eastAsia="宋体" w:cs="Times New Roman"/>
                <w:kern w:val="0"/>
                <w:sz w:val="21"/>
                <w:szCs w:val="24"/>
                <w:highlight w:val="none"/>
              </w:rPr>
            </w:pPr>
          </w:p>
        </w:tc>
        <w:tc>
          <w:tcPr>
            <w:tcW w:w="5408" w:type="dxa"/>
            <w:noWrap w:val="0"/>
            <w:vAlign w:val="center"/>
          </w:tcPr>
          <w:p w14:paraId="11ED3C5A">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恢复取水管路原状</w:t>
            </w:r>
          </w:p>
        </w:tc>
      </w:tr>
      <w:tr w14:paraId="72F294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642" w:type="dxa"/>
            <w:vMerge w:val="restart"/>
            <w:noWrap w:val="0"/>
            <w:vAlign w:val="center"/>
          </w:tcPr>
          <w:p w14:paraId="35DE80DD">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2</w:t>
            </w:r>
          </w:p>
        </w:tc>
        <w:tc>
          <w:tcPr>
            <w:tcW w:w="1245" w:type="dxa"/>
            <w:vMerge w:val="restart"/>
            <w:noWrap w:val="0"/>
            <w:vAlign w:val="center"/>
          </w:tcPr>
          <w:p w14:paraId="26152352">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室内管路清洗</w:t>
            </w:r>
          </w:p>
        </w:tc>
        <w:tc>
          <w:tcPr>
            <w:tcW w:w="1920" w:type="dxa"/>
            <w:vMerge w:val="restart"/>
            <w:noWrap w:val="0"/>
            <w:vAlign w:val="center"/>
          </w:tcPr>
          <w:p w14:paraId="0BA46A79">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2次/月，确保管路透明，无泥沙藻类附着</w:t>
            </w:r>
          </w:p>
        </w:tc>
        <w:tc>
          <w:tcPr>
            <w:tcW w:w="5408" w:type="dxa"/>
            <w:noWrap w:val="0"/>
            <w:vAlign w:val="center"/>
          </w:tcPr>
          <w:p w14:paraId="53C67906">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手动拆卸阀门、弯头、过滤网和样水杯等部件，用试管刷清洗，清洗后原样装回</w:t>
            </w:r>
          </w:p>
        </w:tc>
      </w:tr>
      <w:tr w14:paraId="520C3A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42" w:type="dxa"/>
            <w:vMerge w:val="continue"/>
            <w:noWrap w:val="0"/>
            <w:vAlign w:val="center"/>
          </w:tcPr>
          <w:p w14:paraId="07CD158A">
            <w:pPr>
              <w:jc w:val="center"/>
              <w:rPr>
                <w:rFonts w:hint="default" w:ascii="Times New Roman" w:hAnsi="Times New Roman" w:eastAsia="宋体" w:cs="Times New Roman"/>
                <w:kern w:val="0"/>
                <w:sz w:val="21"/>
                <w:szCs w:val="24"/>
                <w:highlight w:val="none"/>
              </w:rPr>
            </w:pPr>
          </w:p>
        </w:tc>
        <w:tc>
          <w:tcPr>
            <w:tcW w:w="1245" w:type="dxa"/>
            <w:vMerge w:val="continue"/>
            <w:noWrap w:val="0"/>
            <w:vAlign w:val="center"/>
          </w:tcPr>
          <w:p w14:paraId="7882B82D">
            <w:pPr>
              <w:jc w:val="center"/>
              <w:rPr>
                <w:rFonts w:hint="default" w:ascii="Times New Roman" w:hAnsi="Times New Roman" w:eastAsia="宋体" w:cs="Times New Roman"/>
                <w:kern w:val="0"/>
                <w:sz w:val="21"/>
                <w:szCs w:val="24"/>
                <w:highlight w:val="none"/>
              </w:rPr>
            </w:pPr>
          </w:p>
        </w:tc>
        <w:tc>
          <w:tcPr>
            <w:tcW w:w="1920" w:type="dxa"/>
            <w:vMerge w:val="continue"/>
            <w:noWrap w:val="0"/>
            <w:vAlign w:val="center"/>
          </w:tcPr>
          <w:p w14:paraId="05A48A54">
            <w:pPr>
              <w:jc w:val="center"/>
              <w:rPr>
                <w:rFonts w:hint="default" w:ascii="Times New Roman" w:hAnsi="Times New Roman" w:eastAsia="宋体" w:cs="Times New Roman"/>
                <w:kern w:val="0"/>
                <w:sz w:val="21"/>
                <w:szCs w:val="24"/>
                <w:highlight w:val="none"/>
              </w:rPr>
            </w:pPr>
          </w:p>
        </w:tc>
        <w:tc>
          <w:tcPr>
            <w:tcW w:w="5408" w:type="dxa"/>
            <w:noWrap w:val="0"/>
            <w:vAlign w:val="center"/>
          </w:tcPr>
          <w:p w14:paraId="56DD3B53">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检查蠕动泵进水塑胶软管脏污情况，必要的情况更换</w:t>
            </w:r>
          </w:p>
        </w:tc>
      </w:tr>
      <w:tr w14:paraId="5F8394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642" w:type="dxa"/>
            <w:vMerge w:val="restart"/>
            <w:noWrap w:val="0"/>
            <w:vAlign w:val="center"/>
          </w:tcPr>
          <w:p w14:paraId="100FF622">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3</w:t>
            </w:r>
          </w:p>
        </w:tc>
        <w:tc>
          <w:tcPr>
            <w:tcW w:w="1245" w:type="dxa"/>
            <w:vMerge w:val="restart"/>
            <w:noWrap w:val="0"/>
            <w:vAlign w:val="center"/>
          </w:tcPr>
          <w:p w14:paraId="713847E3">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清洗液位计</w:t>
            </w:r>
          </w:p>
        </w:tc>
        <w:tc>
          <w:tcPr>
            <w:tcW w:w="1920" w:type="dxa"/>
            <w:vMerge w:val="restart"/>
            <w:noWrap w:val="0"/>
            <w:vAlign w:val="center"/>
          </w:tcPr>
          <w:p w14:paraId="105B6EC3">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1次/月，确保液位计工作正常</w:t>
            </w:r>
          </w:p>
        </w:tc>
        <w:tc>
          <w:tcPr>
            <w:tcW w:w="5408" w:type="dxa"/>
            <w:noWrap w:val="0"/>
            <w:vAlign w:val="center"/>
          </w:tcPr>
          <w:p w14:paraId="56C40393">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将液位计拆下，用3%盐酸擦洗浮球和导杆，清除表面钙化物和污物</w:t>
            </w:r>
          </w:p>
        </w:tc>
      </w:tr>
      <w:tr w14:paraId="16FDCC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642" w:type="dxa"/>
            <w:vMerge w:val="continue"/>
            <w:noWrap w:val="0"/>
            <w:vAlign w:val="center"/>
          </w:tcPr>
          <w:p w14:paraId="4AAB96D3">
            <w:pPr>
              <w:jc w:val="center"/>
              <w:rPr>
                <w:rFonts w:hint="default" w:ascii="Times New Roman" w:hAnsi="Times New Roman" w:eastAsia="宋体" w:cs="Times New Roman"/>
                <w:kern w:val="0"/>
                <w:sz w:val="21"/>
                <w:szCs w:val="24"/>
                <w:highlight w:val="none"/>
              </w:rPr>
            </w:pPr>
          </w:p>
        </w:tc>
        <w:tc>
          <w:tcPr>
            <w:tcW w:w="1245" w:type="dxa"/>
            <w:vMerge w:val="continue"/>
            <w:noWrap w:val="0"/>
            <w:vAlign w:val="center"/>
          </w:tcPr>
          <w:p w14:paraId="413CBA92">
            <w:pPr>
              <w:jc w:val="center"/>
              <w:rPr>
                <w:rFonts w:hint="default" w:ascii="Times New Roman" w:hAnsi="Times New Roman" w:eastAsia="宋体" w:cs="Times New Roman"/>
                <w:kern w:val="0"/>
                <w:sz w:val="21"/>
                <w:szCs w:val="24"/>
                <w:highlight w:val="none"/>
              </w:rPr>
            </w:pPr>
          </w:p>
        </w:tc>
        <w:tc>
          <w:tcPr>
            <w:tcW w:w="1920" w:type="dxa"/>
            <w:vMerge w:val="continue"/>
            <w:noWrap w:val="0"/>
            <w:vAlign w:val="center"/>
          </w:tcPr>
          <w:p w14:paraId="4AB5A7C9">
            <w:pPr>
              <w:jc w:val="center"/>
              <w:rPr>
                <w:rFonts w:hint="default" w:ascii="Times New Roman" w:hAnsi="Times New Roman" w:eastAsia="宋体" w:cs="Times New Roman"/>
                <w:kern w:val="0"/>
                <w:sz w:val="21"/>
                <w:szCs w:val="24"/>
                <w:highlight w:val="none"/>
              </w:rPr>
            </w:pPr>
          </w:p>
        </w:tc>
        <w:tc>
          <w:tcPr>
            <w:tcW w:w="5408" w:type="dxa"/>
            <w:noWrap w:val="0"/>
            <w:vAlign w:val="center"/>
          </w:tcPr>
          <w:p w14:paraId="09B54929">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测量浮球导通电阻，导通电阻必须小于20欧姆，且反应灵敏</w:t>
            </w:r>
          </w:p>
        </w:tc>
      </w:tr>
      <w:tr w14:paraId="03B98C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642" w:type="dxa"/>
            <w:vMerge w:val="continue"/>
            <w:noWrap w:val="0"/>
            <w:vAlign w:val="center"/>
          </w:tcPr>
          <w:p w14:paraId="2D2379CB">
            <w:pPr>
              <w:jc w:val="center"/>
              <w:rPr>
                <w:rFonts w:hint="default" w:ascii="Times New Roman" w:hAnsi="Times New Roman" w:eastAsia="宋体" w:cs="Times New Roman"/>
                <w:kern w:val="0"/>
                <w:sz w:val="21"/>
                <w:szCs w:val="24"/>
                <w:highlight w:val="none"/>
              </w:rPr>
            </w:pPr>
          </w:p>
        </w:tc>
        <w:tc>
          <w:tcPr>
            <w:tcW w:w="1245" w:type="dxa"/>
            <w:vMerge w:val="continue"/>
            <w:noWrap w:val="0"/>
            <w:vAlign w:val="center"/>
          </w:tcPr>
          <w:p w14:paraId="38E5BF1F">
            <w:pPr>
              <w:jc w:val="center"/>
              <w:rPr>
                <w:rFonts w:hint="default" w:ascii="Times New Roman" w:hAnsi="Times New Roman" w:eastAsia="宋体" w:cs="Times New Roman"/>
                <w:kern w:val="0"/>
                <w:sz w:val="21"/>
                <w:szCs w:val="24"/>
                <w:highlight w:val="none"/>
              </w:rPr>
            </w:pPr>
          </w:p>
        </w:tc>
        <w:tc>
          <w:tcPr>
            <w:tcW w:w="1920" w:type="dxa"/>
            <w:vMerge w:val="continue"/>
            <w:noWrap w:val="0"/>
            <w:vAlign w:val="center"/>
          </w:tcPr>
          <w:p w14:paraId="08EEDB7E">
            <w:pPr>
              <w:jc w:val="center"/>
              <w:rPr>
                <w:rFonts w:hint="default" w:ascii="Times New Roman" w:hAnsi="Times New Roman" w:eastAsia="宋体" w:cs="Times New Roman"/>
                <w:kern w:val="0"/>
                <w:sz w:val="21"/>
                <w:szCs w:val="24"/>
                <w:highlight w:val="none"/>
              </w:rPr>
            </w:pPr>
          </w:p>
        </w:tc>
        <w:tc>
          <w:tcPr>
            <w:tcW w:w="5408" w:type="dxa"/>
            <w:noWrap w:val="0"/>
            <w:vAlign w:val="center"/>
          </w:tcPr>
          <w:p w14:paraId="678DB0AB">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原样装回液位计</w:t>
            </w:r>
          </w:p>
        </w:tc>
      </w:tr>
      <w:tr w14:paraId="0456D5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42" w:type="dxa"/>
            <w:vMerge w:val="continue"/>
            <w:noWrap w:val="0"/>
            <w:vAlign w:val="center"/>
          </w:tcPr>
          <w:p w14:paraId="151EDA3A">
            <w:pPr>
              <w:jc w:val="center"/>
              <w:rPr>
                <w:rFonts w:hint="default" w:ascii="Times New Roman" w:hAnsi="Times New Roman" w:eastAsia="宋体" w:cs="Times New Roman"/>
                <w:kern w:val="0"/>
                <w:sz w:val="21"/>
                <w:szCs w:val="24"/>
                <w:highlight w:val="none"/>
              </w:rPr>
            </w:pPr>
          </w:p>
        </w:tc>
        <w:tc>
          <w:tcPr>
            <w:tcW w:w="1245" w:type="dxa"/>
            <w:vMerge w:val="continue"/>
            <w:noWrap w:val="0"/>
            <w:vAlign w:val="center"/>
          </w:tcPr>
          <w:p w14:paraId="154ADBFF">
            <w:pPr>
              <w:jc w:val="center"/>
              <w:rPr>
                <w:rFonts w:hint="default" w:ascii="Times New Roman" w:hAnsi="Times New Roman" w:eastAsia="宋体" w:cs="Times New Roman"/>
                <w:kern w:val="0"/>
                <w:sz w:val="21"/>
                <w:szCs w:val="24"/>
                <w:highlight w:val="none"/>
              </w:rPr>
            </w:pPr>
          </w:p>
        </w:tc>
        <w:tc>
          <w:tcPr>
            <w:tcW w:w="1920" w:type="dxa"/>
            <w:vMerge w:val="continue"/>
            <w:noWrap w:val="0"/>
            <w:vAlign w:val="center"/>
          </w:tcPr>
          <w:p w14:paraId="06CE0885">
            <w:pPr>
              <w:jc w:val="center"/>
              <w:rPr>
                <w:rFonts w:hint="default" w:ascii="Times New Roman" w:hAnsi="Times New Roman" w:eastAsia="宋体" w:cs="Times New Roman"/>
                <w:kern w:val="0"/>
                <w:sz w:val="21"/>
                <w:szCs w:val="24"/>
                <w:highlight w:val="none"/>
              </w:rPr>
            </w:pPr>
          </w:p>
        </w:tc>
        <w:tc>
          <w:tcPr>
            <w:tcW w:w="5408" w:type="dxa"/>
            <w:noWrap w:val="0"/>
            <w:vAlign w:val="center"/>
          </w:tcPr>
          <w:p w14:paraId="407D2032">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必要的情况更换新液位计</w:t>
            </w:r>
          </w:p>
        </w:tc>
      </w:tr>
      <w:tr w14:paraId="34309E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642" w:type="dxa"/>
            <w:vMerge w:val="restart"/>
            <w:noWrap w:val="0"/>
            <w:vAlign w:val="center"/>
          </w:tcPr>
          <w:p w14:paraId="442AB525">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4</w:t>
            </w:r>
          </w:p>
        </w:tc>
        <w:tc>
          <w:tcPr>
            <w:tcW w:w="1245" w:type="dxa"/>
            <w:vMerge w:val="restart"/>
            <w:noWrap w:val="0"/>
            <w:vAlign w:val="center"/>
          </w:tcPr>
          <w:p w14:paraId="7C61ED3C">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清洗样水杯喷头</w:t>
            </w:r>
          </w:p>
        </w:tc>
        <w:tc>
          <w:tcPr>
            <w:tcW w:w="1920" w:type="dxa"/>
            <w:vMerge w:val="restart"/>
            <w:noWrap w:val="0"/>
            <w:vAlign w:val="center"/>
          </w:tcPr>
          <w:p w14:paraId="4C55E11D">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1次/月，确保喷头工作正常</w:t>
            </w:r>
          </w:p>
        </w:tc>
        <w:tc>
          <w:tcPr>
            <w:tcW w:w="5408" w:type="dxa"/>
            <w:noWrap w:val="0"/>
            <w:vAlign w:val="center"/>
          </w:tcPr>
          <w:p w14:paraId="76AEB642">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将样水杯清洗喷头拆下，检查是否有锈蚀状况，轻微锈蚀可采用3%稀盐酸浸泡方法清除锈蚀，严重锈蚀状况直接换新</w:t>
            </w:r>
          </w:p>
        </w:tc>
      </w:tr>
      <w:tr w14:paraId="03A966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42" w:type="dxa"/>
            <w:vMerge w:val="continue"/>
            <w:noWrap w:val="0"/>
            <w:vAlign w:val="center"/>
          </w:tcPr>
          <w:p w14:paraId="7CCFE751">
            <w:pPr>
              <w:jc w:val="center"/>
              <w:rPr>
                <w:rFonts w:hint="default" w:ascii="Times New Roman" w:hAnsi="Times New Roman" w:eastAsia="宋体" w:cs="Times New Roman"/>
                <w:kern w:val="0"/>
                <w:sz w:val="21"/>
                <w:szCs w:val="24"/>
                <w:highlight w:val="none"/>
              </w:rPr>
            </w:pPr>
          </w:p>
        </w:tc>
        <w:tc>
          <w:tcPr>
            <w:tcW w:w="1245" w:type="dxa"/>
            <w:vMerge w:val="continue"/>
            <w:noWrap w:val="0"/>
            <w:vAlign w:val="center"/>
          </w:tcPr>
          <w:p w14:paraId="792145C2">
            <w:pPr>
              <w:jc w:val="center"/>
              <w:rPr>
                <w:rFonts w:hint="default" w:ascii="Times New Roman" w:hAnsi="Times New Roman" w:eastAsia="宋体" w:cs="Times New Roman"/>
                <w:kern w:val="0"/>
                <w:sz w:val="21"/>
                <w:szCs w:val="24"/>
                <w:highlight w:val="none"/>
              </w:rPr>
            </w:pPr>
          </w:p>
        </w:tc>
        <w:tc>
          <w:tcPr>
            <w:tcW w:w="1920" w:type="dxa"/>
            <w:vMerge w:val="continue"/>
            <w:noWrap w:val="0"/>
            <w:vAlign w:val="center"/>
          </w:tcPr>
          <w:p w14:paraId="04E9DD2D">
            <w:pPr>
              <w:jc w:val="center"/>
              <w:rPr>
                <w:rFonts w:hint="default" w:ascii="Times New Roman" w:hAnsi="Times New Roman" w:eastAsia="宋体" w:cs="Times New Roman"/>
                <w:kern w:val="0"/>
                <w:sz w:val="21"/>
                <w:szCs w:val="24"/>
                <w:highlight w:val="none"/>
              </w:rPr>
            </w:pPr>
          </w:p>
        </w:tc>
        <w:tc>
          <w:tcPr>
            <w:tcW w:w="5408" w:type="dxa"/>
            <w:noWrap w:val="0"/>
            <w:vAlign w:val="center"/>
          </w:tcPr>
          <w:p w14:paraId="4C21C4C2">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将喷头原样装回后注意调节喷头配水强度</w:t>
            </w:r>
          </w:p>
        </w:tc>
      </w:tr>
      <w:tr w14:paraId="1EFC86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642" w:type="dxa"/>
            <w:vMerge w:val="restart"/>
            <w:noWrap w:val="0"/>
            <w:vAlign w:val="center"/>
          </w:tcPr>
          <w:p w14:paraId="14BA1C71">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5</w:t>
            </w:r>
          </w:p>
        </w:tc>
        <w:tc>
          <w:tcPr>
            <w:tcW w:w="1245" w:type="dxa"/>
            <w:vMerge w:val="restart"/>
            <w:noWrap w:val="0"/>
            <w:vAlign w:val="center"/>
          </w:tcPr>
          <w:p w14:paraId="23015A0A">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蠕动泵负载检查</w:t>
            </w:r>
          </w:p>
        </w:tc>
        <w:tc>
          <w:tcPr>
            <w:tcW w:w="1920" w:type="dxa"/>
            <w:vMerge w:val="restart"/>
            <w:noWrap w:val="0"/>
            <w:vAlign w:val="center"/>
          </w:tcPr>
          <w:p w14:paraId="353A5EEC">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1次/月，确保蠕动泵无堵塞和渗漏，计量准确</w:t>
            </w:r>
          </w:p>
        </w:tc>
        <w:tc>
          <w:tcPr>
            <w:tcW w:w="5408" w:type="dxa"/>
            <w:noWrap w:val="0"/>
            <w:vAlign w:val="center"/>
          </w:tcPr>
          <w:p w14:paraId="2889B556">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按蠕动泵说明书要求，检查输出扭矩</w:t>
            </w:r>
          </w:p>
        </w:tc>
      </w:tr>
      <w:tr w14:paraId="1AAD89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42" w:type="dxa"/>
            <w:vMerge w:val="continue"/>
            <w:noWrap w:val="0"/>
            <w:vAlign w:val="center"/>
          </w:tcPr>
          <w:p w14:paraId="4825DA38">
            <w:pPr>
              <w:jc w:val="center"/>
              <w:rPr>
                <w:rFonts w:hint="default" w:ascii="Times New Roman" w:hAnsi="Times New Roman" w:eastAsia="宋体" w:cs="Times New Roman"/>
                <w:kern w:val="0"/>
                <w:sz w:val="21"/>
                <w:szCs w:val="24"/>
                <w:highlight w:val="none"/>
              </w:rPr>
            </w:pPr>
          </w:p>
        </w:tc>
        <w:tc>
          <w:tcPr>
            <w:tcW w:w="1245" w:type="dxa"/>
            <w:vMerge w:val="continue"/>
            <w:noWrap w:val="0"/>
            <w:vAlign w:val="center"/>
          </w:tcPr>
          <w:p w14:paraId="3D0C5AD3">
            <w:pPr>
              <w:jc w:val="center"/>
              <w:rPr>
                <w:rFonts w:hint="default" w:ascii="Times New Roman" w:hAnsi="Times New Roman" w:eastAsia="宋体" w:cs="Times New Roman"/>
                <w:kern w:val="0"/>
                <w:sz w:val="21"/>
                <w:szCs w:val="24"/>
                <w:highlight w:val="none"/>
              </w:rPr>
            </w:pPr>
          </w:p>
        </w:tc>
        <w:tc>
          <w:tcPr>
            <w:tcW w:w="1920" w:type="dxa"/>
            <w:vMerge w:val="continue"/>
            <w:noWrap w:val="0"/>
            <w:vAlign w:val="center"/>
          </w:tcPr>
          <w:p w14:paraId="38F04869">
            <w:pPr>
              <w:jc w:val="center"/>
              <w:rPr>
                <w:rFonts w:hint="default" w:ascii="Times New Roman" w:hAnsi="Times New Roman" w:eastAsia="宋体" w:cs="Times New Roman"/>
                <w:kern w:val="0"/>
                <w:sz w:val="21"/>
                <w:szCs w:val="24"/>
                <w:highlight w:val="none"/>
              </w:rPr>
            </w:pPr>
          </w:p>
        </w:tc>
        <w:tc>
          <w:tcPr>
            <w:tcW w:w="5408" w:type="dxa"/>
            <w:noWrap w:val="0"/>
            <w:vAlign w:val="center"/>
          </w:tcPr>
          <w:p w14:paraId="19539F77">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若不符合说明书规定要求，及时更换泵管</w:t>
            </w:r>
          </w:p>
        </w:tc>
      </w:tr>
      <w:tr w14:paraId="4A9A0E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642" w:type="dxa"/>
            <w:vMerge w:val="restart"/>
            <w:noWrap w:val="0"/>
            <w:vAlign w:val="center"/>
          </w:tcPr>
          <w:p w14:paraId="5DB87A91">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6</w:t>
            </w:r>
          </w:p>
        </w:tc>
        <w:tc>
          <w:tcPr>
            <w:tcW w:w="1245" w:type="dxa"/>
            <w:vMerge w:val="restart"/>
            <w:noWrap w:val="0"/>
            <w:vAlign w:val="center"/>
          </w:tcPr>
          <w:p w14:paraId="056F1558">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液位观察管清洗</w:t>
            </w:r>
          </w:p>
        </w:tc>
        <w:tc>
          <w:tcPr>
            <w:tcW w:w="1920" w:type="dxa"/>
            <w:vMerge w:val="restart"/>
            <w:noWrap w:val="0"/>
            <w:vAlign w:val="center"/>
          </w:tcPr>
          <w:p w14:paraId="2354E0B7">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1次/月，确保液位观察管清洗透明</w:t>
            </w:r>
          </w:p>
        </w:tc>
        <w:tc>
          <w:tcPr>
            <w:tcW w:w="5408" w:type="dxa"/>
            <w:noWrap w:val="0"/>
            <w:vAlign w:val="center"/>
          </w:tcPr>
          <w:p w14:paraId="1398E5D7">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拆下透明管清除脏污，用试管刷清洗干净</w:t>
            </w:r>
          </w:p>
        </w:tc>
      </w:tr>
      <w:tr w14:paraId="5C9B9E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42" w:type="dxa"/>
            <w:vMerge w:val="continue"/>
            <w:noWrap w:val="0"/>
            <w:vAlign w:val="center"/>
          </w:tcPr>
          <w:p w14:paraId="6E61250D">
            <w:pPr>
              <w:jc w:val="center"/>
              <w:rPr>
                <w:rFonts w:hint="default" w:ascii="Times New Roman" w:hAnsi="Times New Roman" w:eastAsia="宋体" w:cs="Times New Roman"/>
                <w:kern w:val="0"/>
                <w:sz w:val="21"/>
                <w:szCs w:val="24"/>
                <w:highlight w:val="none"/>
              </w:rPr>
            </w:pPr>
          </w:p>
        </w:tc>
        <w:tc>
          <w:tcPr>
            <w:tcW w:w="1245" w:type="dxa"/>
            <w:vMerge w:val="continue"/>
            <w:noWrap w:val="0"/>
            <w:vAlign w:val="center"/>
          </w:tcPr>
          <w:p w14:paraId="046C8D09">
            <w:pPr>
              <w:jc w:val="center"/>
              <w:rPr>
                <w:rFonts w:hint="default" w:ascii="Times New Roman" w:hAnsi="Times New Roman" w:eastAsia="宋体" w:cs="Times New Roman"/>
                <w:kern w:val="0"/>
                <w:sz w:val="21"/>
                <w:szCs w:val="24"/>
                <w:highlight w:val="none"/>
              </w:rPr>
            </w:pPr>
          </w:p>
        </w:tc>
        <w:tc>
          <w:tcPr>
            <w:tcW w:w="1920" w:type="dxa"/>
            <w:vMerge w:val="continue"/>
            <w:noWrap w:val="0"/>
            <w:vAlign w:val="center"/>
          </w:tcPr>
          <w:p w14:paraId="3867AC09">
            <w:pPr>
              <w:jc w:val="center"/>
              <w:rPr>
                <w:rFonts w:hint="default" w:ascii="Times New Roman" w:hAnsi="Times New Roman" w:eastAsia="宋体" w:cs="Times New Roman"/>
                <w:kern w:val="0"/>
                <w:sz w:val="21"/>
                <w:szCs w:val="24"/>
                <w:highlight w:val="none"/>
              </w:rPr>
            </w:pPr>
          </w:p>
        </w:tc>
        <w:tc>
          <w:tcPr>
            <w:tcW w:w="5408" w:type="dxa"/>
            <w:noWrap w:val="0"/>
            <w:vAlign w:val="center"/>
          </w:tcPr>
          <w:p w14:paraId="10275386">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拆卸部件原样装回</w:t>
            </w:r>
          </w:p>
        </w:tc>
      </w:tr>
      <w:tr w14:paraId="15CD6E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42" w:type="dxa"/>
            <w:vMerge w:val="restart"/>
            <w:noWrap w:val="0"/>
            <w:vAlign w:val="center"/>
          </w:tcPr>
          <w:p w14:paraId="3D5F3C70">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7</w:t>
            </w:r>
          </w:p>
        </w:tc>
        <w:tc>
          <w:tcPr>
            <w:tcW w:w="1245" w:type="dxa"/>
            <w:vMerge w:val="restart"/>
            <w:noWrap w:val="0"/>
            <w:vAlign w:val="center"/>
          </w:tcPr>
          <w:p w14:paraId="691BAD40">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取水系统综合测试</w:t>
            </w:r>
          </w:p>
        </w:tc>
        <w:tc>
          <w:tcPr>
            <w:tcW w:w="1920" w:type="dxa"/>
            <w:vMerge w:val="restart"/>
            <w:noWrap w:val="0"/>
            <w:vAlign w:val="center"/>
          </w:tcPr>
          <w:p w14:paraId="73B5CDE1">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1次/月，确保系统取水正常</w:t>
            </w:r>
          </w:p>
        </w:tc>
        <w:tc>
          <w:tcPr>
            <w:tcW w:w="5408" w:type="dxa"/>
            <w:noWrap w:val="0"/>
            <w:vAlign w:val="center"/>
          </w:tcPr>
          <w:p w14:paraId="52E71E83">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完成上述测试后复原所有阀门到正确位置</w:t>
            </w:r>
          </w:p>
        </w:tc>
      </w:tr>
      <w:tr w14:paraId="5B00A1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42" w:type="dxa"/>
            <w:vMerge w:val="continue"/>
            <w:noWrap w:val="0"/>
            <w:vAlign w:val="center"/>
          </w:tcPr>
          <w:p w14:paraId="7C1047CF">
            <w:pPr>
              <w:jc w:val="center"/>
              <w:rPr>
                <w:rFonts w:hint="default" w:ascii="Times New Roman" w:hAnsi="Times New Roman" w:eastAsia="宋体" w:cs="Times New Roman"/>
                <w:kern w:val="0"/>
                <w:sz w:val="21"/>
                <w:szCs w:val="24"/>
                <w:highlight w:val="none"/>
              </w:rPr>
            </w:pPr>
          </w:p>
        </w:tc>
        <w:tc>
          <w:tcPr>
            <w:tcW w:w="1245" w:type="dxa"/>
            <w:vMerge w:val="continue"/>
            <w:noWrap w:val="0"/>
            <w:vAlign w:val="center"/>
          </w:tcPr>
          <w:p w14:paraId="26778827">
            <w:pPr>
              <w:jc w:val="center"/>
              <w:rPr>
                <w:rFonts w:hint="default" w:ascii="Times New Roman" w:hAnsi="Times New Roman" w:eastAsia="宋体" w:cs="Times New Roman"/>
                <w:kern w:val="0"/>
                <w:sz w:val="21"/>
                <w:szCs w:val="24"/>
                <w:highlight w:val="none"/>
              </w:rPr>
            </w:pPr>
          </w:p>
        </w:tc>
        <w:tc>
          <w:tcPr>
            <w:tcW w:w="1920" w:type="dxa"/>
            <w:vMerge w:val="continue"/>
            <w:noWrap w:val="0"/>
            <w:vAlign w:val="center"/>
          </w:tcPr>
          <w:p w14:paraId="47D3748F">
            <w:pPr>
              <w:jc w:val="center"/>
              <w:rPr>
                <w:rFonts w:hint="default" w:ascii="Times New Roman" w:hAnsi="Times New Roman" w:eastAsia="宋体" w:cs="Times New Roman"/>
                <w:kern w:val="0"/>
                <w:sz w:val="21"/>
                <w:szCs w:val="24"/>
                <w:highlight w:val="none"/>
              </w:rPr>
            </w:pPr>
          </w:p>
        </w:tc>
        <w:tc>
          <w:tcPr>
            <w:tcW w:w="5408" w:type="dxa"/>
            <w:noWrap w:val="0"/>
            <w:vAlign w:val="center"/>
          </w:tcPr>
          <w:p w14:paraId="37798428">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检查各个接头是否松动，各个电动球阀接线是否完好</w:t>
            </w:r>
          </w:p>
        </w:tc>
      </w:tr>
      <w:tr w14:paraId="555C45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42" w:type="dxa"/>
            <w:vMerge w:val="continue"/>
            <w:noWrap w:val="0"/>
            <w:vAlign w:val="center"/>
          </w:tcPr>
          <w:p w14:paraId="2ACCB669">
            <w:pPr>
              <w:jc w:val="center"/>
              <w:rPr>
                <w:rFonts w:hint="default" w:ascii="Times New Roman" w:hAnsi="Times New Roman" w:eastAsia="宋体" w:cs="Times New Roman"/>
                <w:kern w:val="0"/>
                <w:sz w:val="21"/>
                <w:szCs w:val="24"/>
                <w:highlight w:val="none"/>
              </w:rPr>
            </w:pPr>
          </w:p>
        </w:tc>
        <w:tc>
          <w:tcPr>
            <w:tcW w:w="1245" w:type="dxa"/>
            <w:vMerge w:val="continue"/>
            <w:noWrap w:val="0"/>
            <w:vAlign w:val="center"/>
          </w:tcPr>
          <w:p w14:paraId="265A171F">
            <w:pPr>
              <w:jc w:val="center"/>
              <w:rPr>
                <w:rFonts w:hint="default" w:ascii="Times New Roman" w:hAnsi="Times New Roman" w:eastAsia="宋体" w:cs="Times New Roman"/>
                <w:kern w:val="0"/>
                <w:sz w:val="21"/>
                <w:szCs w:val="24"/>
                <w:highlight w:val="none"/>
              </w:rPr>
            </w:pPr>
          </w:p>
        </w:tc>
        <w:tc>
          <w:tcPr>
            <w:tcW w:w="1920" w:type="dxa"/>
            <w:vMerge w:val="continue"/>
            <w:noWrap w:val="0"/>
            <w:vAlign w:val="center"/>
          </w:tcPr>
          <w:p w14:paraId="1E2A4D39">
            <w:pPr>
              <w:jc w:val="center"/>
              <w:rPr>
                <w:rFonts w:hint="default" w:ascii="Times New Roman" w:hAnsi="Times New Roman" w:eastAsia="宋体" w:cs="Times New Roman"/>
                <w:kern w:val="0"/>
                <w:sz w:val="21"/>
                <w:szCs w:val="24"/>
                <w:highlight w:val="none"/>
              </w:rPr>
            </w:pPr>
          </w:p>
        </w:tc>
        <w:tc>
          <w:tcPr>
            <w:tcW w:w="5408" w:type="dxa"/>
            <w:noWrap w:val="0"/>
            <w:vAlign w:val="center"/>
          </w:tcPr>
          <w:p w14:paraId="3E6B0AEE">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检查无误情况下，系统复电，检查整个取水流程是否正常</w:t>
            </w:r>
          </w:p>
        </w:tc>
      </w:tr>
      <w:tr w14:paraId="60C8B6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42" w:type="dxa"/>
            <w:noWrap w:val="0"/>
            <w:vAlign w:val="center"/>
          </w:tcPr>
          <w:p w14:paraId="7C2FEAD7">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8</w:t>
            </w:r>
          </w:p>
        </w:tc>
        <w:tc>
          <w:tcPr>
            <w:tcW w:w="1245" w:type="dxa"/>
            <w:noWrap w:val="0"/>
            <w:vAlign w:val="center"/>
          </w:tcPr>
          <w:p w14:paraId="31E8A725">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高锰酸盐指数分析仪</w:t>
            </w:r>
          </w:p>
        </w:tc>
        <w:tc>
          <w:tcPr>
            <w:tcW w:w="1920" w:type="dxa"/>
            <w:noWrap w:val="0"/>
            <w:vAlign w:val="center"/>
          </w:tcPr>
          <w:p w14:paraId="547BCF61">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2次/月，更换试剂并校正，确保数据正常</w:t>
            </w:r>
          </w:p>
        </w:tc>
        <w:tc>
          <w:tcPr>
            <w:tcW w:w="5408" w:type="dxa"/>
            <w:noWrap w:val="0"/>
            <w:vAlign w:val="center"/>
          </w:tcPr>
          <w:p w14:paraId="23509EAF">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更换标准校正液和分析试剂，一般不超过15天，夏天视情况缩短更换周期。更换试剂时要将前一批的试剂全部更换干净，而不是补充试剂</w:t>
            </w:r>
          </w:p>
          <w:p w14:paraId="7A2E948F">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试剂更换完毕须校正仪器，确保校正数据符合仪器要求</w:t>
            </w:r>
          </w:p>
        </w:tc>
      </w:tr>
      <w:tr w14:paraId="4D2725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42" w:type="dxa"/>
            <w:noWrap w:val="0"/>
            <w:vAlign w:val="center"/>
          </w:tcPr>
          <w:p w14:paraId="4FB6CC30">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9</w:t>
            </w:r>
          </w:p>
        </w:tc>
        <w:tc>
          <w:tcPr>
            <w:tcW w:w="1245" w:type="dxa"/>
            <w:noWrap w:val="0"/>
            <w:vAlign w:val="center"/>
          </w:tcPr>
          <w:p w14:paraId="44BF5781">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氨氮分析仪</w:t>
            </w:r>
          </w:p>
        </w:tc>
        <w:tc>
          <w:tcPr>
            <w:tcW w:w="1920" w:type="dxa"/>
            <w:vMerge w:val="restart"/>
            <w:noWrap w:val="0"/>
            <w:vAlign w:val="center"/>
          </w:tcPr>
          <w:p w14:paraId="1CE31334">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1次/月，更换试剂并校正，确保数据正常</w:t>
            </w:r>
          </w:p>
        </w:tc>
        <w:tc>
          <w:tcPr>
            <w:tcW w:w="5408" w:type="dxa"/>
            <w:vMerge w:val="restart"/>
            <w:noWrap w:val="0"/>
            <w:vAlign w:val="center"/>
          </w:tcPr>
          <w:p w14:paraId="3465BA5D">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更换标准校正液和分析试剂，一般不超过30天，夏天视情况缩短更换周期。更换试剂时要将前一批的试剂全部更换干净，而不是补充试剂</w:t>
            </w:r>
          </w:p>
          <w:p w14:paraId="760AD1BA">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试剂更换完毕须校正仪器，确保校正数据符合仪器要求</w:t>
            </w:r>
          </w:p>
        </w:tc>
      </w:tr>
      <w:tr w14:paraId="1414CF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42" w:type="dxa"/>
            <w:noWrap w:val="0"/>
            <w:vAlign w:val="center"/>
          </w:tcPr>
          <w:p w14:paraId="603BE2F8">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10</w:t>
            </w:r>
          </w:p>
        </w:tc>
        <w:tc>
          <w:tcPr>
            <w:tcW w:w="1245" w:type="dxa"/>
            <w:noWrap w:val="0"/>
            <w:vAlign w:val="center"/>
          </w:tcPr>
          <w:p w14:paraId="35248621">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总磷分析仪</w:t>
            </w:r>
          </w:p>
        </w:tc>
        <w:tc>
          <w:tcPr>
            <w:tcW w:w="1920" w:type="dxa"/>
            <w:vMerge w:val="continue"/>
            <w:noWrap w:val="0"/>
            <w:vAlign w:val="center"/>
          </w:tcPr>
          <w:p w14:paraId="74A7900C">
            <w:pPr>
              <w:jc w:val="center"/>
              <w:rPr>
                <w:rFonts w:hint="default" w:ascii="Times New Roman" w:hAnsi="Times New Roman" w:eastAsia="宋体" w:cs="Times New Roman"/>
                <w:kern w:val="0"/>
                <w:sz w:val="21"/>
                <w:szCs w:val="24"/>
                <w:highlight w:val="none"/>
              </w:rPr>
            </w:pPr>
          </w:p>
        </w:tc>
        <w:tc>
          <w:tcPr>
            <w:tcW w:w="5408" w:type="dxa"/>
            <w:vMerge w:val="continue"/>
            <w:noWrap w:val="0"/>
            <w:vAlign w:val="center"/>
          </w:tcPr>
          <w:p w14:paraId="0B8AEBE8">
            <w:pPr>
              <w:jc w:val="both"/>
              <w:rPr>
                <w:rFonts w:hint="default" w:ascii="Times New Roman" w:hAnsi="Times New Roman" w:eastAsia="宋体" w:cs="Times New Roman"/>
                <w:kern w:val="0"/>
                <w:sz w:val="21"/>
                <w:szCs w:val="24"/>
                <w:highlight w:val="none"/>
              </w:rPr>
            </w:pPr>
          </w:p>
        </w:tc>
      </w:tr>
      <w:tr w14:paraId="629188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642" w:type="dxa"/>
            <w:noWrap w:val="0"/>
            <w:vAlign w:val="center"/>
          </w:tcPr>
          <w:p w14:paraId="3DE80564">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11</w:t>
            </w:r>
          </w:p>
        </w:tc>
        <w:tc>
          <w:tcPr>
            <w:tcW w:w="1245" w:type="dxa"/>
            <w:noWrap w:val="0"/>
            <w:vAlign w:val="center"/>
          </w:tcPr>
          <w:p w14:paraId="74FB94A8">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五参数</w:t>
            </w:r>
          </w:p>
        </w:tc>
        <w:tc>
          <w:tcPr>
            <w:tcW w:w="1920" w:type="dxa"/>
            <w:noWrap w:val="0"/>
            <w:vAlign w:val="center"/>
          </w:tcPr>
          <w:p w14:paraId="4284AB34">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1次/月，校正pH和溶解氧电极，确保数据正常</w:t>
            </w:r>
          </w:p>
        </w:tc>
        <w:tc>
          <w:tcPr>
            <w:tcW w:w="5408" w:type="dxa"/>
            <w:noWrap w:val="0"/>
            <w:vAlign w:val="center"/>
          </w:tcPr>
          <w:p w14:paraId="7CF01C9E">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校正pH和溶解氧电极，确保校正数据符合仪器要求</w:t>
            </w:r>
          </w:p>
        </w:tc>
      </w:tr>
    </w:tbl>
    <w:p w14:paraId="1389B7C4">
      <w:pPr>
        <w:tabs>
          <w:tab w:val="left" w:pos="2280"/>
        </w:tabs>
        <w:spacing w:line="360" w:lineRule="auto"/>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w:t>
      </w:r>
      <w:r>
        <w:rPr>
          <w:rFonts w:hint="default" w:ascii="宋体" w:hAnsi="宋体" w:eastAsia="宋体" w:cs="Times New Roman"/>
          <w:kern w:val="0"/>
          <w:sz w:val="24"/>
          <w:szCs w:val="24"/>
          <w:highlight w:val="none"/>
        </w:rPr>
        <w:t>5每两月工作内容如下：</w:t>
      </w:r>
    </w:p>
    <w:p w14:paraId="0104AD0C">
      <w:pPr>
        <w:tabs>
          <w:tab w:val="left" w:pos="993"/>
        </w:tabs>
        <w:spacing w:line="360" w:lineRule="auto"/>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w:t>
      </w:r>
      <w:r>
        <w:rPr>
          <w:rFonts w:hint="default" w:ascii="宋体" w:hAnsi="宋体" w:eastAsia="宋体" w:cs="Times New Roman"/>
          <w:kern w:val="0"/>
          <w:sz w:val="24"/>
          <w:szCs w:val="24"/>
          <w:highlight w:val="none"/>
        </w:rPr>
        <w:t>5</w:t>
      </w:r>
      <w:r>
        <w:rPr>
          <w:rFonts w:hint="eastAsia" w:ascii="宋体" w:hAnsi="宋体" w:eastAsia="宋体" w:cs="Times New Roman"/>
          <w:kern w:val="0"/>
          <w:sz w:val="24"/>
          <w:szCs w:val="24"/>
          <w:highlight w:val="none"/>
          <w:lang w:val="en-US" w:eastAsia="zh-CN"/>
        </w:rPr>
        <w:t>.1</w:t>
      </w:r>
      <w:r>
        <w:rPr>
          <w:rFonts w:hint="default" w:ascii="宋体" w:hAnsi="宋体" w:eastAsia="宋体" w:cs="Times New Roman"/>
          <w:kern w:val="0"/>
          <w:sz w:val="24"/>
          <w:szCs w:val="24"/>
          <w:highlight w:val="none"/>
        </w:rPr>
        <w:t>采水系统维护，根据丰、枯水期调整采水系统，保正其正常运行；</w:t>
      </w:r>
    </w:p>
    <w:p w14:paraId="51DCE1FC">
      <w:pPr>
        <w:tabs>
          <w:tab w:val="left" w:pos="993"/>
        </w:tabs>
        <w:spacing w:line="360" w:lineRule="auto"/>
        <w:ind w:firstLine="480"/>
        <w:contextualSpacing/>
        <w:jc w:val="both"/>
        <w:rPr>
          <w:rFonts w:hint="default" w:ascii="宋体" w:hAnsi="宋体"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w:t>
      </w:r>
      <w:r>
        <w:rPr>
          <w:rFonts w:hint="default" w:ascii="宋体" w:hAnsi="宋体" w:eastAsia="宋体" w:cs="Times New Roman"/>
          <w:kern w:val="0"/>
          <w:sz w:val="24"/>
          <w:szCs w:val="24"/>
          <w:highlight w:val="none"/>
        </w:rPr>
        <w:t>5</w:t>
      </w:r>
      <w:r>
        <w:rPr>
          <w:rFonts w:hint="eastAsia" w:ascii="宋体" w:hAnsi="宋体" w:eastAsia="宋体" w:cs="Times New Roman"/>
          <w:kern w:val="0"/>
          <w:sz w:val="24"/>
          <w:szCs w:val="24"/>
          <w:highlight w:val="none"/>
          <w:lang w:val="en-US" w:eastAsia="zh-CN"/>
        </w:rPr>
        <w:t>.2</w:t>
      </w:r>
      <w:r>
        <w:rPr>
          <w:rFonts w:hint="default" w:ascii="宋体" w:hAnsi="宋体" w:eastAsia="宋体" w:cs="Times New Roman"/>
          <w:kern w:val="0"/>
          <w:sz w:val="24"/>
          <w:szCs w:val="24"/>
          <w:highlight w:val="none"/>
        </w:rPr>
        <w:t>电动球阀、单向阀清洗检查；压力表测试、工控机检查；</w:t>
      </w:r>
    </w:p>
    <w:p w14:paraId="5793374F">
      <w:pPr>
        <w:tabs>
          <w:tab w:val="left" w:pos="993"/>
        </w:tabs>
        <w:spacing w:line="360" w:lineRule="auto"/>
        <w:ind w:firstLine="480"/>
        <w:contextualSpacing/>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具体要求见下表：</w:t>
      </w:r>
    </w:p>
    <w:tbl>
      <w:tblPr>
        <w:tblStyle w:val="6"/>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7"/>
        <w:gridCol w:w="1125"/>
        <w:gridCol w:w="2190"/>
        <w:gridCol w:w="5213"/>
      </w:tblGrid>
      <w:tr w14:paraId="161979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87" w:type="dxa"/>
            <w:noWrap w:val="0"/>
            <w:vAlign w:val="center"/>
          </w:tcPr>
          <w:p w14:paraId="696D4213">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序号</w:t>
            </w:r>
          </w:p>
        </w:tc>
        <w:tc>
          <w:tcPr>
            <w:tcW w:w="1125" w:type="dxa"/>
            <w:noWrap w:val="0"/>
            <w:vAlign w:val="center"/>
          </w:tcPr>
          <w:p w14:paraId="2BE1111A">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维护内容</w:t>
            </w:r>
          </w:p>
        </w:tc>
        <w:tc>
          <w:tcPr>
            <w:tcW w:w="2190" w:type="dxa"/>
            <w:noWrap w:val="0"/>
            <w:vAlign w:val="center"/>
          </w:tcPr>
          <w:p w14:paraId="2A5DC0D0">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维护周期及目标</w:t>
            </w:r>
          </w:p>
        </w:tc>
        <w:tc>
          <w:tcPr>
            <w:tcW w:w="5213" w:type="dxa"/>
            <w:noWrap w:val="0"/>
            <w:vAlign w:val="center"/>
          </w:tcPr>
          <w:p w14:paraId="69B26EC9">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维护要求</w:t>
            </w:r>
          </w:p>
        </w:tc>
      </w:tr>
      <w:tr w14:paraId="40F2AC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87" w:type="dxa"/>
            <w:noWrap w:val="0"/>
            <w:vAlign w:val="center"/>
          </w:tcPr>
          <w:p w14:paraId="265B1140">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w:t>
            </w:r>
          </w:p>
        </w:tc>
        <w:tc>
          <w:tcPr>
            <w:tcW w:w="1125" w:type="dxa"/>
            <w:noWrap w:val="0"/>
            <w:vAlign w:val="center"/>
          </w:tcPr>
          <w:p w14:paraId="1E336E3D">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采水系统维护</w:t>
            </w:r>
          </w:p>
        </w:tc>
        <w:tc>
          <w:tcPr>
            <w:tcW w:w="2190" w:type="dxa"/>
            <w:noWrap w:val="0"/>
            <w:vAlign w:val="center"/>
          </w:tcPr>
          <w:p w14:paraId="1F81E0F9">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1次/2月，根据不同水期，适当调整，保证采水系统正常运行</w:t>
            </w:r>
          </w:p>
        </w:tc>
        <w:tc>
          <w:tcPr>
            <w:tcW w:w="5213" w:type="dxa"/>
            <w:noWrap w:val="0"/>
            <w:vAlign w:val="center"/>
          </w:tcPr>
          <w:p w14:paraId="3C8EA1F6">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对季节性断流、河道改变明显的断面水质自动站采水系统进行加固、调整采水泵</w:t>
            </w:r>
          </w:p>
        </w:tc>
      </w:tr>
      <w:tr w14:paraId="0F4DB8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687" w:type="dxa"/>
            <w:vMerge w:val="restart"/>
            <w:noWrap w:val="0"/>
            <w:vAlign w:val="center"/>
          </w:tcPr>
          <w:p w14:paraId="0D35227A">
            <w:pPr>
              <w:jc w:val="center"/>
              <w:rPr>
                <w:rFonts w:hint="default" w:ascii="Times New Roman" w:hAnsi="Times New Roman" w:eastAsia="宋体" w:cs="Times New Roman"/>
                <w:kern w:val="0"/>
                <w:sz w:val="21"/>
                <w:szCs w:val="24"/>
                <w:highlight w:val="none"/>
              </w:rPr>
            </w:pPr>
          </w:p>
          <w:p w14:paraId="6DA5D5FC">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2</w:t>
            </w:r>
          </w:p>
        </w:tc>
        <w:tc>
          <w:tcPr>
            <w:tcW w:w="1125" w:type="dxa"/>
            <w:vMerge w:val="restart"/>
            <w:noWrap w:val="0"/>
            <w:vAlign w:val="center"/>
          </w:tcPr>
          <w:p w14:paraId="4DD13118">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电动球阀清洗检查</w:t>
            </w:r>
          </w:p>
        </w:tc>
        <w:tc>
          <w:tcPr>
            <w:tcW w:w="2190" w:type="dxa"/>
            <w:vMerge w:val="restart"/>
            <w:noWrap w:val="0"/>
            <w:vAlign w:val="center"/>
          </w:tcPr>
          <w:p w14:paraId="4C08185C">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1次/2月，确保清洗后电动球阀吸合自如，无堵塞和渗漏</w:t>
            </w:r>
          </w:p>
        </w:tc>
        <w:tc>
          <w:tcPr>
            <w:tcW w:w="5213" w:type="dxa"/>
            <w:noWrap w:val="0"/>
            <w:vAlign w:val="center"/>
          </w:tcPr>
          <w:p w14:paraId="710C9F55">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将电动球阀手动拆下，用试管刷清洗后，将电动球阀装回管路</w:t>
            </w:r>
          </w:p>
        </w:tc>
      </w:tr>
      <w:tr w14:paraId="69BF53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687" w:type="dxa"/>
            <w:vMerge w:val="continue"/>
            <w:noWrap w:val="0"/>
            <w:vAlign w:val="center"/>
          </w:tcPr>
          <w:p w14:paraId="430567AA">
            <w:pPr>
              <w:jc w:val="center"/>
              <w:rPr>
                <w:rFonts w:hint="default" w:ascii="Times New Roman" w:hAnsi="Times New Roman" w:eastAsia="宋体" w:cs="Times New Roman"/>
                <w:kern w:val="0"/>
                <w:sz w:val="21"/>
                <w:szCs w:val="24"/>
                <w:highlight w:val="none"/>
              </w:rPr>
            </w:pPr>
          </w:p>
        </w:tc>
        <w:tc>
          <w:tcPr>
            <w:tcW w:w="1125" w:type="dxa"/>
            <w:vMerge w:val="continue"/>
            <w:noWrap w:val="0"/>
            <w:vAlign w:val="center"/>
          </w:tcPr>
          <w:p w14:paraId="2D9D0B3D">
            <w:pPr>
              <w:jc w:val="center"/>
              <w:rPr>
                <w:rFonts w:hint="default" w:ascii="Times New Roman" w:hAnsi="Times New Roman" w:eastAsia="宋体" w:cs="Times New Roman"/>
                <w:kern w:val="0"/>
                <w:sz w:val="21"/>
                <w:szCs w:val="24"/>
                <w:highlight w:val="none"/>
              </w:rPr>
            </w:pPr>
          </w:p>
        </w:tc>
        <w:tc>
          <w:tcPr>
            <w:tcW w:w="2190" w:type="dxa"/>
            <w:vMerge w:val="continue"/>
            <w:noWrap w:val="0"/>
            <w:vAlign w:val="center"/>
          </w:tcPr>
          <w:p w14:paraId="61B3E636">
            <w:pPr>
              <w:jc w:val="center"/>
              <w:rPr>
                <w:rFonts w:hint="default" w:ascii="Times New Roman" w:hAnsi="Times New Roman" w:eastAsia="宋体" w:cs="Times New Roman"/>
                <w:kern w:val="0"/>
                <w:sz w:val="21"/>
                <w:szCs w:val="24"/>
                <w:highlight w:val="none"/>
              </w:rPr>
            </w:pPr>
          </w:p>
        </w:tc>
        <w:tc>
          <w:tcPr>
            <w:tcW w:w="5213" w:type="dxa"/>
            <w:noWrap w:val="0"/>
            <w:vAlign w:val="center"/>
          </w:tcPr>
          <w:p w14:paraId="6B85CF31">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开启组态单阀测试程序，单独控制阀门开关，检查阀门开关时间是否符合要求（10s以内）</w:t>
            </w:r>
          </w:p>
        </w:tc>
      </w:tr>
      <w:tr w14:paraId="3AA546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87" w:type="dxa"/>
            <w:vMerge w:val="continue"/>
            <w:noWrap w:val="0"/>
            <w:vAlign w:val="center"/>
          </w:tcPr>
          <w:p w14:paraId="32C114E9">
            <w:pPr>
              <w:jc w:val="center"/>
              <w:rPr>
                <w:rFonts w:hint="default" w:ascii="Times New Roman" w:hAnsi="Times New Roman" w:eastAsia="宋体" w:cs="Times New Roman"/>
                <w:kern w:val="0"/>
                <w:sz w:val="21"/>
                <w:szCs w:val="24"/>
                <w:highlight w:val="none"/>
              </w:rPr>
            </w:pPr>
          </w:p>
        </w:tc>
        <w:tc>
          <w:tcPr>
            <w:tcW w:w="1125" w:type="dxa"/>
            <w:vMerge w:val="continue"/>
            <w:noWrap w:val="0"/>
            <w:vAlign w:val="center"/>
          </w:tcPr>
          <w:p w14:paraId="57216B53">
            <w:pPr>
              <w:jc w:val="center"/>
              <w:rPr>
                <w:rFonts w:hint="default" w:ascii="Times New Roman" w:hAnsi="Times New Roman" w:eastAsia="宋体" w:cs="Times New Roman"/>
                <w:kern w:val="0"/>
                <w:sz w:val="21"/>
                <w:szCs w:val="24"/>
                <w:highlight w:val="none"/>
              </w:rPr>
            </w:pPr>
          </w:p>
        </w:tc>
        <w:tc>
          <w:tcPr>
            <w:tcW w:w="2190" w:type="dxa"/>
            <w:vMerge w:val="continue"/>
            <w:noWrap w:val="0"/>
            <w:vAlign w:val="center"/>
          </w:tcPr>
          <w:p w14:paraId="1069EC35">
            <w:pPr>
              <w:jc w:val="center"/>
              <w:rPr>
                <w:rFonts w:hint="default" w:ascii="Times New Roman" w:hAnsi="Times New Roman" w:eastAsia="宋体" w:cs="Times New Roman"/>
                <w:kern w:val="0"/>
                <w:sz w:val="21"/>
                <w:szCs w:val="24"/>
                <w:highlight w:val="none"/>
              </w:rPr>
            </w:pPr>
          </w:p>
        </w:tc>
        <w:tc>
          <w:tcPr>
            <w:tcW w:w="5213" w:type="dxa"/>
            <w:noWrap w:val="0"/>
            <w:vAlign w:val="center"/>
          </w:tcPr>
          <w:p w14:paraId="4D082240">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必要的情况替换电动球阀</w:t>
            </w:r>
          </w:p>
        </w:tc>
      </w:tr>
      <w:tr w14:paraId="5B1295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687" w:type="dxa"/>
            <w:vMerge w:val="restart"/>
            <w:noWrap w:val="0"/>
            <w:vAlign w:val="center"/>
          </w:tcPr>
          <w:p w14:paraId="0F441F11">
            <w:pPr>
              <w:jc w:val="center"/>
              <w:rPr>
                <w:rFonts w:hint="default" w:ascii="Times New Roman" w:hAnsi="Times New Roman" w:eastAsia="宋体" w:cs="Times New Roman"/>
                <w:kern w:val="0"/>
                <w:sz w:val="21"/>
                <w:szCs w:val="24"/>
                <w:highlight w:val="none"/>
              </w:rPr>
            </w:pPr>
          </w:p>
          <w:p w14:paraId="5210A3D5">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3</w:t>
            </w:r>
          </w:p>
        </w:tc>
        <w:tc>
          <w:tcPr>
            <w:tcW w:w="1125" w:type="dxa"/>
            <w:vMerge w:val="restart"/>
            <w:noWrap w:val="0"/>
            <w:vAlign w:val="center"/>
          </w:tcPr>
          <w:p w14:paraId="2D4C2C4F">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单向阀清洗</w:t>
            </w:r>
          </w:p>
        </w:tc>
        <w:tc>
          <w:tcPr>
            <w:tcW w:w="2190" w:type="dxa"/>
            <w:vMerge w:val="restart"/>
            <w:noWrap w:val="0"/>
            <w:vAlign w:val="center"/>
          </w:tcPr>
          <w:p w14:paraId="373FDA61">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1次/2月，确保清洗后电动球阀吸合自如，无堵塞和渗漏</w:t>
            </w:r>
          </w:p>
        </w:tc>
        <w:tc>
          <w:tcPr>
            <w:tcW w:w="5213" w:type="dxa"/>
            <w:noWrap w:val="0"/>
            <w:vAlign w:val="center"/>
          </w:tcPr>
          <w:p w14:paraId="39FC50BE">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拆下单向阀，用试管刷清洗单向阀阀体及密封橡胶上附着的脏污物，检查密封性是否完好后，原样装回管路</w:t>
            </w:r>
          </w:p>
        </w:tc>
      </w:tr>
      <w:tr w14:paraId="090F61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87" w:type="dxa"/>
            <w:vMerge w:val="continue"/>
            <w:noWrap w:val="0"/>
            <w:vAlign w:val="center"/>
          </w:tcPr>
          <w:p w14:paraId="5B763EB1">
            <w:pPr>
              <w:jc w:val="center"/>
              <w:rPr>
                <w:rFonts w:hint="default" w:ascii="Times New Roman" w:hAnsi="Times New Roman" w:eastAsia="宋体" w:cs="Times New Roman"/>
                <w:kern w:val="0"/>
                <w:sz w:val="21"/>
                <w:szCs w:val="24"/>
                <w:highlight w:val="none"/>
              </w:rPr>
            </w:pPr>
          </w:p>
        </w:tc>
        <w:tc>
          <w:tcPr>
            <w:tcW w:w="1125" w:type="dxa"/>
            <w:vMerge w:val="continue"/>
            <w:noWrap w:val="0"/>
            <w:vAlign w:val="center"/>
          </w:tcPr>
          <w:p w14:paraId="60F673D4">
            <w:pPr>
              <w:jc w:val="center"/>
              <w:rPr>
                <w:rFonts w:hint="default" w:ascii="Times New Roman" w:hAnsi="Times New Roman" w:eastAsia="宋体" w:cs="Times New Roman"/>
                <w:kern w:val="0"/>
                <w:sz w:val="21"/>
                <w:szCs w:val="24"/>
                <w:highlight w:val="none"/>
              </w:rPr>
            </w:pPr>
          </w:p>
        </w:tc>
        <w:tc>
          <w:tcPr>
            <w:tcW w:w="2190" w:type="dxa"/>
            <w:vMerge w:val="continue"/>
            <w:noWrap w:val="0"/>
            <w:vAlign w:val="center"/>
          </w:tcPr>
          <w:p w14:paraId="5F57565B">
            <w:pPr>
              <w:jc w:val="center"/>
              <w:rPr>
                <w:rFonts w:hint="default" w:ascii="Times New Roman" w:hAnsi="Times New Roman" w:eastAsia="宋体" w:cs="Times New Roman"/>
                <w:kern w:val="0"/>
                <w:sz w:val="21"/>
                <w:szCs w:val="24"/>
                <w:highlight w:val="none"/>
              </w:rPr>
            </w:pPr>
          </w:p>
        </w:tc>
        <w:tc>
          <w:tcPr>
            <w:tcW w:w="5213" w:type="dxa"/>
            <w:noWrap w:val="0"/>
            <w:vAlign w:val="center"/>
          </w:tcPr>
          <w:p w14:paraId="739DAFDB">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必要情况更换单向阀</w:t>
            </w:r>
          </w:p>
        </w:tc>
      </w:tr>
      <w:tr w14:paraId="598920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687" w:type="dxa"/>
            <w:vMerge w:val="restart"/>
            <w:noWrap w:val="0"/>
            <w:vAlign w:val="center"/>
          </w:tcPr>
          <w:p w14:paraId="5910AF1D">
            <w:pPr>
              <w:jc w:val="center"/>
              <w:rPr>
                <w:rFonts w:hint="default" w:ascii="Times New Roman" w:hAnsi="Times New Roman" w:eastAsia="宋体" w:cs="Times New Roman"/>
                <w:kern w:val="0"/>
                <w:sz w:val="21"/>
                <w:szCs w:val="24"/>
                <w:highlight w:val="none"/>
              </w:rPr>
            </w:pPr>
          </w:p>
          <w:p w14:paraId="381F5950">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4</w:t>
            </w:r>
          </w:p>
        </w:tc>
        <w:tc>
          <w:tcPr>
            <w:tcW w:w="1125" w:type="dxa"/>
            <w:vMerge w:val="restart"/>
            <w:noWrap w:val="0"/>
            <w:vAlign w:val="center"/>
          </w:tcPr>
          <w:p w14:paraId="18D638AB">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压力表测试</w:t>
            </w:r>
          </w:p>
        </w:tc>
        <w:tc>
          <w:tcPr>
            <w:tcW w:w="2190" w:type="dxa"/>
            <w:vMerge w:val="restart"/>
            <w:noWrap w:val="0"/>
            <w:vAlign w:val="center"/>
          </w:tcPr>
          <w:p w14:paraId="2A25C14E">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1次/2月，确保清洗后压力表读数正常</w:t>
            </w:r>
          </w:p>
        </w:tc>
        <w:tc>
          <w:tcPr>
            <w:tcW w:w="5213" w:type="dxa"/>
            <w:noWrap w:val="0"/>
            <w:vAlign w:val="center"/>
          </w:tcPr>
          <w:p w14:paraId="5608167B">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拆下压力表表头，清洗清除压力导管内泥沙</w:t>
            </w:r>
          </w:p>
        </w:tc>
      </w:tr>
      <w:tr w14:paraId="348F21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687" w:type="dxa"/>
            <w:vMerge w:val="continue"/>
            <w:noWrap w:val="0"/>
            <w:vAlign w:val="center"/>
          </w:tcPr>
          <w:p w14:paraId="53146F96">
            <w:pPr>
              <w:jc w:val="center"/>
              <w:rPr>
                <w:rFonts w:hint="default" w:ascii="Times New Roman" w:hAnsi="Times New Roman" w:eastAsia="宋体" w:cs="Times New Roman"/>
                <w:kern w:val="0"/>
                <w:sz w:val="21"/>
                <w:szCs w:val="24"/>
                <w:highlight w:val="none"/>
              </w:rPr>
            </w:pPr>
          </w:p>
        </w:tc>
        <w:tc>
          <w:tcPr>
            <w:tcW w:w="1125" w:type="dxa"/>
            <w:vMerge w:val="continue"/>
            <w:noWrap w:val="0"/>
            <w:vAlign w:val="center"/>
          </w:tcPr>
          <w:p w14:paraId="25EBA563">
            <w:pPr>
              <w:jc w:val="center"/>
              <w:rPr>
                <w:rFonts w:hint="default" w:ascii="Times New Roman" w:hAnsi="Times New Roman" w:eastAsia="宋体" w:cs="Times New Roman"/>
                <w:kern w:val="0"/>
                <w:sz w:val="21"/>
                <w:szCs w:val="24"/>
                <w:highlight w:val="none"/>
              </w:rPr>
            </w:pPr>
          </w:p>
        </w:tc>
        <w:tc>
          <w:tcPr>
            <w:tcW w:w="2190" w:type="dxa"/>
            <w:vMerge w:val="continue"/>
            <w:noWrap w:val="0"/>
            <w:vAlign w:val="center"/>
          </w:tcPr>
          <w:p w14:paraId="448DB079">
            <w:pPr>
              <w:jc w:val="center"/>
              <w:rPr>
                <w:rFonts w:hint="default" w:ascii="Times New Roman" w:hAnsi="Times New Roman" w:eastAsia="宋体" w:cs="Times New Roman"/>
                <w:kern w:val="0"/>
                <w:sz w:val="21"/>
                <w:szCs w:val="24"/>
                <w:highlight w:val="none"/>
              </w:rPr>
            </w:pPr>
          </w:p>
        </w:tc>
        <w:tc>
          <w:tcPr>
            <w:tcW w:w="5213" w:type="dxa"/>
            <w:noWrap w:val="0"/>
            <w:vAlign w:val="center"/>
          </w:tcPr>
          <w:p w14:paraId="0FFDAFD7">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压缩空气吹脱表头内残留脏污</w:t>
            </w:r>
          </w:p>
        </w:tc>
      </w:tr>
      <w:tr w14:paraId="035A81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687" w:type="dxa"/>
            <w:vMerge w:val="continue"/>
            <w:noWrap w:val="0"/>
            <w:vAlign w:val="center"/>
          </w:tcPr>
          <w:p w14:paraId="76ECCC77">
            <w:pPr>
              <w:jc w:val="center"/>
              <w:rPr>
                <w:rFonts w:hint="default" w:ascii="Times New Roman" w:hAnsi="Times New Roman" w:eastAsia="宋体" w:cs="Times New Roman"/>
                <w:kern w:val="0"/>
                <w:sz w:val="21"/>
                <w:szCs w:val="24"/>
                <w:highlight w:val="none"/>
              </w:rPr>
            </w:pPr>
          </w:p>
        </w:tc>
        <w:tc>
          <w:tcPr>
            <w:tcW w:w="1125" w:type="dxa"/>
            <w:vMerge w:val="continue"/>
            <w:noWrap w:val="0"/>
            <w:vAlign w:val="center"/>
          </w:tcPr>
          <w:p w14:paraId="658A2054">
            <w:pPr>
              <w:jc w:val="center"/>
              <w:rPr>
                <w:rFonts w:hint="default" w:ascii="Times New Roman" w:hAnsi="Times New Roman" w:eastAsia="宋体" w:cs="Times New Roman"/>
                <w:kern w:val="0"/>
                <w:sz w:val="21"/>
                <w:szCs w:val="24"/>
                <w:highlight w:val="none"/>
              </w:rPr>
            </w:pPr>
          </w:p>
        </w:tc>
        <w:tc>
          <w:tcPr>
            <w:tcW w:w="2190" w:type="dxa"/>
            <w:vMerge w:val="continue"/>
            <w:noWrap w:val="0"/>
            <w:vAlign w:val="center"/>
          </w:tcPr>
          <w:p w14:paraId="704E3E26">
            <w:pPr>
              <w:jc w:val="center"/>
              <w:rPr>
                <w:rFonts w:hint="default" w:ascii="Times New Roman" w:hAnsi="Times New Roman" w:eastAsia="宋体" w:cs="Times New Roman"/>
                <w:kern w:val="0"/>
                <w:sz w:val="21"/>
                <w:szCs w:val="24"/>
                <w:highlight w:val="none"/>
              </w:rPr>
            </w:pPr>
          </w:p>
        </w:tc>
        <w:tc>
          <w:tcPr>
            <w:tcW w:w="5213" w:type="dxa"/>
            <w:noWrap w:val="0"/>
            <w:vAlign w:val="center"/>
          </w:tcPr>
          <w:p w14:paraId="6F8596F0">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调节空压机输出压力为0.6Mpa，输出气管连接到待测压力表，检查待测压力表显示是否和空压机一致，反应是否灵敏</w:t>
            </w:r>
          </w:p>
        </w:tc>
      </w:tr>
      <w:tr w14:paraId="19054F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687" w:type="dxa"/>
            <w:vMerge w:val="continue"/>
            <w:noWrap w:val="0"/>
            <w:vAlign w:val="center"/>
          </w:tcPr>
          <w:p w14:paraId="7C787C87">
            <w:pPr>
              <w:jc w:val="center"/>
              <w:rPr>
                <w:rFonts w:hint="default" w:ascii="Times New Roman" w:hAnsi="Times New Roman" w:eastAsia="宋体" w:cs="Times New Roman"/>
                <w:kern w:val="0"/>
                <w:sz w:val="21"/>
                <w:szCs w:val="24"/>
                <w:highlight w:val="none"/>
              </w:rPr>
            </w:pPr>
          </w:p>
        </w:tc>
        <w:tc>
          <w:tcPr>
            <w:tcW w:w="1125" w:type="dxa"/>
            <w:vMerge w:val="continue"/>
            <w:noWrap w:val="0"/>
            <w:vAlign w:val="center"/>
          </w:tcPr>
          <w:p w14:paraId="667576FA">
            <w:pPr>
              <w:jc w:val="center"/>
              <w:rPr>
                <w:rFonts w:hint="default" w:ascii="Times New Roman" w:hAnsi="Times New Roman" w:eastAsia="宋体" w:cs="Times New Roman"/>
                <w:kern w:val="0"/>
                <w:sz w:val="21"/>
                <w:szCs w:val="24"/>
                <w:highlight w:val="none"/>
              </w:rPr>
            </w:pPr>
          </w:p>
        </w:tc>
        <w:tc>
          <w:tcPr>
            <w:tcW w:w="2190" w:type="dxa"/>
            <w:vMerge w:val="continue"/>
            <w:noWrap w:val="0"/>
            <w:vAlign w:val="center"/>
          </w:tcPr>
          <w:p w14:paraId="2F1B928A">
            <w:pPr>
              <w:jc w:val="center"/>
              <w:rPr>
                <w:rFonts w:hint="default" w:ascii="Times New Roman" w:hAnsi="Times New Roman" w:eastAsia="宋体" w:cs="Times New Roman"/>
                <w:kern w:val="0"/>
                <w:sz w:val="21"/>
                <w:szCs w:val="24"/>
                <w:highlight w:val="none"/>
              </w:rPr>
            </w:pPr>
          </w:p>
        </w:tc>
        <w:tc>
          <w:tcPr>
            <w:tcW w:w="5213" w:type="dxa"/>
            <w:noWrap w:val="0"/>
            <w:vAlign w:val="center"/>
          </w:tcPr>
          <w:p w14:paraId="36F45949">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原样装回压力表，注意气密性</w:t>
            </w:r>
          </w:p>
        </w:tc>
      </w:tr>
      <w:tr w14:paraId="0CF34F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87" w:type="dxa"/>
            <w:vMerge w:val="continue"/>
            <w:noWrap w:val="0"/>
            <w:vAlign w:val="center"/>
          </w:tcPr>
          <w:p w14:paraId="6F4F834A">
            <w:pPr>
              <w:jc w:val="center"/>
              <w:rPr>
                <w:rFonts w:hint="default" w:ascii="Times New Roman" w:hAnsi="Times New Roman" w:eastAsia="宋体" w:cs="Times New Roman"/>
                <w:kern w:val="0"/>
                <w:sz w:val="21"/>
                <w:szCs w:val="24"/>
                <w:highlight w:val="none"/>
              </w:rPr>
            </w:pPr>
          </w:p>
        </w:tc>
        <w:tc>
          <w:tcPr>
            <w:tcW w:w="1125" w:type="dxa"/>
            <w:vMerge w:val="continue"/>
            <w:noWrap w:val="0"/>
            <w:vAlign w:val="center"/>
          </w:tcPr>
          <w:p w14:paraId="1D38808F">
            <w:pPr>
              <w:jc w:val="center"/>
              <w:rPr>
                <w:rFonts w:hint="default" w:ascii="Times New Roman" w:hAnsi="Times New Roman" w:eastAsia="宋体" w:cs="Times New Roman"/>
                <w:kern w:val="0"/>
                <w:sz w:val="21"/>
                <w:szCs w:val="24"/>
                <w:highlight w:val="none"/>
              </w:rPr>
            </w:pPr>
          </w:p>
        </w:tc>
        <w:tc>
          <w:tcPr>
            <w:tcW w:w="2190" w:type="dxa"/>
            <w:vMerge w:val="continue"/>
            <w:noWrap w:val="0"/>
            <w:vAlign w:val="center"/>
          </w:tcPr>
          <w:p w14:paraId="14096122">
            <w:pPr>
              <w:jc w:val="center"/>
              <w:rPr>
                <w:rFonts w:hint="default" w:ascii="Times New Roman" w:hAnsi="Times New Roman" w:eastAsia="宋体" w:cs="Times New Roman"/>
                <w:kern w:val="0"/>
                <w:sz w:val="21"/>
                <w:szCs w:val="24"/>
                <w:highlight w:val="none"/>
              </w:rPr>
            </w:pPr>
          </w:p>
        </w:tc>
        <w:tc>
          <w:tcPr>
            <w:tcW w:w="5213" w:type="dxa"/>
            <w:noWrap w:val="0"/>
            <w:vAlign w:val="center"/>
          </w:tcPr>
          <w:p w14:paraId="44D56FC7">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必要情况更换压力表</w:t>
            </w:r>
          </w:p>
        </w:tc>
      </w:tr>
      <w:tr w14:paraId="3BF0F5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687" w:type="dxa"/>
            <w:vMerge w:val="restart"/>
            <w:noWrap w:val="0"/>
            <w:vAlign w:val="center"/>
          </w:tcPr>
          <w:p w14:paraId="7EAC2DB5">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5</w:t>
            </w:r>
          </w:p>
        </w:tc>
        <w:tc>
          <w:tcPr>
            <w:tcW w:w="1125" w:type="dxa"/>
            <w:vMerge w:val="restart"/>
            <w:noWrap w:val="0"/>
            <w:vAlign w:val="center"/>
          </w:tcPr>
          <w:p w14:paraId="7954692C">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工控机检查</w:t>
            </w:r>
          </w:p>
        </w:tc>
        <w:tc>
          <w:tcPr>
            <w:tcW w:w="2190" w:type="dxa"/>
            <w:vMerge w:val="restart"/>
            <w:noWrap w:val="0"/>
            <w:vAlign w:val="center"/>
          </w:tcPr>
          <w:p w14:paraId="324DC70F">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1次/2月</w:t>
            </w:r>
          </w:p>
        </w:tc>
        <w:tc>
          <w:tcPr>
            <w:tcW w:w="5213" w:type="dxa"/>
            <w:noWrap w:val="0"/>
            <w:vAlign w:val="center"/>
          </w:tcPr>
          <w:p w14:paraId="6E451272">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检查开机过程中硬件自检过程是否有异常数据传输和报警</w:t>
            </w:r>
          </w:p>
        </w:tc>
      </w:tr>
      <w:tr w14:paraId="3BAC87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687" w:type="dxa"/>
            <w:vMerge w:val="continue"/>
            <w:noWrap w:val="0"/>
            <w:vAlign w:val="center"/>
          </w:tcPr>
          <w:p w14:paraId="443D88F8">
            <w:pPr>
              <w:jc w:val="center"/>
              <w:rPr>
                <w:rFonts w:hint="default" w:ascii="Times New Roman" w:hAnsi="Times New Roman" w:eastAsia="宋体" w:cs="Times New Roman"/>
                <w:kern w:val="0"/>
                <w:sz w:val="21"/>
                <w:szCs w:val="24"/>
                <w:highlight w:val="none"/>
              </w:rPr>
            </w:pPr>
          </w:p>
        </w:tc>
        <w:tc>
          <w:tcPr>
            <w:tcW w:w="1125" w:type="dxa"/>
            <w:vMerge w:val="continue"/>
            <w:noWrap w:val="0"/>
            <w:vAlign w:val="center"/>
          </w:tcPr>
          <w:p w14:paraId="79DB8CB0">
            <w:pPr>
              <w:jc w:val="center"/>
              <w:rPr>
                <w:rFonts w:hint="default" w:ascii="Times New Roman" w:hAnsi="Times New Roman" w:eastAsia="宋体" w:cs="Times New Roman"/>
                <w:kern w:val="0"/>
                <w:sz w:val="21"/>
                <w:szCs w:val="24"/>
                <w:highlight w:val="none"/>
              </w:rPr>
            </w:pPr>
          </w:p>
        </w:tc>
        <w:tc>
          <w:tcPr>
            <w:tcW w:w="2190" w:type="dxa"/>
            <w:vMerge w:val="continue"/>
            <w:noWrap w:val="0"/>
            <w:vAlign w:val="center"/>
          </w:tcPr>
          <w:p w14:paraId="4311B646">
            <w:pPr>
              <w:jc w:val="center"/>
              <w:rPr>
                <w:rFonts w:hint="default" w:ascii="Times New Roman" w:hAnsi="Times New Roman" w:eastAsia="宋体" w:cs="Times New Roman"/>
                <w:kern w:val="0"/>
                <w:sz w:val="21"/>
                <w:szCs w:val="24"/>
                <w:highlight w:val="none"/>
              </w:rPr>
            </w:pPr>
          </w:p>
        </w:tc>
        <w:tc>
          <w:tcPr>
            <w:tcW w:w="5213" w:type="dxa"/>
            <w:noWrap w:val="0"/>
            <w:vAlign w:val="center"/>
          </w:tcPr>
          <w:p w14:paraId="7DD6F0B5">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强制切断电源后复电工控机是否可以自动启动，并运行windos系统、加载现场监控软件，串口连接是否正常</w:t>
            </w:r>
          </w:p>
        </w:tc>
      </w:tr>
      <w:tr w14:paraId="45A1B2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687" w:type="dxa"/>
            <w:vMerge w:val="continue"/>
            <w:noWrap w:val="0"/>
            <w:vAlign w:val="center"/>
          </w:tcPr>
          <w:p w14:paraId="1133A33F">
            <w:pPr>
              <w:jc w:val="center"/>
              <w:rPr>
                <w:rFonts w:hint="default" w:ascii="Times New Roman" w:hAnsi="Times New Roman" w:eastAsia="宋体" w:cs="Times New Roman"/>
                <w:kern w:val="0"/>
                <w:sz w:val="21"/>
                <w:szCs w:val="24"/>
                <w:highlight w:val="none"/>
              </w:rPr>
            </w:pPr>
          </w:p>
        </w:tc>
        <w:tc>
          <w:tcPr>
            <w:tcW w:w="1125" w:type="dxa"/>
            <w:vMerge w:val="continue"/>
            <w:noWrap w:val="0"/>
            <w:vAlign w:val="center"/>
          </w:tcPr>
          <w:p w14:paraId="74348FD8">
            <w:pPr>
              <w:jc w:val="center"/>
              <w:rPr>
                <w:rFonts w:hint="default" w:ascii="Times New Roman" w:hAnsi="Times New Roman" w:eastAsia="宋体" w:cs="Times New Roman"/>
                <w:kern w:val="0"/>
                <w:sz w:val="21"/>
                <w:szCs w:val="24"/>
                <w:highlight w:val="none"/>
              </w:rPr>
            </w:pPr>
          </w:p>
        </w:tc>
        <w:tc>
          <w:tcPr>
            <w:tcW w:w="2190" w:type="dxa"/>
            <w:vMerge w:val="continue"/>
            <w:noWrap w:val="0"/>
            <w:vAlign w:val="center"/>
          </w:tcPr>
          <w:p w14:paraId="522EF1B7">
            <w:pPr>
              <w:jc w:val="center"/>
              <w:rPr>
                <w:rFonts w:hint="default" w:ascii="Times New Roman" w:hAnsi="Times New Roman" w:eastAsia="宋体" w:cs="Times New Roman"/>
                <w:kern w:val="0"/>
                <w:sz w:val="21"/>
                <w:szCs w:val="24"/>
                <w:highlight w:val="none"/>
              </w:rPr>
            </w:pPr>
          </w:p>
        </w:tc>
        <w:tc>
          <w:tcPr>
            <w:tcW w:w="5213" w:type="dxa"/>
            <w:noWrap w:val="0"/>
            <w:vAlign w:val="center"/>
          </w:tcPr>
          <w:p w14:paraId="407D53F2">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插入备份光盘，用ghost软件备份操作系统。将备份好的操作系统和分区D内的文件拷贝到备份移动硬盘上</w:t>
            </w:r>
          </w:p>
        </w:tc>
      </w:tr>
      <w:tr w14:paraId="73D35E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687" w:type="dxa"/>
            <w:vMerge w:val="continue"/>
            <w:noWrap w:val="0"/>
            <w:vAlign w:val="center"/>
          </w:tcPr>
          <w:p w14:paraId="03A6B5DA">
            <w:pPr>
              <w:jc w:val="center"/>
              <w:rPr>
                <w:rFonts w:hint="default" w:ascii="Times New Roman" w:hAnsi="Times New Roman" w:eastAsia="宋体" w:cs="Times New Roman"/>
                <w:kern w:val="0"/>
                <w:sz w:val="21"/>
                <w:szCs w:val="24"/>
                <w:highlight w:val="none"/>
              </w:rPr>
            </w:pPr>
          </w:p>
        </w:tc>
        <w:tc>
          <w:tcPr>
            <w:tcW w:w="1125" w:type="dxa"/>
            <w:vMerge w:val="continue"/>
            <w:noWrap w:val="0"/>
            <w:vAlign w:val="center"/>
          </w:tcPr>
          <w:p w14:paraId="76FE2F47">
            <w:pPr>
              <w:jc w:val="center"/>
              <w:rPr>
                <w:rFonts w:hint="default" w:ascii="Times New Roman" w:hAnsi="Times New Roman" w:eastAsia="宋体" w:cs="Times New Roman"/>
                <w:kern w:val="0"/>
                <w:sz w:val="21"/>
                <w:szCs w:val="24"/>
                <w:highlight w:val="none"/>
              </w:rPr>
            </w:pPr>
          </w:p>
        </w:tc>
        <w:tc>
          <w:tcPr>
            <w:tcW w:w="2190" w:type="dxa"/>
            <w:vMerge w:val="continue"/>
            <w:noWrap w:val="0"/>
            <w:vAlign w:val="center"/>
          </w:tcPr>
          <w:p w14:paraId="6D13BDE3">
            <w:pPr>
              <w:jc w:val="center"/>
              <w:rPr>
                <w:rFonts w:hint="default" w:ascii="Times New Roman" w:hAnsi="Times New Roman" w:eastAsia="宋体" w:cs="Times New Roman"/>
                <w:kern w:val="0"/>
                <w:sz w:val="21"/>
                <w:szCs w:val="24"/>
                <w:highlight w:val="none"/>
              </w:rPr>
            </w:pPr>
          </w:p>
        </w:tc>
        <w:tc>
          <w:tcPr>
            <w:tcW w:w="5213" w:type="dxa"/>
            <w:noWrap w:val="0"/>
            <w:vAlign w:val="center"/>
          </w:tcPr>
          <w:p w14:paraId="64FFF8A3">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断电后拆下工控机，打开后盖，用细毛刷清</w:t>
            </w:r>
          </w:p>
        </w:tc>
      </w:tr>
      <w:tr w14:paraId="39ECC5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687" w:type="dxa"/>
            <w:vMerge w:val="continue"/>
            <w:noWrap w:val="0"/>
            <w:vAlign w:val="center"/>
          </w:tcPr>
          <w:p w14:paraId="20BC80DC">
            <w:pPr>
              <w:jc w:val="center"/>
              <w:rPr>
                <w:rFonts w:hint="default" w:ascii="Times New Roman" w:hAnsi="Times New Roman" w:eastAsia="宋体" w:cs="Times New Roman"/>
                <w:kern w:val="0"/>
                <w:sz w:val="21"/>
                <w:szCs w:val="24"/>
                <w:highlight w:val="none"/>
              </w:rPr>
            </w:pPr>
          </w:p>
        </w:tc>
        <w:tc>
          <w:tcPr>
            <w:tcW w:w="1125" w:type="dxa"/>
            <w:vMerge w:val="continue"/>
            <w:noWrap w:val="0"/>
            <w:vAlign w:val="center"/>
          </w:tcPr>
          <w:p w14:paraId="07385F4E">
            <w:pPr>
              <w:jc w:val="center"/>
              <w:rPr>
                <w:rFonts w:hint="default" w:ascii="Times New Roman" w:hAnsi="Times New Roman" w:eastAsia="宋体" w:cs="Times New Roman"/>
                <w:kern w:val="0"/>
                <w:sz w:val="21"/>
                <w:szCs w:val="24"/>
                <w:highlight w:val="none"/>
              </w:rPr>
            </w:pPr>
          </w:p>
        </w:tc>
        <w:tc>
          <w:tcPr>
            <w:tcW w:w="2190" w:type="dxa"/>
            <w:vMerge w:val="continue"/>
            <w:noWrap w:val="0"/>
            <w:vAlign w:val="center"/>
          </w:tcPr>
          <w:p w14:paraId="6A286CE9">
            <w:pPr>
              <w:jc w:val="center"/>
              <w:rPr>
                <w:rFonts w:hint="default" w:ascii="Times New Roman" w:hAnsi="Times New Roman" w:eastAsia="宋体" w:cs="Times New Roman"/>
                <w:kern w:val="0"/>
                <w:sz w:val="21"/>
                <w:szCs w:val="24"/>
                <w:highlight w:val="none"/>
              </w:rPr>
            </w:pPr>
          </w:p>
        </w:tc>
        <w:tc>
          <w:tcPr>
            <w:tcW w:w="5213" w:type="dxa"/>
            <w:noWrap w:val="0"/>
            <w:vAlign w:val="center"/>
          </w:tcPr>
          <w:p w14:paraId="7FB0DBFB">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除电源和主板上的灰尘，尤其注意cpu板、内存和各个串口卡上的灰尘清除。检查各个功能卡接口是否连接牢固</w:t>
            </w:r>
          </w:p>
        </w:tc>
      </w:tr>
      <w:tr w14:paraId="06542E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687" w:type="dxa"/>
            <w:vMerge w:val="continue"/>
            <w:noWrap w:val="0"/>
            <w:vAlign w:val="center"/>
          </w:tcPr>
          <w:p w14:paraId="47111C57">
            <w:pPr>
              <w:jc w:val="center"/>
              <w:rPr>
                <w:rFonts w:hint="default" w:ascii="Times New Roman" w:hAnsi="Times New Roman" w:eastAsia="宋体" w:cs="Times New Roman"/>
                <w:kern w:val="0"/>
                <w:sz w:val="21"/>
                <w:szCs w:val="24"/>
                <w:highlight w:val="none"/>
              </w:rPr>
            </w:pPr>
          </w:p>
        </w:tc>
        <w:tc>
          <w:tcPr>
            <w:tcW w:w="1125" w:type="dxa"/>
            <w:vMerge w:val="continue"/>
            <w:noWrap w:val="0"/>
            <w:vAlign w:val="center"/>
          </w:tcPr>
          <w:p w14:paraId="6E3B74CE">
            <w:pPr>
              <w:jc w:val="center"/>
              <w:rPr>
                <w:rFonts w:hint="default" w:ascii="Times New Roman" w:hAnsi="Times New Roman" w:eastAsia="宋体" w:cs="Times New Roman"/>
                <w:kern w:val="0"/>
                <w:sz w:val="21"/>
                <w:szCs w:val="24"/>
                <w:highlight w:val="none"/>
              </w:rPr>
            </w:pPr>
          </w:p>
        </w:tc>
        <w:tc>
          <w:tcPr>
            <w:tcW w:w="2190" w:type="dxa"/>
            <w:vMerge w:val="continue"/>
            <w:noWrap w:val="0"/>
            <w:vAlign w:val="center"/>
          </w:tcPr>
          <w:p w14:paraId="5C56792E">
            <w:pPr>
              <w:jc w:val="center"/>
              <w:rPr>
                <w:rFonts w:hint="default" w:ascii="Times New Roman" w:hAnsi="Times New Roman" w:eastAsia="宋体" w:cs="Times New Roman"/>
                <w:kern w:val="0"/>
                <w:sz w:val="21"/>
                <w:szCs w:val="24"/>
                <w:highlight w:val="none"/>
              </w:rPr>
            </w:pPr>
          </w:p>
        </w:tc>
        <w:tc>
          <w:tcPr>
            <w:tcW w:w="5213" w:type="dxa"/>
            <w:noWrap w:val="0"/>
            <w:vAlign w:val="center"/>
          </w:tcPr>
          <w:p w14:paraId="4A20EA1C">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检查硬盘SATA连接线是否松动</w:t>
            </w:r>
          </w:p>
        </w:tc>
      </w:tr>
      <w:tr w14:paraId="359EAC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687" w:type="dxa"/>
            <w:vMerge w:val="continue"/>
            <w:noWrap w:val="0"/>
            <w:vAlign w:val="center"/>
          </w:tcPr>
          <w:p w14:paraId="6DF015BA">
            <w:pPr>
              <w:jc w:val="center"/>
              <w:rPr>
                <w:rFonts w:hint="default" w:ascii="Times New Roman" w:hAnsi="Times New Roman" w:eastAsia="宋体" w:cs="Times New Roman"/>
                <w:kern w:val="0"/>
                <w:sz w:val="21"/>
                <w:szCs w:val="24"/>
                <w:highlight w:val="none"/>
              </w:rPr>
            </w:pPr>
          </w:p>
        </w:tc>
        <w:tc>
          <w:tcPr>
            <w:tcW w:w="1125" w:type="dxa"/>
            <w:vMerge w:val="continue"/>
            <w:noWrap w:val="0"/>
            <w:vAlign w:val="center"/>
          </w:tcPr>
          <w:p w14:paraId="666C2CA9">
            <w:pPr>
              <w:jc w:val="center"/>
              <w:rPr>
                <w:rFonts w:hint="default" w:ascii="Times New Roman" w:hAnsi="Times New Roman" w:eastAsia="宋体" w:cs="Times New Roman"/>
                <w:kern w:val="0"/>
                <w:sz w:val="21"/>
                <w:szCs w:val="24"/>
                <w:highlight w:val="none"/>
              </w:rPr>
            </w:pPr>
          </w:p>
        </w:tc>
        <w:tc>
          <w:tcPr>
            <w:tcW w:w="2190" w:type="dxa"/>
            <w:vMerge w:val="continue"/>
            <w:noWrap w:val="0"/>
            <w:vAlign w:val="center"/>
          </w:tcPr>
          <w:p w14:paraId="2EEBE7AC">
            <w:pPr>
              <w:jc w:val="center"/>
              <w:rPr>
                <w:rFonts w:hint="default" w:ascii="Times New Roman" w:hAnsi="Times New Roman" w:eastAsia="宋体" w:cs="Times New Roman"/>
                <w:kern w:val="0"/>
                <w:sz w:val="21"/>
                <w:szCs w:val="24"/>
                <w:highlight w:val="none"/>
              </w:rPr>
            </w:pPr>
          </w:p>
        </w:tc>
        <w:tc>
          <w:tcPr>
            <w:tcW w:w="5213" w:type="dxa"/>
            <w:noWrap w:val="0"/>
            <w:vAlign w:val="center"/>
          </w:tcPr>
          <w:p w14:paraId="49DBB138">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定期对杀毒软件升级，专机专用，禁止从事与工作无关的活动</w:t>
            </w:r>
          </w:p>
        </w:tc>
      </w:tr>
      <w:tr w14:paraId="1A8819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jc w:val="center"/>
        </w:trPr>
        <w:tc>
          <w:tcPr>
            <w:tcW w:w="687" w:type="dxa"/>
            <w:vMerge w:val="continue"/>
            <w:noWrap w:val="0"/>
            <w:vAlign w:val="center"/>
          </w:tcPr>
          <w:p w14:paraId="1CE23E17">
            <w:pPr>
              <w:jc w:val="center"/>
              <w:rPr>
                <w:rFonts w:hint="default" w:ascii="Times New Roman" w:hAnsi="Times New Roman" w:eastAsia="宋体" w:cs="Times New Roman"/>
                <w:kern w:val="0"/>
                <w:sz w:val="21"/>
                <w:szCs w:val="24"/>
                <w:highlight w:val="none"/>
              </w:rPr>
            </w:pPr>
          </w:p>
        </w:tc>
        <w:tc>
          <w:tcPr>
            <w:tcW w:w="1125" w:type="dxa"/>
            <w:vMerge w:val="continue"/>
            <w:noWrap w:val="0"/>
            <w:vAlign w:val="center"/>
          </w:tcPr>
          <w:p w14:paraId="2B983673">
            <w:pPr>
              <w:jc w:val="center"/>
              <w:rPr>
                <w:rFonts w:hint="default" w:ascii="Times New Roman" w:hAnsi="Times New Roman" w:eastAsia="宋体" w:cs="Times New Roman"/>
                <w:kern w:val="0"/>
                <w:sz w:val="21"/>
                <w:szCs w:val="24"/>
                <w:highlight w:val="none"/>
              </w:rPr>
            </w:pPr>
          </w:p>
        </w:tc>
        <w:tc>
          <w:tcPr>
            <w:tcW w:w="2190" w:type="dxa"/>
            <w:vMerge w:val="continue"/>
            <w:noWrap w:val="0"/>
            <w:vAlign w:val="center"/>
          </w:tcPr>
          <w:p w14:paraId="5F1C41B1">
            <w:pPr>
              <w:jc w:val="center"/>
              <w:rPr>
                <w:rFonts w:hint="default" w:ascii="Times New Roman" w:hAnsi="Times New Roman" w:eastAsia="宋体" w:cs="Times New Roman"/>
                <w:kern w:val="0"/>
                <w:sz w:val="21"/>
                <w:szCs w:val="24"/>
                <w:highlight w:val="none"/>
              </w:rPr>
            </w:pPr>
          </w:p>
        </w:tc>
        <w:tc>
          <w:tcPr>
            <w:tcW w:w="5213" w:type="dxa"/>
            <w:noWrap w:val="0"/>
            <w:vAlign w:val="center"/>
          </w:tcPr>
          <w:p w14:paraId="6A900EFC">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装回工控机重复1）、2）步骤</w:t>
            </w:r>
          </w:p>
        </w:tc>
      </w:tr>
    </w:tbl>
    <w:p w14:paraId="503A1DE1">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w:t>
      </w:r>
      <w:r>
        <w:rPr>
          <w:rFonts w:hint="default" w:ascii="宋体" w:hAnsi="宋体" w:eastAsia="宋体" w:cs="Times New Roman"/>
          <w:kern w:val="0"/>
          <w:sz w:val="24"/>
          <w:szCs w:val="24"/>
          <w:highlight w:val="none"/>
        </w:rPr>
        <w:t>6每年工作内容如下：</w:t>
      </w:r>
    </w:p>
    <w:p w14:paraId="2D0F9FD2">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成交单位负责站房、栈桥及相关附属设施的维修、维护工作。每年对站房进行一次全面修缮，对站房外围进行整修和粉刷，保证墙面整洁、站房安全；每年对栈桥或取水设施进行一次检修，确保水样取水的代表性；每年对防雷设施进行一次全面检测，并提供检测报告；对站房的门禁、灭火设施、视频监控系统、标志牌、LOGO等附属设施进行维护。其中水站外观整治及内外墙面粉刷要求如下：</w:t>
      </w:r>
    </w:p>
    <w:p w14:paraId="1700DDDD">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宋体"/>
          <w:kern w:val="0"/>
          <w:sz w:val="24"/>
          <w:szCs w:val="24"/>
          <w:highlight w:val="none"/>
        </w:rPr>
        <w:t>①</w:t>
      </w:r>
      <w:r>
        <w:rPr>
          <w:rFonts w:hint="default" w:ascii="宋体" w:hAnsi="宋体" w:eastAsia="宋体" w:cs="Times New Roman"/>
          <w:kern w:val="0"/>
          <w:sz w:val="24"/>
          <w:szCs w:val="24"/>
          <w:highlight w:val="none"/>
        </w:rPr>
        <w:t>沾水：墙面湿润有利于铲掉旧的墙皮。</w:t>
      </w:r>
    </w:p>
    <w:p w14:paraId="110A0101">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宋体"/>
          <w:kern w:val="0"/>
          <w:sz w:val="24"/>
          <w:szCs w:val="24"/>
          <w:highlight w:val="none"/>
        </w:rPr>
        <w:t>②</w:t>
      </w:r>
      <w:r>
        <w:rPr>
          <w:rFonts w:hint="default" w:ascii="宋体" w:hAnsi="宋体" w:eastAsia="宋体" w:cs="Times New Roman"/>
          <w:kern w:val="0"/>
          <w:sz w:val="24"/>
          <w:szCs w:val="24"/>
          <w:highlight w:val="none"/>
        </w:rPr>
        <w:t>铲墙皮：铲除原有墙面已经被水浸过的部分，或用尼龙刷或者粗砂纸将其铲除，磨平。直到露出水泥砂浆墙面或腻子层裂缝及找平：</w:t>
      </w:r>
    </w:p>
    <w:p w14:paraId="2F371DC7">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宋体"/>
          <w:kern w:val="0"/>
          <w:sz w:val="24"/>
          <w:szCs w:val="24"/>
          <w:highlight w:val="none"/>
        </w:rPr>
        <w:t>③</w:t>
      </w:r>
      <w:r>
        <w:rPr>
          <w:rFonts w:hint="default" w:ascii="宋体" w:hAnsi="宋体" w:eastAsia="宋体" w:cs="Times New Roman"/>
          <w:kern w:val="0"/>
          <w:sz w:val="24"/>
          <w:szCs w:val="24"/>
          <w:highlight w:val="none"/>
        </w:rPr>
        <w:t>裂缝：一般情况下用牛皮纸和白乳胶贴住裂缝。</w:t>
      </w:r>
    </w:p>
    <w:p w14:paraId="0D6AA5D7">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宋体"/>
          <w:kern w:val="0"/>
          <w:sz w:val="24"/>
          <w:szCs w:val="24"/>
          <w:highlight w:val="none"/>
        </w:rPr>
        <w:t>④</w:t>
      </w:r>
      <w:r>
        <w:rPr>
          <w:rFonts w:hint="default" w:ascii="宋体" w:hAnsi="宋体" w:eastAsia="宋体" w:cs="Times New Roman"/>
          <w:kern w:val="0"/>
          <w:sz w:val="24"/>
          <w:szCs w:val="24"/>
          <w:highlight w:val="none"/>
        </w:rPr>
        <w:t>找平：凸凹不平的表面需要找平，一般石膏粉比较常用，凸凹差不超过0.5公分为佳，选择颗粒细度较高和质地较硬的腻子或在腻子里添加一定的白乳胶，提高腻子的硬度。用较细的砂子，一般质地较松软的腻子（如821）用400-500号砂子，质地较硬的（如墙衬等）用360-400号。涂刷主要注意墙角，每滚中间接茬部分和收漆方向，墙角的处理，多数用板刷或排笔进行涂刷。刷漆时每滚上墙后都要有个收漆动作，一滚套一滚，切勿漏刷。</w:t>
      </w:r>
    </w:p>
    <w:p w14:paraId="00D13F79">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宋体"/>
          <w:kern w:val="0"/>
          <w:sz w:val="24"/>
          <w:szCs w:val="24"/>
          <w:highlight w:val="none"/>
        </w:rPr>
        <w:t>⑤</w:t>
      </w:r>
      <w:r>
        <w:rPr>
          <w:rFonts w:hint="default" w:ascii="宋体" w:hAnsi="宋体" w:eastAsia="宋体" w:cs="Times New Roman"/>
          <w:kern w:val="0"/>
          <w:sz w:val="24"/>
          <w:szCs w:val="24"/>
          <w:highlight w:val="none"/>
        </w:rPr>
        <w:t>负责对站房外围的院墙、大门、绿化等基础设施进行维护，如有损坏及时更换。</w:t>
      </w:r>
    </w:p>
    <w:p w14:paraId="248AD906">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w:t>
      </w:r>
      <w:r>
        <w:rPr>
          <w:rFonts w:hint="default" w:ascii="宋体" w:hAnsi="宋体" w:eastAsia="宋体" w:cs="Times New Roman"/>
          <w:kern w:val="0"/>
          <w:sz w:val="24"/>
          <w:szCs w:val="24"/>
          <w:highlight w:val="none"/>
        </w:rPr>
        <w:t>7</w:t>
      </w:r>
      <w:r>
        <w:rPr>
          <w:rFonts w:hint="eastAsia" w:ascii="宋体" w:hAnsi="宋体" w:eastAsia="宋体" w:cs="Times New Roman"/>
          <w:kern w:val="0"/>
          <w:sz w:val="24"/>
          <w:szCs w:val="24"/>
          <w:highlight w:val="none"/>
          <w:lang w:val="en-US" w:eastAsia="zh-CN"/>
        </w:rPr>
        <w:t xml:space="preserve"> </w:t>
      </w:r>
      <w:r>
        <w:rPr>
          <w:rFonts w:hint="default" w:ascii="宋体" w:hAnsi="宋体" w:eastAsia="宋体" w:cs="Times New Roman"/>
          <w:kern w:val="0"/>
          <w:sz w:val="24"/>
          <w:szCs w:val="24"/>
          <w:highlight w:val="none"/>
        </w:rPr>
        <w:t>日常运维其他相关要求如下：</w:t>
      </w:r>
    </w:p>
    <w:p w14:paraId="35FA718E">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w:t>
      </w:r>
      <w:r>
        <w:rPr>
          <w:rFonts w:hint="default" w:ascii="宋体" w:hAnsi="宋体" w:eastAsia="宋体" w:cs="Times New Roman"/>
          <w:kern w:val="0"/>
          <w:sz w:val="24"/>
          <w:szCs w:val="24"/>
          <w:highlight w:val="none"/>
        </w:rPr>
        <w:t>7</w:t>
      </w:r>
      <w:r>
        <w:rPr>
          <w:rFonts w:hint="eastAsia" w:ascii="宋体" w:hAnsi="宋体" w:eastAsia="宋体" w:cs="Times New Roman"/>
          <w:kern w:val="0"/>
          <w:sz w:val="24"/>
          <w:szCs w:val="24"/>
          <w:highlight w:val="none"/>
          <w:lang w:val="en-US" w:eastAsia="zh-CN"/>
        </w:rPr>
        <w:t xml:space="preserve">.1 </w:t>
      </w:r>
      <w:r>
        <w:rPr>
          <w:rFonts w:hint="default" w:ascii="宋体" w:hAnsi="宋体" w:eastAsia="宋体" w:cs="Times New Roman"/>
          <w:kern w:val="0"/>
          <w:sz w:val="24"/>
          <w:szCs w:val="24"/>
          <w:highlight w:val="none"/>
        </w:rPr>
        <w:t>成交单位需协助</w:t>
      </w:r>
      <w:r>
        <w:rPr>
          <w:rFonts w:hint="eastAsia" w:ascii="宋体" w:hAnsi="宋体" w:eastAsia="宋体" w:cs="宋体"/>
          <w:bCs/>
          <w:color w:val="000000"/>
          <w:kern w:val="0"/>
          <w:sz w:val="24"/>
          <w:szCs w:val="24"/>
          <w:highlight w:val="none"/>
        </w:rPr>
        <w:t>徐州市丰县生态环境局</w:t>
      </w:r>
      <w:r>
        <w:rPr>
          <w:rFonts w:hint="default" w:ascii="宋体" w:hAnsi="宋体" w:eastAsia="宋体" w:cs="Times New Roman"/>
          <w:kern w:val="0"/>
          <w:sz w:val="24"/>
          <w:szCs w:val="24"/>
          <w:highlight w:val="none"/>
        </w:rPr>
        <w:t>做好水站固定资产、备品备件的管理及登记等工作。</w:t>
      </w:r>
    </w:p>
    <w:p w14:paraId="3E6C89B1">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w:t>
      </w:r>
      <w:r>
        <w:rPr>
          <w:rFonts w:hint="default" w:ascii="宋体" w:hAnsi="宋体" w:eastAsia="宋体" w:cs="Times New Roman"/>
          <w:kern w:val="0"/>
          <w:sz w:val="24"/>
          <w:szCs w:val="24"/>
          <w:highlight w:val="none"/>
        </w:rPr>
        <w:t>7</w:t>
      </w:r>
      <w:r>
        <w:rPr>
          <w:rFonts w:hint="eastAsia" w:ascii="宋体" w:hAnsi="宋体" w:eastAsia="宋体" w:cs="Times New Roman"/>
          <w:kern w:val="0"/>
          <w:sz w:val="24"/>
          <w:szCs w:val="24"/>
          <w:highlight w:val="none"/>
          <w:lang w:val="en-US" w:eastAsia="zh-CN"/>
        </w:rPr>
        <w:t xml:space="preserve">.2 </w:t>
      </w:r>
      <w:r>
        <w:rPr>
          <w:rFonts w:hint="default" w:ascii="宋体" w:hAnsi="宋体" w:eastAsia="宋体" w:cs="Times New Roman"/>
          <w:kern w:val="0"/>
          <w:sz w:val="24"/>
          <w:szCs w:val="24"/>
          <w:highlight w:val="none"/>
        </w:rPr>
        <w:t>运维单位应积极参加省监测中心或驻市中心主办的技术培训班，加强业务学习，不断提高业务能力和水平。</w:t>
      </w:r>
    </w:p>
    <w:p w14:paraId="184BDB46">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w:t>
      </w:r>
      <w:r>
        <w:rPr>
          <w:rFonts w:hint="default" w:ascii="宋体" w:hAnsi="宋体" w:eastAsia="宋体" w:cs="Times New Roman"/>
          <w:kern w:val="0"/>
          <w:sz w:val="24"/>
          <w:szCs w:val="24"/>
          <w:highlight w:val="none"/>
        </w:rPr>
        <w:t>7</w:t>
      </w:r>
      <w:r>
        <w:rPr>
          <w:rFonts w:hint="eastAsia" w:ascii="宋体" w:hAnsi="宋体" w:eastAsia="宋体" w:cs="Times New Roman"/>
          <w:kern w:val="0"/>
          <w:sz w:val="24"/>
          <w:szCs w:val="24"/>
          <w:highlight w:val="none"/>
          <w:lang w:val="en-US" w:eastAsia="zh-CN"/>
        </w:rPr>
        <w:t xml:space="preserve">.3 </w:t>
      </w:r>
      <w:r>
        <w:rPr>
          <w:rFonts w:hint="default" w:ascii="宋体" w:hAnsi="宋体" w:eastAsia="宋体" w:cs="Times New Roman"/>
          <w:kern w:val="0"/>
          <w:sz w:val="24"/>
          <w:szCs w:val="24"/>
          <w:highlight w:val="none"/>
        </w:rPr>
        <w:t>运维单位应根据国家与我省有关要求做好废液的处理工作。</w:t>
      </w:r>
    </w:p>
    <w:p w14:paraId="4DD0508A">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w:t>
      </w:r>
      <w:r>
        <w:rPr>
          <w:rFonts w:hint="default" w:ascii="宋体" w:hAnsi="宋体" w:eastAsia="宋体" w:cs="Times New Roman"/>
          <w:kern w:val="0"/>
          <w:sz w:val="24"/>
          <w:szCs w:val="24"/>
          <w:highlight w:val="none"/>
        </w:rPr>
        <w:t>7</w:t>
      </w:r>
      <w:r>
        <w:rPr>
          <w:rFonts w:hint="eastAsia" w:ascii="宋体" w:hAnsi="宋体" w:eastAsia="宋体" w:cs="Times New Roman"/>
          <w:kern w:val="0"/>
          <w:sz w:val="24"/>
          <w:szCs w:val="24"/>
          <w:highlight w:val="none"/>
          <w:lang w:val="en-US" w:eastAsia="zh-CN"/>
        </w:rPr>
        <w:t xml:space="preserve">.4 </w:t>
      </w:r>
      <w:r>
        <w:rPr>
          <w:rFonts w:hint="default" w:ascii="宋体" w:hAnsi="宋体" w:eastAsia="宋体" w:cs="Times New Roman"/>
          <w:kern w:val="0"/>
          <w:sz w:val="24"/>
          <w:szCs w:val="24"/>
          <w:highlight w:val="none"/>
        </w:rPr>
        <w:t>运维单位保证满足生态环境部门对省控站仪器设备故障的响应时间要求，当仪器设备每日5时～23时出现故障，应在1小时之内响应，4小时内到达现场解决（通信线路、电力线路故障除外，但应及时与相关部门联系积极解决）。若仪器故障无法排除，运维单位必须在24小时内提供并更换相应的备机，保证自动站正常运行。</w:t>
      </w:r>
    </w:p>
    <w:p w14:paraId="7917DA5D">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w:t>
      </w:r>
      <w:r>
        <w:rPr>
          <w:rFonts w:hint="default" w:ascii="宋体" w:hAnsi="宋体" w:eastAsia="宋体" w:cs="Times New Roman"/>
          <w:kern w:val="0"/>
          <w:sz w:val="24"/>
          <w:szCs w:val="24"/>
          <w:highlight w:val="none"/>
        </w:rPr>
        <w:t>7</w:t>
      </w:r>
      <w:r>
        <w:rPr>
          <w:rFonts w:hint="eastAsia" w:ascii="宋体" w:hAnsi="宋体" w:eastAsia="宋体" w:cs="Times New Roman"/>
          <w:kern w:val="0"/>
          <w:sz w:val="24"/>
          <w:szCs w:val="24"/>
          <w:highlight w:val="none"/>
          <w:lang w:val="en-US" w:eastAsia="zh-CN"/>
        </w:rPr>
        <w:t xml:space="preserve">.5 </w:t>
      </w:r>
      <w:r>
        <w:rPr>
          <w:rFonts w:hint="default" w:ascii="宋体" w:hAnsi="宋体" w:eastAsia="宋体" w:cs="Times New Roman"/>
          <w:kern w:val="0"/>
          <w:sz w:val="24"/>
          <w:szCs w:val="24"/>
          <w:highlight w:val="none"/>
        </w:rPr>
        <w:t>当仪器损坏不能修复时，应在24小时之内使用备机开展监测，并同时报告</w:t>
      </w:r>
      <w:r>
        <w:rPr>
          <w:rFonts w:hint="eastAsia" w:ascii="宋体" w:hAnsi="宋体" w:eastAsia="宋体" w:cs="宋体"/>
          <w:bCs/>
          <w:color w:val="000000"/>
          <w:kern w:val="0"/>
          <w:sz w:val="24"/>
          <w:szCs w:val="24"/>
          <w:highlight w:val="none"/>
        </w:rPr>
        <w:t>徐州市丰县生态环境局</w:t>
      </w:r>
      <w:r>
        <w:rPr>
          <w:rFonts w:hint="default" w:ascii="宋体" w:hAnsi="宋体" w:eastAsia="宋体" w:cs="Times New Roman"/>
          <w:kern w:val="0"/>
          <w:sz w:val="24"/>
          <w:szCs w:val="24"/>
          <w:highlight w:val="none"/>
        </w:rPr>
        <w:t>，</w:t>
      </w:r>
      <w:r>
        <w:rPr>
          <w:rFonts w:hint="eastAsia" w:ascii="宋体" w:hAnsi="宋体" w:eastAsia="宋体" w:cs="宋体"/>
          <w:bCs/>
          <w:color w:val="000000"/>
          <w:kern w:val="0"/>
          <w:sz w:val="24"/>
          <w:szCs w:val="24"/>
          <w:highlight w:val="none"/>
        </w:rPr>
        <w:t>徐州市丰县生态环境局</w:t>
      </w:r>
      <w:r>
        <w:rPr>
          <w:rFonts w:hint="default" w:ascii="宋体" w:hAnsi="宋体" w:eastAsia="宋体" w:cs="Times New Roman"/>
          <w:kern w:val="0"/>
          <w:sz w:val="24"/>
          <w:szCs w:val="24"/>
          <w:highlight w:val="none"/>
        </w:rPr>
        <w:t>组织确认仪器损坏情况及原因，酌情处理。</w:t>
      </w:r>
    </w:p>
    <w:p w14:paraId="2F267D38">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w:t>
      </w:r>
      <w:r>
        <w:rPr>
          <w:rFonts w:hint="default" w:ascii="宋体" w:hAnsi="宋体" w:eastAsia="宋体" w:cs="Times New Roman"/>
          <w:kern w:val="0"/>
          <w:sz w:val="24"/>
          <w:szCs w:val="24"/>
          <w:highlight w:val="none"/>
        </w:rPr>
        <w:t>7</w:t>
      </w:r>
      <w:r>
        <w:rPr>
          <w:rFonts w:hint="eastAsia" w:ascii="宋体" w:hAnsi="宋体" w:eastAsia="宋体" w:cs="Times New Roman"/>
          <w:kern w:val="0"/>
          <w:sz w:val="24"/>
          <w:szCs w:val="24"/>
          <w:highlight w:val="none"/>
          <w:lang w:val="en-US" w:eastAsia="zh-CN"/>
        </w:rPr>
        <w:t xml:space="preserve">.6 </w:t>
      </w:r>
      <w:r>
        <w:rPr>
          <w:rFonts w:hint="default" w:ascii="宋体" w:hAnsi="宋体" w:eastAsia="宋体" w:cs="Times New Roman"/>
          <w:kern w:val="0"/>
          <w:sz w:val="24"/>
          <w:szCs w:val="24"/>
          <w:highlight w:val="none"/>
        </w:rPr>
        <w:t>仪器报废后（包括使用超过8年导致，或因洪水、地震、台风、站房外部火灾、爆炸、恐怖袭击、武装冲突、蓄意破坏等不可抗力导致），运维单位须先行及时使用备机开展监测，同时报告</w:t>
      </w:r>
      <w:r>
        <w:rPr>
          <w:rFonts w:hint="eastAsia" w:ascii="宋体" w:hAnsi="宋体" w:eastAsia="宋体" w:cs="宋体"/>
          <w:bCs/>
          <w:color w:val="000000"/>
          <w:kern w:val="0"/>
          <w:sz w:val="24"/>
          <w:szCs w:val="24"/>
          <w:highlight w:val="none"/>
        </w:rPr>
        <w:t>徐州市丰县生态环境局</w:t>
      </w:r>
      <w:r>
        <w:rPr>
          <w:rFonts w:hint="default" w:ascii="宋体" w:hAnsi="宋体" w:eastAsia="宋体" w:cs="Times New Roman"/>
          <w:kern w:val="0"/>
          <w:sz w:val="24"/>
          <w:szCs w:val="24"/>
          <w:highlight w:val="none"/>
        </w:rPr>
        <w:t>。</w:t>
      </w:r>
    </w:p>
    <w:p w14:paraId="29F5D950">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w:t>
      </w:r>
      <w:r>
        <w:rPr>
          <w:rFonts w:hint="default" w:ascii="宋体" w:hAnsi="宋体" w:eastAsia="宋体" w:cs="Times New Roman"/>
          <w:kern w:val="0"/>
          <w:sz w:val="24"/>
          <w:szCs w:val="24"/>
          <w:highlight w:val="none"/>
        </w:rPr>
        <w:t>7</w:t>
      </w:r>
      <w:r>
        <w:rPr>
          <w:rFonts w:hint="eastAsia" w:ascii="宋体" w:hAnsi="宋体" w:eastAsia="宋体" w:cs="Times New Roman"/>
          <w:kern w:val="0"/>
          <w:sz w:val="24"/>
          <w:szCs w:val="24"/>
          <w:highlight w:val="none"/>
          <w:lang w:val="en-US" w:eastAsia="zh-CN"/>
        </w:rPr>
        <w:t xml:space="preserve">.7 </w:t>
      </w:r>
      <w:r>
        <w:rPr>
          <w:rFonts w:hint="default" w:ascii="宋体" w:hAnsi="宋体" w:eastAsia="宋体" w:cs="Times New Roman"/>
          <w:kern w:val="0"/>
          <w:sz w:val="24"/>
          <w:szCs w:val="24"/>
          <w:highlight w:val="none"/>
        </w:rPr>
        <w:t>严禁擅自更改仪器参数设置。</w:t>
      </w:r>
    </w:p>
    <w:p w14:paraId="081D211A">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 xml:space="preserve">3.4.8 </w:t>
      </w:r>
      <w:r>
        <w:rPr>
          <w:rFonts w:hint="default" w:ascii="宋体" w:hAnsi="宋体" w:eastAsia="宋体" w:cs="Times New Roman"/>
          <w:kern w:val="0"/>
          <w:sz w:val="24"/>
          <w:szCs w:val="24"/>
          <w:highlight w:val="none"/>
        </w:rPr>
        <w:t>质量控制要求</w:t>
      </w:r>
    </w:p>
    <w:p w14:paraId="3FA65924">
      <w:pPr>
        <w:tabs>
          <w:tab w:val="left" w:pos="2280"/>
        </w:tabs>
        <w:spacing w:line="440" w:lineRule="exact"/>
        <w:ind w:firstLine="480"/>
        <w:contextualSpacing/>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运维单位需认真落实质量管理制度，建立完善的运行维护工作质量管理体系，</w:t>
      </w:r>
      <w:r>
        <w:rPr>
          <w:rFonts w:hint="eastAsia" w:ascii="宋体" w:hAnsi="宋体" w:eastAsia="宋体" w:cs="Times New Roman"/>
          <w:kern w:val="0"/>
          <w:sz w:val="24"/>
          <w:szCs w:val="24"/>
          <w:highlight w:val="none"/>
          <w:lang w:eastAsia="zh-CN"/>
        </w:rPr>
        <w:t>按照</w:t>
      </w:r>
      <w:r>
        <w:rPr>
          <w:rFonts w:hint="eastAsia" w:ascii="Times New Roman" w:hAnsi="Times New Roman" w:eastAsia="宋体" w:cs="Times New Roman"/>
          <w:kern w:val="0"/>
          <w:sz w:val="24"/>
          <w:szCs w:val="20"/>
          <w:highlight w:val="none"/>
        </w:rPr>
        <w:t>《</w:t>
      </w:r>
      <w:r>
        <w:rPr>
          <w:rFonts w:hint="eastAsia" w:ascii="Times New Roman" w:hAnsi="Times New Roman" w:eastAsia="宋体" w:cs="Times New Roman"/>
          <w:kern w:val="0"/>
          <w:sz w:val="24"/>
          <w:szCs w:val="20"/>
          <w:highlight w:val="none"/>
          <w:lang w:val="en-US" w:eastAsia="zh-CN"/>
        </w:rPr>
        <w:t>环境水质（地表水）自动监测站运行维护技术规范</w:t>
      </w:r>
      <w:r>
        <w:rPr>
          <w:rFonts w:hint="eastAsia" w:ascii="Times New Roman" w:hAnsi="Times New Roman" w:eastAsia="宋体" w:cs="Times New Roman"/>
          <w:kern w:val="0"/>
          <w:sz w:val="24"/>
          <w:szCs w:val="20"/>
          <w:highlight w:val="none"/>
        </w:rPr>
        <w:t>》</w:t>
      </w:r>
      <w:r>
        <w:rPr>
          <w:rFonts w:hint="eastAsia" w:ascii="Times New Roman" w:hAnsi="Times New Roman" w:eastAsia="宋体" w:cs="Times New Roman"/>
          <w:kern w:val="0"/>
          <w:sz w:val="24"/>
          <w:szCs w:val="20"/>
          <w:highlight w:val="none"/>
          <w:lang w:eastAsia="zh-CN"/>
        </w:rPr>
        <w:t>（</w:t>
      </w:r>
      <w:r>
        <w:rPr>
          <w:rFonts w:hint="eastAsia" w:ascii="Times New Roman" w:hAnsi="Times New Roman" w:eastAsia="宋体" w:cs="Times New Roman"/>
          <w:kern w:val="0"/>
          <w:sz w:val="24"/>
          <w:szCs w:val="20"/>
          <w:highlight w:val="none"/>
          <w:lang w:val="en-US" w:eastAsia="zh-CN"/>
        </w:rPr>
        <w:t>DB32/T4536-2023</w:t>
      </w:r>
      <w:r>
        <w:rPr>
          <w:rFonts w:hint="eastAsia" w:ascii="Times New Roman" w:hAnsi="Times New Roman" w:eastAsia="宋体" w:cs="Times New Roman"/>
          <w:kern w:val="0"/>
          <w:sz w:val="24"/>
          <w:szCs w:val="20"/>
          <w:highlight w:val="none"/>
          <w:lang w:eastAsia="zh-CN"/>
        </w:rPr>
        <w:t>）</w:t>
      </w:r>
      <w:r>
        <w:rPr>
          <w:rFonts w:hint="default" w:ascii="宋体" w:hAnsi="宋体" w:eastAsia="宋体" w:cs="Times New Roman"/>
          <w:kern w:val="0"/>
          <w:sz w:val="24"/>
          <w:szCs w:val="24"/>
          <w:highlight w:val="none"/>
        </w:rPr>
        <w:t>等规定要求，定期开展质控核查、水样比对、加标回收和系统干预检查等质控工作。其中：</w:t>
      </w:r>
    </w:p>
    <w:p w14:paraId="60A0070F">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 xml:space="preserve">3.4.8.1 </w:t>
      </w:r>
      <w:r>
        <w:rPr>
          <w:rFonts w:hint="default" w:ascii="宋体" w:hAnsi="宋体" w:eastAsia="宋体" w:cs="Times New Roman"/>
          <w:kern w:val="0"/>
          <w:sz w:val="24"/>
          <w:szCs w:val="24"/>
          <w:highlight w:val="none"/>
        </w:rPr>
        <w:t>氨氮、高锰酸钾指数、总磷、至少每周进行2次质控核查（零点核查及漂移、标点核查及漂移，可以为自动或手工），每月进行一次线性检查。</w:t>
      </w:r>
    </w:p>
    <w:p w14:paraId="5EBE82C2">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 xml:space="preserve">3.4.8.2 </w:t>
      </w:r>
      <w:r>
        <w:rPr>
          <w:rFonts w:hint="default" w:ascii="宋体" w:hAnsi="宋体" w:eastAsia="宋体" w:cs="Times New Roman"/>
          <w:kern w:val="0"/>
          <w:sz w:val="24"/>
          <w:szCs w:val="24"/>
          <w:highlight w:val="none"/>
        </w:rPr>
        <w:t>pH、溶解氧、电导率、浊度、水温、叶绿素、蓝绿藻每周至少进行一次水样比对。</w:t>
      </w:r>
    </w:p>
    <w:p w14:paraId="75FB55F8">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 xml:space="preserve">3.4.8.3 </w:t>
      </w:r>
      <w:r>
        <w:rPr>
          <w:rFonts w:hint="default" w:ascii="宋体" w:hAnsi="宋体" w:eastAsia="宋体" w:cs="Times New Roman"/>
          <w:kern w:val="0"/>
          <w:sz w:val="24"/>
          <w:szCs w:val="24"/>
          <w:highlight w:val="none"/>
        </w:rPr>
        <w:t>水站系统（以氨氮、高锰酸盐指数为代表指标）至少每周进行一次系统干预检查。合格标准参考国家相应规范要求。</w:t>
      </w:r>
    </w:p>
    <w:p w14:paraId="178E48DC">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 xml:space="preserve">3.4.8.4 </w:t>
      </w:r>
      <w:r>
        <w:rPr>
          <w:rFonts w:hint="default" w:ascii="宋体" w:hAnsi="宋体" w:eastAsia="宋体" w:cs="Times New Roman"/>
          <w:kern w:val="0"/>
          <w:sz w:val="24"/>
          <w:szCs w:val="24"/>
          <w:highlight w:val="none"/>
        </w:rPr>
        <w:t>所有质控结果（包括图片等佐证材料）应及时报省监测中心，结果未报、频次未达标或未附佐证材料视为考核不合格，同时扣除该参数当月（或该季度）相关时段运维款。成交单位应及时对校准、质控和水质异常等的数据做出标识，并于每日的12:00之前将完成前一日原始数据的标识工作。</w:t>
      </w:r>
    </w:p>
    <w:p w14:paraId="3BE78964">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 xml:space="preserve">3.4.8.5 </w:t>
      </w:r>
      <w:r>
        <w:rPr>
          <w:rFonts w:hint="default" w:ascii="宋体" w:hAnsi="宋体" w:eastAsia="宋体" w:cs="Times New Roman"/>
          <w:kern w:val="0"/>
          <w:sz w:val="24"/>
          <w:szCs w:val="24"/>
          <w:highlight w:val="none"/>
        </w:rPr>
        <w:t>质控考核测试不合格时，成交单位应立即查找原因，并在考核结束的24小时内完成补测。补测仍不合格仪器（或系统）视为故障，需在48小时内更换备机。质控考核不合格的数据直至下次测试合格前均按无效数据剔除。成交单位未按要求更换备机的，相关数据将全部视作无效数据，并同时扣除该参数当月运维款。</w:t>
      </w:r>
    </w:p>
    <w:p w14:paraId="046BD491">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 xml:space="preserve">3.4.8.6 </w:t>
      </w:r>
      <w:r>
        <w:rPr>
          <w:rFonts w:hint="default" w:ascii="宋体" w:hAnsi="宋体" w:eastAsia="宋体" w:cs="Times New Roman"/>
          <w:kern w:val="0"/>
          <w:sz w:val="24"/>
          <w:szCs w:val="24"/>
          <w:highlight w:val="none"/>
        </w:rPr>
        <w:t>运维单位必须接受</w:t>
      </w:r>
      <w:r>
        <w:rPr>
          <w:rFonts w:hint="eastAsia" w:ascii="宋体" w:hAnsi="宋体" w:eastAsia="宋体" w:cs="宋体"/>
          <w:bCs/>
          <w:color w:val="000000"/>
          <w:kern w:val="0"/>
          <w:sz w:val="24"/>
          <w:szCs w:val="24"/>
          <w:highlight w:val="none"/>
        </w:rPr>
        <w:t>徐州市丰县生态环境局</w:t>
      </w:r>
      <w:r>
        <w:rPr>
          <w:rFonts w:hint="default" w:ascii="宋体" w:hAnsi="宋体" w:eastAsia="宋体" w:cs="Times New Roman"/>
          <w:kern w:val="0"/>
          <w:sz w:val="24"/>
          <w:szCs w:val="24"/>
          <w:highlight w:val="none"/>
        </w:rPr>
        <w:t>及其委托单位和人员的质量检查。</w:t>
      </w:r>
    </w:p>
    <w:p w14:paraId="1EF5E322">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 xml:space="preserve">3.4.9 </w:t>
      </w:r>
      <w:r>
        <w:rPr>
          <w:rFonts w:hint="default" w:ascii="宋体" w:hAnsi="宋体" w:eastAsia="宋体" w:cs="Times New Roman"/>
          <w:kern w:val="0"/>
          <w:sz w:val="24"/>
          <w:szCs w:val="24"/>
          <w:highlight w:val="none"/>
        </w:rPr>
        <w:t>应急措施要求</w:t>
      </w:r>
    </w:p>
    <w:p w14:paraId="47C2C0CF">
      <w:pPr>
        <w:tabs>
          <w:tab w:val="left" w:pos="2280"/>
        </w:tabs>
        <w:spacing w:line="480" w:lineRule="exact"/>
        <w:ind w:firstLine="480"/>
        <w:contextualSpacing/>
        <w:jc w:val="both"/>
        <w:rPr>
          <w:rFonts w:hint="default" w:ascii="Times New Roman" w:hAnsi="Times New Roman" w:eastAsia="宋体" w:cs="Times New Roman"/>
          <w:iCs/>
          <w:kern w:val="0"/>
          <w:sz w:val="24"/>
          <w:szCs w:val="24"/>
          <w:highlight w:val="none"/>
        </w:rPr>
      </w:pPr>
      <w:r>
        <w:rPr>
          <w:rFonts w:hint="eastAsia" w:ascii="宋体" w:hAnsi="宋体" w:eastAsia="宋体" w:cs="Times New Roman"/>
          <w:iCs/>
          <w:kern w:val="0"/>
          <w:sz w:val="24"/>
          <w:szCs w:val="24"/>
          <w:highlight w:val="none"/>
        </w:rPr>
        <w:t>供应商应制定</w:t>
      </w:r>
      <w:r>
        <w:rPr>
          <w:rFonts w:hint="default" w:ascii="宋体" w:hAnsi="宋体" w:eastAsia="宋体" w:cs="Times New Roman"/>
          <w:iCs/>
          <w:kern w:val="0"/>
          <w:sz w:val="24"/>
          <w:szCs w:val="24"/>
          <w:highlight w:val="none"/>
        </w:rPr>
        <w:t>应急事故处理方案</w:t>
      </w:r>
      <w:r>
        <w:rPr>
          <w:rFonts w:hint="eastAsia" w:ascii="宋体" w:hAnsi="宋体" w:eastAsia="宋体" w:cs="Times New Roman"/>
          <w:iCs/>
          <w:kern w:val="0"/>
          <w:sz w:val="24"/>
          <w:szCs w:val="24"/>
          <w:highlight w:val="none"/>
        </w:rPr>
        <w:t>，</w:t>
      </w:r>
      <w:r>
        <w:rPr>
          <w:rFonts w:hint="default" w:ascii="宋体" w:hAnsi="宋体" w:eastAsia="宋体" w:cs="Times New Roman"/>
          <w:iCs/>
          <w:kern w:val="0"/>
          <w:sz w:val="24"/>
          <w:szCs w:val="24"/>
          <w:highlight w:val="none"/>
        </w:rPr>
        <w:t>内容包括突发性水质污染、特殊时期（丰水期、枯水期）、自然灾害、水电检修、临时停电或节假日、重大活动或被破坏情况</w:t>
      </w:r>
      <w:r>
        <w:rPr>
          <w:rFonts w:hint="eastAsia" w:ascii="宋体" w:hAnsi="宋体" w:eastAsia="宋体" w:cs="Times New Roman"/>
          <w:iCs/>
          <w:kern w:val="0"/>
          <w:sz w:val="24"/>
          <w:szCs w:val="24"/>
          <w:highlight w:val="none"/>
        </w:rPr>
        <w:t>。</w:t>
      </w:r>
    </w:p>
    <w:p w14:paraId="74672E93">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 xml:space="preserve">3.4.9.1 </w:t>
      </w:r>
      <w:r>
        <w:rPr>
          <w:rFonts w:hint="default" w:ascii="宋体" w:hAnsi="宋体" w:eastAsia="宋体" w:cs="Times New Roman"/>
          <w:kern w:val="0"/>
          <w:sz w:val="24"/>
          <w:szCs w:val="24"/>
          <w:highlight w:val="none"/>
        </w:rPr>
        <w:t>水站监测数据异常处理</w:t>
      </w:r>
    </w:p>
    <w:p w14:paraId="18A628FF">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当水站监测数据发现异常或发现所在断面发生污染事故时，须2小时内到达站点核查仪器运行状态，保证系统仪器正常运行，监测数据准确，传输畅通，并协助托管站进行手工监测复核。</w:t>
      </w:r>
    </w:p>
    <w:p w14:paraId="60322C89">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 xml:space="preserve">3.4.9.2 </w:t>
      </w:r>
      <w:r>
        <w:rPr>
          <w:rFonts w:hint="default" w:ascii="宋体" w:hAnsi="宋体" w:eastAsia="宋体" w:cs="Times New Roman"/>
          <w:kern w:val="0"/>
          <w:sz w:val="24"/>
          <w:szCs w:val="24"/>
          <w:highlight w:val="none"/>
        </w:rPr>
        <w:t>水质自动站系统仪器故障</w:t>
      </w:r>
    </w:p>
    <w:p w14:paraId="10E0FF74">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当水质自动站系统仪器出现故障、停运时，成交单位应保证在2小时内到达现场检修，如24小时内无法排除故障，导致水站主要监测指标无法连续监测时，须在48小时内更换备机；因水电中断或采水故障，水站无法正常运行的，应委托有资质的检测机构进行检测以确保数据的完整性，实验室检测数据不少于每周两组（不得为同一天监测）。并及时用电话与书面形式报告业主，协商处理方案。</w:t>
      </w:r>
    </w:p>
    <w:p w14:paraId="6BB90707">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 xml:space="preserve">3.4.9.3 </w:t>
      </w:r>
      <w:r>
        <w:rPr>
          <w:rFonts w:hint="default" w:ascii="宋体" w:hAnsi="宋体" w:eastAsia="宋体" w:cs="Times New Roman"/>
          <w:kern w:val="0"/>
          <w:sz w:val="24"/>
          <w:szCs w:val="24"/>
          <w:highlight w:val="none"/>
        </w:rPr>
        <w:t>应急与数据补测有关费用的规定</w:t>
      </w:r>
    </w:p>
    <w:p w14:paraId="0E9072AE">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宋体"/>
          <w:kern w:val="0"/>
          <w:sz w:val="24"/>
          <w:szCs w:val="24"/>
          <w:highlight w:val="none"/>
        </w:rPr>
        <w:t>①</w:t>
      </w:r>
      <w:r>
        <w:rPr>
          <w:rFonts w:hint="default" w:ascii="宋体" w:hAnsi="宋体" w:eastAsia="宋体" w:cs="Times New Roman"/>
          <w:kern w:val="0"/>
          <w:sz w:val="24"/>
          <w:szCs w:val="24"/>
          <w:highlight w:val="none"/>
        </w:rPr>
        <w:t>成交单位发现数据异常波动并及时核实上报、有效发现污染事故的（以上报的应急监测快报为准），或积极配合国家或省级的污染排查、水站检查工作（需有正式通知），并得到正面评价的，在核算月度运维款时每次可在扣除的总运维费中少扣除2000元；如未及时发现水质异常或响应不及时，或在检查中得到负面评价的，在核算月度运维款时每次须多扣除2000元。</w:t>
      </w:r>
    </w:p>
    <w:p w14:paraId="053A1B65">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宋体"/>
          <w:kern w:val="0"/>
          <w:sz w:val="24"/>
          <w:szCs w:val="24"/>
          <w:highlight w:val="none"/>
        </w:rPr>
        <w:t>②</w:t>
      </w:r>
      <w:r>
        <w:rPr>
          <w:rFonts w:hint="default" w:ascii="宋体" w:hAnsi="宋体" w:eastAsia="宋体" w:cs="Times New Roman"/>
          <w:kern w:val="0"/>
          <w:sz w:val="24"/>
          <w:szCs w:val="24"/>
          <w:highlight w:val="none"/>
        </w:rPr>
        <w:t>成交单位因站点水电中断、采水故障等原因停运，需要委托有资质的检测机构进行检测时，应在上报手工监测数据的同时附有相关检测机构的正式检测报告，相关检测费用由成交人单独报价，在运维费核算时另行核算（不得超出因故障、停运等原因扣除的运维费用的80%）。</w:t>
      </w:r>
    </w:p>
    <w:p w14:paraId="5F3648F3">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宋体"/>
          <w:kern w:val="0"/>
          <w:sz w:val="24"/>
          <w:szCs w:val="24"/>
          <w:highlight w:val="none"/>
        </w:rPr>
        <w:t>③</w:t>
      </w:r>
      <w:r>
        <w:rPr>
          <w:rFonts w:hint="eastAsia" w:ascii="宋体" w:hAnsi="宋体" w:eastAsia="宋体" w:cs="宋体"/>
          <w:bCs/>
          <w:color w:val="000000"/>
          <w:kern w:val="0"/>
          <w:sz w:val="24"/>
          <w:szCs w:val="24"/>
          <w:highlight w:val="none"/>
        </w:rPr>
        <w:t>徐州市丰县生态环境局</w:t>
      </w:r>
      <w:r>
        <w:rPr>
          <w:rFonts w:hint="default" w:ascii="宋体" w:hAnsi="宋体" w:eastAsia="宋体" w:cs="Times New Roman"/>
          <w:kern w:val="0"/>
          <w:sz w:val="24"/>
          <w:szCs w:val="24"/>
          <w:highlight w:val="none"/>
        </w:rPr>
        <w:t>每季度对运维费进行核算，对于扣减的运维费用，由双方协商用于</w:t>
      </w:r>
      <w:r>
        <w:rPr>
          <w:rFonts w:hint="eastAsia" w:ascii="宋体" w:hAnsi="宋体" w:eastAsia="宋体" w:cs="宋体"/>
          <w:bCs/>
          <w:color w:val="000000"/>
          <w:kern w:val="0"/>
          <w:sz w:val="24"/>
          <w:szCs w:val="24"/>
          <w:highlight w:val="none"/>
        </w:rPr>
        <w:t>徐州市丰县生态环境局</w:t>
      </w:r>
      <w:r>
        <w:rPr>
          <w:rFonts w:hint="default" w:ascii="宋体" w:hAnsi="宋体" w:eastAsia="宋体" w:cs="Times New Roman"/>
          <w:kern w:val="0"/>
          <w:sz w:val="24"/>
          <w:szCs w:val="24"/>
          <w:highlight w:val="none"/>
        </w:rPr>
        <w:t>指定的水站故障仪器大修、系统升级、站房整修等方面的建设，供应商应在投标时提交相关维修服务的报价清单。</w:t>
      </w:r>
    </w:p>
    <w:p w14:paraId="6C2A9359">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宋体"/>
          <w:kern w:val="0"/>
          <w:sz w:val="24"/>
          <w:szCs w:val="24"/>
          <w:highlight w:val="none"/>
        </w:rPr>
        <w:t>④</w:t>
      </w:r>
      <w:r>
        <w:rPr>
          <w:rFonts w:hint="default" w:ascii="宋体" w:hAnsi="宋体" w:eastAsia="宋体" w:cs="Times New Roman"/>
          <w:kern w:val="0"/>
          <w:sz w:val="24"/>
          <w:szCs w:val="24"/>
          <w:highlight w:val="none"/>
        </w:rPr>
        <w:t>备机应满足国家及省内相关技术规范的要求，并在我省和国内得到广泛应用，适用于我省水环境自动监测系统，投标时应提供仪器彩页和相关使用情况证明材料。具体技术要求见下表</w:t>
      </w:r>
    </w:p>
    <w:p w14:paraId="68A28D8C">
      <w:pPr>
        <w:ind w:firstLine="420"/>
        <w:jc w:val="center"/>
        <w:rPr>
          <w:rFonts w:hint="default" w:ascii="Times New Roman" w:hAnsi="Times New Roman" w:eastAsia="宋体" w:cs="Times New Roman"/>
          <w:kern w:val="0"/>
          <w:sz w:val="21"/>
          <w:szCs w:val="24"/>
          <w:highlight w:val="none"/>
        </w:rPr>
      </w:pPr>
      <w:r>
        <w:rPr>
          <w:rFonts w:hint="default" w:ascii="宋体" w:hAnsi="宋体" w:eastAsia="宋体" w:cs="Times New Roman"/>
          <w:kern w:val="0"/>
          <w:sz w:val="21"/>
          <w:szCs w:val="24"/>
          <w:highlight w:val="none"/>
        </w:rPr>
        <w:t>更换备机技术要求</w:t>
      </w:r>
    </w:p>
    <w:tbl>
      <w:tblPr>
        <w:tblStyle w:val="6"/>
        <w:tblW w:w="96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1790"/>
        <w:gridCol w:w="2311"/>
        <w:gridCol w:w="4084"/>
      </w:tblGrid>
      <w:tr w14:paraId="133DB8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7" w:hRule="atLeast"/>
          <w:tblHeader/>
          <w:jc w:val="center"/>
        </w:trPr>
        <w:tc>
          <w:tcPr>
            <w:tcW w:w="1443" w:type="dxa"/>
            <w:noWrap w:val="0"/>
            <w:vAlign w:val="center"/>
          </w:tcPr>
          <w:p w14:paraId="4479282A">
            <w:pPr>
              <w:jc w:val="center"/>
              <w:rPr>
                <w:rFonts w:hint="default" w:ascii="Times New Roman" w:hAnsi="Times New Roman" w:eastAsia="宋体" w:cs="Times New Roman"/>
                <w:bCs/>
                <w:kern w:val="0"/>
                <w:sz w:val="21"/>
                <w:szCs w:val="24"/>
                <w:highlight w:val="none"/>
              </w:rPr>
            </w:pPr>
            <w:r>
              <w:rPr>
                <w:rFonts w:hint="default" w:ascii="Times New Roman" w:hAnsi="Times New Roman" w:eastAsia="宋体" w:cs="Times New Roman"/>
                <w:bCs/>
                <w:kern w:val="0"/>
                <w:sz w:val="21"/>
                <w:szCs w:val="24"/>
                <w:highlight w:val="none"/>
              </w:rPr>
              <w:t>项目名称</w:t>
            </w:r>
          </w:p>
        </w:tc>
        <w:tc>
          <w:tcPr>
            <w:tcW w:w="8185" w:type="dxa"/>
            <w:gridSpan w:val="3"/>
            <w:noWrap w:val="0"/>
            <w:vAlign w:val="center"/>
          </w:tcPr>
          <w:p w14:paraId="124B395E">
            <w:pPr>
              <w:jc w:val="center"/>
              <w:rPr>
                <w:rFonts w:hint="default" w:ascii="Times New Roman" w:hAnsi="Times New Roman" w:eastAsia="宋体" w:cs="Times New Roman"/>
                <w:bCs/>
                <w:kern w:val="0"/>
                <w:sz w:val="21"/>
                <w:szCs w:val="24"/>
                <w:highlight w:val="none"/>
              </w:rPr>
            </w:pPr>
            <w:r>
              <w:rPr>
                <w:rFonts w:hint="default" w:ascii="Times New Roman" w:hAnsi="Times New Roman" w:eastAsia="宋体" w:cs="Times New Roman"/>
                <w:bCs/>
                <w:kern w:val="0"/>
                <w:sz w:val="21"/>
                <w:szCs w:val="24"/>
                <w:highlight w:val="none"/>
              </w:rPr>
              <w:t>技术要求</w:t>
            </w:r>
          </w:p>
        </w:tc>
      </w:tr>
      <w:tr w14:paraId="46B79A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restart"/>
            <w:noWrap w:val="0"/>
            <w:vAlign w:val="center"/>
          </w:tcPr>
          <w:p w14:paraId="0B785526">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分析方法</w:t>
            </w:r>
          </w:p>
        </w:tc>
        <w:tc>
          <w:tcPr>
            <w:tcW w:w="1790" w:type="dxa"/>
            <w:noWrap w:val="0"/>
            <w:vAlign w:val="center"/>
          </w:tcPr>
          <w:p w14:paraId="14B1C284">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水温</w:t>
            </w:r>
          </w:p>
        </w:tc>
        <w:tc>
          <w:tcPr>
            <w:tcW w:w="6395" w:type="dxa"/>
            <w:gridSpan w:val="2"/>
            <w:noWrap w:val="0"/>
            <w:vAlign w:val="center"/>
          </w:tcPr>
          <w:p w14:paraId="044B494F">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热电阻/热电偶</w:t>
            </w:r>
          </w:p>
        </w:tc>
      </w:tr>
      <w:tr w14:paraId="672513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79237185">
            <w:pPr>
              <w:jc w:val="center"/>
              <w:rPr>
                <w:rFonts w:hint="default" w:ascii="Times New Roman" w:hAnsi="Times New Roman" w:eastAsia="宋体" w:cs="Times New Roman"/>
                <w:kern w:val="0"/>
                <w:sz w:val="21"/>
                <w:szCs w:val="24"/>
                <w:highlight w:val="none"/>
              </w:rPr>
            </w:pPr>
          </w:p>
        </w:tc>
        <w:tc>
          <w:tcPr>
            <w:tcW w:w="1790" w:type="dxa"/>
            <w:noWrap w:val="0"/>
            <w:vAlign w:val="center"/>
          </w:tcPr>
          <w:p w14:paraId="1C6912AF">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pH</w:t>
            </w:r>
          </w:p>
        </w:tc>
        <w:tc>
          <w:tcPr>
            <w:tcW w:w="6395" w:type="dxa"/>
            <w:gridSpan w:val="2"/>
            <w:noWrap w:val="0"/>
            <w:vAlign w:val="center"/>
          </w:tcPr>
          <w:p w14:paraId="5D185C72">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玻璃电极法</w:t>
            </w:r>
          </w:p>
        </w:tc>
      </w:tr>
      <w:tr w14:paraId="66F5D9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3B94E7AC">
            <w:pPr>
              <w:jc w:val="center"/>
              <w:rPr>
                <w:rFonts w:hint="default" w:ascii="Times New Roman" w:hAnsi="Times New Roman" w:eastAsia="宋体" w:cs="Times New Roman"/>
                <w:kern w:val="0"/>
                <w:sz w:val="21"/>
                <w:szCs w:val="24"/>
                <w:highlight w:val="none"/>
              </w:rPr>
            </w:pPr>
          </w:p>
        </w:tc>
        <w:tc>
          <w:tcPr>
            <w:tcW w:w="1790" w:type="dxa"/>
            <w:noWrap w:val="0"/>
            <w:vAlign w:val="center"/>
          </w:tcPr>
          <w:p w14:paraId="60FCDFDF">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溶解氧</w:t>
            </w:r>
          </w:p>
        </w:tc>
        <w:tc>
          <w:tcPr>
            <w:tcW w:w="6395" w:type="dxa"/>
            <w:gridSpan w:val="2"/>
            <w:noWrap w:val="0"/>
            <w:vAlign w:val="center"/>
          </w:tcPr>
          <w:p w14:paraId="542CE15E">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电化学法/荧光法</w:t>
            </w:r>
          </w:p>
        </w:tc>
      </w:tr>
      <w:tr w14:paraId="620154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59C73B9F">
            <w:pPr>
              <w:jc w:val="center"/>
              <w:rPr>
                <w:rFonts w:hint="default" w:ascii="Times New Roman" w:hAnsi="Times New Roman" w:eastAsia="宋体" w:cs="Times New Roman"/>
                <w:kern w:val="0"/>
                <w:sz w:val="21"/>
                <w:szCs w:val="24"/>
                <w:highlight w:val="none"/>
              </w:rPr>
            </w:pPr>
          </w:p>
        </w:tc>
        <w:tc>
          <w:tcPr>
            <w:tcW w:w="1790" w:type="dxa"/>
            <w:noWrap w:val="0"/>
            <w:vAlign w:val="center"/>
          </w:tcPr>
          <w:p w14:paraId="1D99F39C">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电导率</w:t>
            </w:r>
          </w:p>
        </w:tc>
        <w:tc>
          <w:tcPr>
            <w:tcW w:w="6395" w:type="dxa"/>
            <w:gridSpan w:val="2"/>
            <w:noWrap w:val="0"/>
            <w:vAlign w:val="center"/>
          </w:tcPr>
          <w:p w14:paraId="413A9C02">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电极法</w:t>
            </w:r>
          </w:p>
        </w:tc>
      </w:tr>
      <w:tr w14:paraId="46AAD1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02716483">
            <w:pPr>
              <w:jc w:val="center"/>
              <w:rPr>
                <w:rFonts w:hint="default" w:ascii="Times New Roman" w:hAnsi="Times New Roman" w:eastAsia="宋体" w:cs="Times New Roman"/>
                <w:kern w:val="0"/>
                <w:sz w:val="21"/>
                <w:szCs w:val="24"/>
                <w:highlight w:val="none"/>
              </w:rPr>
            </w:pPr>
          </w:p>
        </w:tc>
        <w:tc>
          <w:tcPr>
            <w:tcW w:w="1790" w:type="dxa"/>
            <w:noWrap w:val="0"/>
            <w:vAlign w:val="center"/>
          </w:tcPr>
          <w:p w14:paraId="06C4E895">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浊度</w:t>
            </w:r>
          </w:p>
        </w:tc>
        <w:tc>
          <w:tcPr>
            <w:tcW w:w="6395" w:type="dxa"/>
            <w:gridSpan w:val="2"/>
            <w:noWrap w:val="0"/>
            <w:vAlign w:val="center"/>
          </w:tcPr>
          <w:p w14:paraId="25F84115">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光散射法</w:t>
            </w:r>
          </w:p>
        </w:tc>
      </w:tr>
      <w:tr w14:paraId="5933D7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7B225711">
            <w:pPr>
              <w:jc w:val="center"/>
              <w:rPr>
                <w:rFonts w:hint="default" w:ascii="Times New Roman" w:hAnsi="Times New Roman" w:eastAsia="宋体" w:cs="Times New Roman"/>
                <w:kern w:val="0"/>
                <w:sz w:val="21"/>
                <w:szCs w:val="24"/>
                <w:highlight w:val="none"/>
              </w:rPr>
            </w:pPr>
          </w:p>
        </w:tc>
        <w:tc>
          <w:tcPr>
            <w:tcW w:w="1790" w:type="dxa"/>
            <w:noWrap w:val="0"/>
            <w:vAlign w:val="center"/>
          </w:tcPr>
          <w:p w14:paraId="611A649D">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高锰酸盐指数</w:t>
            </w:r>
          </w:p>
        </w:tc>
        <w:tc>
          <w:tcPr>
            <w:tcW w:w="6395" w:type="dxa"/>
            <w:gridSpan w:val="2"/>
            <w:noWrap w:val="0"/>
            <w:vAlign w:val="center"/>
          </w:tcPr>
          <w:p w14:paraId="0C020335">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高锰酸钾氧化法</w:t>
            </w:r>
          </w:p>
        </w:tc>
      </w:tr>
      <w:tr w14:paraId="0FB581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20394629">
            <w:pPr>
              <w:jc w:val="center"/>
              <w:rPr>
                <w:rFonts w:hint="default" w:ascii="Times New Roman" w:hAnsi="Times New Roman" w:eastAsia="宋体" w:cs="Times New Roman"/>
                <w:kern w:val="0"/>
                <w:sz w:val="21"/>
                <w:szCs w:val="24"/>
                <w:highlight w:val="none"/>
              </w:rPr>
            </w:pPr>
          </w:p>
        </w:tc>
        <w:tc>
          <w:tcPr>
            <w:tcW w:w="1790" w:type="dxa"/>
            <w:noWrap w:val="0"/>
            <w:vAlign w:val="center"/>
          </w:tcPr>
          <w:p w14:paraId="3EB7A0DA">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氨氮</w:t>
            </w:r>
          </w:p>
        </w:tc>
        <w:tc>
          <w:tcPr>
            <w:tcW w:w="6395" w:type="dxa"/>
            <w:gridSpan w:val="2"/>
            <w:noWrap w:val="0"/>
            <w:vAlign w:val="center"/>
          </w:tcPr>
          <w:p w14:paraId="4ED39221">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水杨酸分光光度法/氨气敏电极法</w:t>
            </w:r>
          </w:p>
        </w:tc>
      </w:tr>
      <w:tr w14:paraId="04407E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7A46FA97">
            <w:pPr>
              <w:jc w:val="center"/>
              <w:rPr>
                <w:rFonts w:hint="default" w:ascii="Times New Roman" w:hAnsi="Times New Roman" w:eastAsia="宋体" w:cs="Times New Roman"/>
                <w:kern w:val="0"/>
                <w:sz w:val="21"/>
                <w:szCs w:val="24"/>
                <w:highlight w:val="none"/>
              </w:rPr>
            </w:pPr>
          </w:p>
        </w:tc>
        <w:tc>
          <w:tcPr>
            <w:tcW w:w="1790" w:type="dxa"/>
            <w:noWrap w:val="0"/>
            <w:vAlign w:val="center"/>
          </w:tcPr>
          <w:p w14:paraId="6EC810C3">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总磷</w:t>
            </w:r>
          </w:p>
        </w:tc>
        <w:tc>
          <w:tcPr>
            <w:tcW w:w="6395" w:type="dxa"/>
            <w:gridSpan w:val="2"/>
            <w:noWrap w:val="0"/>
            <w:vAlign w:val="center"/>
          </w:tcPr>
          <w:p w14:paraId="7B6603A6">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钼酸铵分光光度法</w:t>
            </w:r>
          </w:p>
        </w:tc>
      </w:tr>
      <w:tr w14:paraId="454305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restart"/>
            <w:noWrap w:val="0"/>
            <w:vAlign w:val="center"/>
          </w:tcPr>
          <w:p w14:paraId="63E117DA">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性能指标</w:t>
            </w:r>
          </w:p>
          <w:p w14:paraId="63AAE9D2">
            <w:pPr>
              <w:jc w:val="center"/>
              <w:rPr>
                <w:rFonts w:hint="default" w:ascii="Times New Roman" w:hAnsi="Times New Roman" w:eastAsia="宋体" w:cs="Times New Roman"/>
                <w:kern w:val="0"/>
                <w:sz w:val="21"/>
                <w:szCs w:val="24"/>
                <w:highlight w:val="none"/>
              </w:rPr>
            </w:pPr>
          </w:p>
        </w:tc>
        <w:tc>
          <w:tcPr>
            <w:tcW w:w="1790" w:type="dxa"/>
            <w:vMerge w:val="restart"/>
            <w:noWrap w:val="0"/>
            <w:vAlign w:val="center"/>
          </w:tcPr>
          <w:p w14:paraId="40C27CA1">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水温</w:t>
            </w:r>
          </w:p>
        </w:tc>
        <w:tc>
          <w:tcPr>
            <w:tcW w:w="2311" w:type="dxa"/>
            <w:noWrap w:val="0"/>
            <w:vAlign w:val="center"/>
          </w:tcPr>
          <w:p w14:paraId="6B60BBEB">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检测范围</w:t>
            </w:r>
          </w:p>
        </w:tc>
        <w:tc>
          <w:tcPr>
            <w:tcW w:w="4084" w:type="dxa"/>
            <w:noWrap w:val="0"/>
            <w:vAlign w:val="center"/>
          </w:tcPr>
          <w:p w14:paraId="595A9F24">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0℃～60 ℃，可调</w:t>
            </w:r>
          </w:p>
        </w:tc>
      </w:tr>
      <w:tr w14:paraId="372C49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42B55569">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181944AA">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2FAC9654">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准确度</w:t>
            </w:r>
          </w:p>
        </w:tc>
        <w:tc>
          <w:tcPr>
            <w:tcW w:w="4084" w:type="dxa"/>
            <w:noWrap w:val="0"/>
            <w:vAlign w:val="center"/>
          </w:tcPr>
          <w:p w14:paraId="56646506">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±0.5 ℃</w:t>
            </w:r>
          </w:p>
        </w:tc>
      </w:tr>
      <w:tr w14:paraId="75E602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6755C1A7">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14022119">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44E068BD">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MTBF</w:t>
            </w:r>
          </w:p>
        </w:tc>
        <w:tc>
          <w:tcPr>
            <w:tcW w:w="4084" w:type="dxa"/>
            <w:noWrap w:val="0"/>
            <w:vAlign w:val="center"/>
          </w:tcPr>
          <w:p w14:paraId="459D2099">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≥720 h/次</w:t>
            </w:r>
          </w:p>
        </w:tc>
      </w:tr>
      <w:tr w14:paraId="2D7EA9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43" w:type="dxa"/>
            <w:vMerge w:val="continue"/>
            <w:noWrap w:val="0"/>
            <w:vAlign w:val="center"/>
          </w:tcPr>
          <w:p w14:paraId="15D9DDD1">
            <w:pPr>
              <w:jc w:val="center"/>
              <w:rPr>
                <w:rFonts w:hint="default" w:ascii="Times New Roman" w:hAnsi="Times New Roman" w:eastAsia="宋体" w:cs="Times New Roman"/>
                <w:kern w:val="0"/>
                <w:sz w:val="21"/>
                <w:szCs w:val="24"/>
                <w:highlight w:val="none"/>
              </w:rPr>
            </w:pPr>
          </w:p>
        </w:tc>
        <w:tc>
          <w:tcPr>
            <w:tcW w:w="1790" w:type="dxa"/>
            <w:vMerge w:val="restart"/>
            <w:noWrap w:val="0"/>
            <w:vAlign w:val="center"/>
          </w:tcPr>
          <w:p w14:paraId="5263BDDD">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pH</w:t>
            </w:r>
          </w:p>
        </w:tc>
        <w:tc>
          <w:tcPr>
            <w:tcW w:w="2311" w:type="dxa"/>
            <w:noWrap w:val="0"/>
            <w:vAlign w:val="center"/>
          </w:tcPr>
          <w:p w14:paraId="198E94E3">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检测范围</w:t>
            </w:r>
          </w:p>
        </w:tc>
        <w:tc>
          <w:tcPr>
            <w:tcW w:w="4084" w:type="dxa"/>
            <w:noWrap w:val="0"/>
            <w:vAlign w:val="center"/>
          </w:tcPr>
          <w:p w14:paraId="58059385">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pH 0～14 （0～40 ℃），可调</w:t>
            </w:r>
          </w:p>
        </w:tc>
      </w:tr>
      <w:tr w14:paraId="24E6FA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43" w:type="dxa"/>
            <w:vMerge w:val="continue"/>
            <w:noWrap w:val="0"/>
            <w:vAlign w:val="center"/>
          </w:tcPr>
          <w:p w14:paraId="6A023F9E">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2E6EAA1D">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363AE64F">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重复性</w:t>
            </w:r>
          </w:p>
        </w:tc>
        <w:tc>
          <w:tcPr>
            <w:tcW w:w="4084" w:type="dxa"/>
            <w:noWrap w:val="0"/>
            <w:vAlign w:val="center"/>
          </w:tcPr>
          <w:p w14:paraId="626A03CA">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±0.1 pH</w:t>
            </w:r>
          </w:p>
        </w:tc>
      </w:tr>
      <w:tr w14:paraId="2B38EE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43" w:type="dxa"/>
            <w:vMerge w:val="continue"/>
            <w:noWrap w:val="0"/>
            <w:vAlign w:val="center"/>
          </w:tcPr>
          <w:p w14:paraId="4CFBBC8C">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7B441F1B">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697E9ABC">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漂移（pH=4、7、9）</w:t>
            </w:r>
          </w:p>
        </w:tc>
        <w:tc>
          <w:tcPr>
            <w:tcW w:w="4084" w:type="dxa"/>
            <w:noWrap w:val="0"/>
            <w:vAlign w:val="center"/>
          </w:tcPr>
          <w:p w14:paraId="464645AE">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±0.1 pH</w:t>
            </w:r>
          </w:p>
        </w:tc>
      </w:tr>
      <w:tr w14:paraId="26E5A3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43" w:type="dxa"/>
            <w:vMerge w:val="continue"/>
            <w:noWrap w:val="0"/>
            <w:vAlign w:val="center"/>
          </w:tcPr>
          <w:p w14:paraId="63036D93">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53DDC9F7">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3CE1F6A8">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响应时间</w:t>
            </w:r>
          </w:p>
        </w:tc>
        <w:tc>
          <w:tcPr>
            <w:tcW w:w="4084" w:type="dxa"/>
            <w:noWrap w:val="0"/>
            <w:vAlign w:val="center"/>
          </w:tcPr>
          <w:p w14:paraId="6D82A407">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≤30s</w:t>
            </w:r>
          </w:p>
        </w:tc>
      </w:tr>
      <w:tr w14:paraId="53C20E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43" w:type="dxa"/>
            <w:vMerge w:val="continue"/>
            <w:noWrap w:val="0"/>
            <w:vAlign w:val="center"/>
          </w:tcPr>
          <w:p w14:paraId="7C59FBE7">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67BA4BCB">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521C33CE">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温度补偿精度</w:t>
            </w:r>
          </w:p>
        </w:tc>
        <w:tc>
          <w:tcPr>
            <w:tcW w:w="4084" w:type="dxa"/>
            <w:noWrap w:val="0"/>
            <w:vAlign w:val="center"/>
          </w:tcPr>
          <w:p w14:paraId="5190719C">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±0.1 pH</w:t>
            </w:r>
          </w:p>
        </w:tc>
      </w:tr>
      <w:tr w14:paraId="32A008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43" w:type="dxa"/>
            <w:vMerge w:val="continue"/>
            <w:noWrap w:val="0"/>
            <w:vAlign w:val="center"/>
          </w:tcPr>
          <w:p w14:paraId="1E6873AF">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609D8ECB">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20883731">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MTBF</w:t>
            </w:r>
          </w:p>
        </w:tc>
        <w:tc>
          <w:tcPr>
            <w:tcW w:w="4084" w:type="dxa"/>
            <w:noWrap w:val="0"/>
            <w:vAlign w:val="center"/>
          </w:tcPr>
          <w:p w14:paraId="7B73139B">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≥720h/次</w:t>
            </w:r>
          </w:p>
        </w:tc>
      </w:tr>
      <w:tr w14:paraId="6676FF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43" w:type="dxa"/>
            <w:vMerge w:val="continue"/>
            <w:noWrap w:val="0"/>
            <w:vAlign w:val="center"/>
          </w:tcPr>
          <w:p w14:paraId="68E4176F">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6817A8A2">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359F583F">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实际水样比对试验</w:t>
            </w:r>
          </w:p>
        </w:tc>
        <w:tc>
          <w:tcPr>
            <w:tcW w:w="4084" w:type="dxa"/>
            <w:noWrap w:val="0"/>
            <w:vAlign w:val="center"/>
          </w:tcPr>
          <w:p w14:paraId="692B4468">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±0.1 pH</w:t>
            </w:r>
          </w:p>
        </w:tc>
      </w:tr>
      <w:tr w14:paraId="4129EB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43" w:type="dxa"/>
            <w:vMerge w:val="continue"/>
            <w:noWrap w:val="0"/>
            <w:vAlign w:val="center"/>
          </w:tcPr>
          <w:p w14:paraId="786D18DD">
            <w:pPr>
              <w:jc w:val="center"/>
              <w:rPr>
                <w:rFonts w:hint="default" w:ascii="Times New Roman" w:hAnsi="Times New Roman" w:eastAsia="宋体" w:cs="Times New Roman"/>
                <w:kern w:val="0"/>
                <w:sz w:val="21"/>
                <w:szCs w:val="24"/>
                <w:highlight w:val="none"/>
              </w:rPr>
            </w:pPr>
          </w:p>
        </w:tc>
        <w:tc>
          <w:tcPr>
            <w:tcW w:w="1790" w:type="dxa"/>
            <w:vMerge w:val="restart"/>
            <w:noWrap w:val="0"/>
            <w:vAlign w:val="center"/>
          </w:tcPr>
          <w:p w14:paraId="52A65022">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溶解氧</w:t>
            </w:r>
          </w:p>
        </w:tc>
        <w:tc>
          <w:tcPr>
            <w:tcW w:w="2311" w:type="dxa"/>
            <w:noWrap w:val="0"/>
            <w:vAlign w:val="center"/>
          </w:tcPr>
          <w:p w14:paraId="415065EF">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检测范围</w:t>
            </w:r>
          </w:p>
        </w:tc>
        <w:tc>
          <w:tcPr>
            <w:tcW w:w="4084" w:type="dxa"/>
            <w:noWrap w:val="0"/>
            <w:vAlign w:val="center"/>
          </w:tcPr>
          <w:p w14:paraId="3B02F264">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0～20 mg/L，可调</w:t>
            </w:r>
          </w:p>
        </w:tc>
      </w:tr>
      <w:tr w14:paraId="50329F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43" w:type="dxa"/>
            <w:vMerge w:val="continue"/>
            <w:noWrap w:val="0"/>
            <w:vAlign w:val="center"/>
          </w:tcPr>
          <w:p w14:paraId="6C91FD06">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641CED2E">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77F72730">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零点漂移</w:t>
            </w:r>
          </w:p>
        </w:tc>
        <w:tc>
          <w:tcPr>
            <w:tcW w:w="4084" w:type="dxa"/>
            <w:noWrap w:val="0"/>
            <w:vAlign w:val="center"/>
          </w:tcPr>
          <w:p w14:paraId="22B6C280">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±0.3 mg/L</w:t>
            </w:r>
          </w:p>
        </w:tc>
      </w:tr>
      <w:tr w14:paraId="42E86B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43" w:type="dxa"/>
            <w:vMerge w:val="continue"/>
            <w:noWrap w:val="0"/>
            <w:vAlign w:val="center"/>
          </w:tcPr>
          <w:p w14:paraId="7E1010CB">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3122BBEC">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5A0F22DA">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量程漂移</w:t>
            </w:r>
          </w:p>
        </w:tc>
        <w:tc>
          <w:tcPr>
            <w:tcW w:w="4084" w:type="dxa"/>
            <w:noWrap w:val="0"/>
            <w:vAlign w:val="center"/>
          </w:tcPr>
          <w:p w14:paraId="4077CEEC">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±0.3 mg/L</w:t>
            </w:r>
          </w:p>
        </w:tc>
      </w:tr>
      <w:tr w14:paraId="1EAABF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43" w:type="dxa"/>
            <w:vMerge w:val="continue"/>
            <w:noWrap w:val="0"/>
            <w:vAlign w:val="center"/>
          </w:tcPr>
          <w:p w14:paraId="75F6E492">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7E2BF497">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70947ABE">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重复性</w:t>
            </w:r>
          </w:p>
        </w:tc>
        <w:tc>
          <w:tcPr>
            <w:tcW w:w="4084" w:type="dxa"/>
            <w:noWrap w:val="0"/>
            <w:vAlign w:val="center"/>
          </w:tcPr>
          <w:p w14:paraId="724F4F45">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±0.3 mg/L</w:t>
            </w:r>
          </w:p>
        </w:tc>
      </w:tr>
      <w:tr w14:paraId="74D28F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43" w:type="dxa"/>
            <w:vMerge w:val="continue"/>
            <w:noWrap w:val="0"/>
            <w:vAlign w:val="center"/>
          </w:tcPr>
          <w:p w14:paraId="5D584BEA">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4F8C27A0">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60647899">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响应时间（T90）</w:t>
            </w:r>
          </w:p>
        </w:tc>
        <w:tc>
          <w:tcPr>
            <w:tcW w:w="4084" w:type="dxa"/>
            <w:noWrap w:val="0"/>
            <w:vAlign w:val="center"/>
          </w:tcPr>
          <w:p w14:paraId="1C770DE3">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≤120 s</w:t>
            </w:r>
          </w:p>
        </w:tc>
      </w:tr>
      <w:tr w14:paraId="04622B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43" w:type="dxa"/>
            <w:vMerge w:val="continue"/>
            <w:noWrap w:val="0"/>
            <w:vAlign w:val="center"/>
          </w:tcPr>
          <w:p w14:paraId="04A6F27E">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11780E51">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6EF19877">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温度补偿精度</w:t>
            </w:r>
          </w:p>
        </w:tc>
        <w:tc>
          <w:tcPr>
            <w:tcW w:w="4084" w:type="dxa"/>
            <w:noWrap w:val="0"/>
            <w:vAlign w:val="center"/>
          </w:tcPr>
          <w:p w14:paraId="0F2A7914">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±0.3 mg/L</w:t>
            </w:r>
          </w:p>
        </w:tc>
      </w:tr>
      <w:tr w14:paraId="71E991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43" w:type="dxa"/>
            <w:vMerge w:val="continue"/>
            <w:noWrap w:val="0"/>
            <w:vAlign w:val="center"/>
          </w:tcPr>
          <w:p w14:paraId="11C4C8CE">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0578A370">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47CF7821">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MTBF</w:t>
            </w:r>
          </w:p>
        </w:tc>
        <w:tc>
          <w:tcPr>
            <w:tcW w:w="4084" w:type="dxa"/>
            <w:noWrap w:val="0"/>
            <w:vAlign w:val="center"/>
          </w:tcPr>
          <w:p w14:paraId="2EC474DE">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≥720 h/次</w:t>
            </w:r>
          </w:p>
        </w:tc>
      </w:tr>
      <w:tr w14:paraId="04119F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443" w:type="dxa"/>
            <w:vMerge w:val="continue"/>
            <w:noWrap w:val="0"/>
            <w:vAlign w:val="center"/>
          </w:tcPr>
          <w:p w14:paraId="51215AE5">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6DD8EDB4">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0D33D28C">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实际水样比对试验</w:t>
            </w:r>
          </w:p>
        </w:tc>
        <w:tc>
          <w:tcPr>
            <w:tcW w:w="4084" w:type="dxa"/>
            <w:noWrap w:val="0"/>
            <w:vAlign w:val="center"/>
          </w:tcPr>
          <w:p w14:paraId="1B88D424">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±0.3 mg/L</w:t>
            </w:r>
          </w:p>
        </w:tc>
      </w:tr>
      <w:tr w14:paraId="3E3AA5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43" w:type="dxa"/>
            <w:vMerge w:val="continue"/>
            <w:noWrap w:val="0"/>
            <w:vAlign w:val="center"/>
          </w:tcPr>
          <w:p w14:paraId="6DAF13BA">
            <w:pPr>
              <w:jc w:val="center"/>
              <w:rPr>
                <w:rFonts w:hint="default" w:ascii="Times New Roman" w:hAnsi="Times New Roman" w:eastAsia="宋体" w:cs="Times New Roman"/>
                <w:kern w:val="0"/>
                <w:sz w:val="21"/>
                <w:szCs w:val="24"/>
                <w:highlight w:val="none"/>
              </w:rPr>
            </w:pPr>
          </w:p>
        </w:tc>
        <w:tc>
          <w:tcPr>
            <w:tcW w:w="1790" w:type="dxa"/>
            <w:vMerge w:val="restart"/>
            <w:noWrap w:val="0"/>
            <w:vAlign w:val="center"/>
          </w:tcPr>
          <w:p w14:paraId="25346321">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电导率</w:t>
            </w:r>
          </w:p>
        </w:tc>
        <w:tc>
          <w:tcPr>
            <w:tcW w:w="2311" w:type="dxa"/>
            <w:noWrap w:val="0"/>
            <w:vAlign w:val="center"/>
          </w:tcPr>
          <w:p w14:paraId="0E7E1899">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最小检测范围</w:t>
            </w:r>
          </w:p>
        </w:tc>
        <w:tc>
          <w:tcPr>
            <w:tcW w:w="4084" w:type="dxa"/>
            <w:noWrap w:val="0"/>
            <w:vAlign w:val="center"/>
          </w:tcPr>
          <w:p w14:paraId="7645CBA1">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0～500 mS/m（0～40℃），可调</w:t>
            </w:r>
          </w:p>
        </w:tc>
      </w:tr>
      <w:tr w14:paraId="185631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443" w:type="dxa"/>
            <w:vMerge w:val="continue"/>
            <w:noWrap w:val="0"/>
            <w:vAlign w:val="center"/>
          </w:tcPr>
          <w:p w14:paraId="1BC86538">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68A5A248">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1F638E57">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重复性误差</w:t>
            </w:r>
          </w:p>
        </w:tc>
        <w:tc>
          <w:tcPr>
            <w:tcW w:w="4084" w:type="dxa"/>
            <w:noWrap w:val="0"/>
            <w:vAlign w:val="center"/>
          </w:tcPr>
          <w:p w14:paraId="0101502C">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w:t>
            </w:r>
          </w:p>
        </w:tc>
      </w:tr>
      <w:tr w14:paraId="287C3D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43" w:type="dxa"/>
            <w:vMerge w:val="continue"/>
            <w:tcBorders>
              <w:top w:val="single" w:color="auto" w:sz="4" w:space="0"/>
            </w:tcBorders>
            <w:noWrap w:val="0"/>
            <w:vAlign w:val="center"/>
          </w:tcPr>
          <w:p w14:paraId="61C1E55D">
            <w:pPr>
              <w:jc w:val="center"/>
              <w:rPr>
                <w:rFonts w:hint="default" w:ascii="Times New Roman" w:hAnsi="Times New Roman" w:eastAsia="宋体" w:cs="Times New Roman"/>
                <w:kern w:val="0"/>
                <w:sz w:val="21"/>
                <w:szCs w:val="24"/>
                <w:highlight w:val="none"/>
              </w:rPr>
            </w:pPr>
          </w:p>
        </w:tc>
        <w:tc>
          <w:tcPr>
            <w:tcW w:w="1790" w:type="dxa"/>
            <w:vMerge w:val="continue"/>
            <w:tcBorders>
              <w:top w:val="single" w:color="auto" w:sz="4" w:space="0"/>
            </w:tcBorders>
            <w:noWrap w:val="0"/>
            <w:vAlign w:val="center"/>
          </w:tcPr>
          <w:p w14:paraId="1DB3048E">
            <w:pPr>
              <w:jc w:val="center"/>
              <w:rPr>
                <w:rFonts w:hint="default" w:ascii="Times New Roman" w:hAnsi="Times New Roman" w:eastAsia="宋体" w:cs="Times New Roman"/>
                <w:kern w:val="0"/>
                <w:sz w:val="21"/>
                <w:szCs w:val="24"/>
                <w:highlight w:val="none"/>
              </w:rPr>
            </w:pPr>
          </w:p>
        </w:tc>
        <w:tc>
          <w:tcPr>
            <w:tcW w:w="2311" w:type="dxa"/>
            <w:tcBorders>
              <w:top w:val="single" w:color="auto" w:sz="4" w:space="0"/>
            </w:tcBorders>
            <w:noWrap w:val="0"/>
            <w:vAlign w:val="center"/>
          </w:tcPr>
          <w:p w14:paraId="5EECE461">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零点漂移</w:t>
            </w:r>
          </w:p>
        </w:tc>
        <w:tc>
          <w:tcPr>
            <w:tcW w:w="4084" w:type="dxa"/>
            <w:noWrap w:val="0"/>
            <w:vAlign w:val="center"/>
          </w:tcPr>
          <w:p w14:paraId="5DF52ABC">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w:t>
            </w:r>
          </w:p>
        </w:tc>
      </w:tr>
      <w:tr w14:paraId="405A9C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43" w:type="dxa"/>
            <w:vMerge w:val="continue"/>
            <w:noWrap w:val="0"/>
            <w:vAlign w:val="center"/>
          </w:tcPr>
          <w:p w14:paraId="2EE13ACF">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6C17FC3D">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04522B6C">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量程漂移</w:t>
            </w:r>
          </w:p>
        </w:tc>
        <w:tc>
          <w:tcPr>
            <w:tcW w:w="4084" w:type="dxa"/>
            <w:noWrap w:val="0"/>
            <w:vAlign w:val="center"/>
          </w:tcPr>
          <w:p w14:paraId="43AA9C55">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w:t>
            </w:r>
          </w:p>
        </w:tc>
      </w:tr>
      <w:tr w14:paraId="2A851E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43" w:type="dxa"/>
            <w:vMerge w:val="continue"/>
            <w:noWrap w:val="0"/>
            <w:vAlign w:val="center"/>
          </w:tcPr>
          <w:p w14:paraId="69C16973">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14C1C9C8">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139EFA6F">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响应时间（T90）</w:t>
            </w:r>
          </w:p>
        </w:tc>
        <w:tc>
          <w:tcPr>
            <w:tcW w:w="4084" w:type="dxa"/>
            <w:noWrap w:val="0"/>
            <w:vAlign w:val="center"/>
          </w:tcPr>
          <w:p w14:paraId="57E7DF2C">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≤30s</w:t>
            </w:r>
          </w:p>
        </w:tc>
      </w:tr>
      <w:tr w14:paraId="50570A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43" w:type="dxa"/>
            <w:vMerge w:val="continue"/>
            <w:noWrap w:val="0"/>
            <w:vAlign w:val="center"/>
          </w:tcPr>
          <w:p w14:paraId="1F08E978">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5B575A97">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4D88A0AA">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温度补偿精度</w:t>
            </w:r>
          </w:p>
        </w:tc>
        <w:tc>
          <w:tcPr>
            <w:tcW w:w="4084" w:type="dxa"/>
            <w:noWrap w:val="0"/>
            <w:vAlign w:val="center"/>
          </w:tcPr>
          <w:p w14:paraId="119A3E2B">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w:t>
            </w:r>
          </w:p>
        </w:tc>
      </w:tr>
      <w:tr w14:paraId="0C37BF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43" w:type="dxa"/>
            <w:vMerge w:val="continue"/>
            <w:noWrap w:val="0"/>
            <w:vAlign w:val="center"/>
          </w:tcPr>
          <w:p w14:paraId="758C7627">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3F9884C0">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0FFEB56E">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MTBF</w:t>
            </w:r>
          </w:p>
        </w:tc>
        <w:tc>
          <w:tcPr>
            <w:tcW w:w="4084" w:type="dxa"/>
            <w:noWrap w:val="0"/>
            <w:vAlign w:val="center"/>
          </w:tcPr>
          <w:p w14:paraId="4786E2C0">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≥720h/次</w:t>
            </w:r>
          </w:p>
        </w:tc>
      </w:tr>
      <w:tr w14:paraId="46C2B2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443" w:type="dxa"/>
            <w:vMerge w:val="continue"/>
            <w:noWrap w:val="0"/>
            <w:vAlign w:val="center"/>
          </w:tcPr>
          <w:p w14:paraId="4DFA9E46">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31F0DC23">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3FF23F8F">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实际水样比对试验</w:t>
            </w:r>
          </w:p>
        </w:tc>
        <w:tc>
          <w:tcPr>
            <w:tcW w:w="4084" w:type="dxa"/>
            <w:noWrap w:val="0"/>
            <w:vAlign w:val="center"/>
          </w:tcPr>
          <w:p w14:paraId="6E710A77">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±10%</w:t>
            </w:r>
          </w:p>
        </w:tc>
      </w:tr>
      <w:tr w14:paraId="249741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2D027AA6">
            <w:pPr>
              <w:jc w:val="center"/>
              <w:rPr>
                <w:rFonts w:hint="default" w:ascii="Times New Roman" w:hAnsi="Times New Roman" w:eastAsia="宋体" w:cs="Times New Roman"/>
                <w:kern w:val="0"/>
                <w:sz w:val="21"/>
                <w:szCs w:val="24"/>
                <w:highlight w:val="none"/>
              </w:rPr>
            </w:pPr>
          </w:p>
        </w:tc>
        <w:tc>
          <w:tcPr>
            <w:tcW w:w="1790" w:type="dxa"/>
            <w:vMerge w:val="restart"/>
            <w:noWrap w:val="0"/>
            <w:vAlign w:val="center"/>
          </w:tcPr>
          <w:p w14:paraId="305CAFA9">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浊度</w:t>
            </w:r>
          </w:p>
        </w:tc>
        <w:tc>
          <w:tcPr>
            <w:tcW w:w="2311" w:type="dxa"/>
            <w:noWrap w:val="0"/>
            <w:vAlign w:val="center"/>
          </w:tcPr>
          <w:p w14:paraId="37561F83">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检测范围</w:t>
            </w:r>
          </w:p>
        </w:tc>
        <w:tc>
          <w:tcPr>
            <w:tcW w:w="4084" w:type="dxa"/>
            <w:noWrap w:val="0"/>
            <w:vAlign w:val="center"/>
          </w:tcPr>
          <w:p w14:paraId="7CBC82CA">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0～1000NTU，可调</w:t>
            </w:r>
          </w:p>
        </w:tc>
      </w:tr>
      <w:tr w14:paraId="325708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14083803">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2BB3EF90">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4227CC39">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重复性</w:t>
            </w:r>
          </w:p>
        </w:tc>
        <w:tc>
          <w:tcPr>
            <w:tcW w:w="4084" w:type="dxa"/>
            <w:noWrap w:val="0"/>
            <w:vAlign w:val="center"/>
          </w:tcPr>
          <w:p w14:paraId="7057CF46">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±5%</w:t>
            </w:r>
          </w:p>
        </w:tc>
      </w:tr>
      <w:tr w14:paraId="3641EE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59A889C7">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790B96BE">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5D3D3CE3">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零点漂移</w:t>
            </w:r>
          </w:p>
        </w:tc>
        <w:tc>
          <w:tcPr>
            <w:tcW w:w="4084" w:type="dxa"/>
            <w:noWrap w:val="0"/>
            <w:vAlign w:val="center"/>
          </w:tcPr>
          <w:p w14:paraId="7EEFE357">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±3%</w:t>
            </w:r>
          </w:p>
        </w:tc>
      </w:tr>
      <w:tr w14:paraId="044D33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2BF37DE0">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14F71896">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4CE587D0">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量程漂移</w:t>
            </w:r>
          </w:p>
        </w:tc>
        <w:tc>
          <w:tcPr>
            <w:tcW w:w="4084" w:type="dxa"/>
            <w:noWrap w:val="0"/>
            <w:vAlign w:val="center"/>
          </w:tcPr>
          <w:p w14:paraId="7A2EF193">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±5%</w:t>
            </w:r>
          </w:p>
        </w:tc>
      </w:tr>
      <w:tr w14:paraId="14E67E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262E5829">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52D20B7F">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59AC5C17">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线性误差</w:t>
            </w:r>
          </w:p>
        </w:tc>
        <w:tc>
          <w:tcPr>
            <w:tcW w:w="4084" w:type="dxa"/>
            <w:noWrap w:val="0"/>
            <w:vAlign w:val="center"/>
          </w:tcPr>
          <w:p w14:paraId="69C5BA30">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±5%</w:t>
            </w:r>
          </w:p>
        </w:tc>
      </w:tr>
      <w:tr w14:paraId="07297F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0DDC4A77">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347085FA">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0A6488B5">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MTBF</w:t>
            </w:r>
          </w:p>
        </w:tc>
        <w:tc>
          <w:tcPr>
            <w:tcW w:w="4084" w:type="dxa"/>
            <w:noWrap w:val="0"/>
            <w:vAlign w:val="center"/>
          </w:tcPr>
          <w:p w14:paraId="42B311B1">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≥720h/次</w:t>
            </w:r>
          </w:p>
        </w:tc>
      </w:tr>
      <w:tr w14:paraId="1D6D2F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0A3791E9">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5C28C174">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1FEE543A">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实际水样比对试验</w:t>
            </w:r>
          </w:p>
        </w:tc>
        <w:tc>
          <w:tcPr>
            <w:tcW w:w="4084" w:type="dxa"/>
            <w:noWrap w:val="0"/>
            <w:vAlign w:val="center"/>
          </w:tcPr>
          <w:p w14:paraId="4292A623">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±10%</w:t>
            </w:r>
          </w:p>
        </w:tc>
      </w:tr>
      <w:tr w14:paraId="645DB0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60D7F589">
            <w:pPr>
              <w:jc w:val="center"/>
              <w:rPr>
                <w:rFonts w:hint="default" w:ascii="Times New Roman" w:hAnsi="Times New Roman" w:eastAsia="宋体" w:cs="Times New Roman"/>
                <w:kern w:val="0"/>
                <w:sz w:val="21"/>
                <w:szCs w:val="24"/>
                <w:highlight w:val="none"/>
              </w:rPr>
            </w:pPr>
          </w:p>
        </w:tc>
        <w:tc>
          <w:tcPr>
            <w:tcW w:w="1790" w:type="dxa"/>
            <w:vMerge w:val="restart"/>
            <w:noWrap w:val="0"/>
            <w:vAlign w:val="center"/>
          </w:tcPr>
          <w:p w14:paraId="37826628">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高锰酸盐指数</w:t>
            </w:r>
          </w:p>
        </w:tc>
        <w:tc>
          <w:tcPr>
            <w:tcW w:w="2311" w:type="dxa"/>
            <w:noWrap w:val="0"/>
            <w:vAlign w:val="center"/>
          </w:tcPr>
          <w:p w14:paraId="5DDADF8F">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检测范围</w:t>
            </w:r>
          </w:p>
        </w:tc>
        <w:tc>
          <w:tcPr>
            <w:tcW w:w="4084" w:type="dxa"/>
            <w:noWrap w:val="0"/>
            <w:vAlign w:val="center"/>
          </w:tcPr>
          <w:p w14:paraId="45CA25ED">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0～20mg/L</w:t>
            </w:r>
          </w:p>
        </w:tc>
      </w:tr>
      <w:tr w14:paraId="08CF01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3757E45F">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522B754A">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39103E7A">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零点漂移</w:t>
            </w:r>
          </w:p>
        </w:tc>
        <w:tc>
          <w:tcPr>
            <w:tcW w:w="4084" w:type="dxa"/>
            <w:noWrap w:val="0"/>
            <w:vAlign w:val="center"/>
          </w:tcPr>
          <w:p w14:paraId="7F5B5F69">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±5%</w:t>
            </w:r>
          </w:p>
        </w:tc>
      </w:tr>
      <w:tr w14:paraId="4EB7A4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1177B779">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707D00F0">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6A8EAF7E">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量程漂移</w:t>
            </w:r>
          </w:p>
        </w:tc>
        <w:tc>
          <w:tcPr>
            <w:tcW w:w="4084" w:type="dxa"/>
            <w:noWrap w:val="0"/>
            <w:vAlign w:val="center"/>
          </w:tcPr>
          <w:p w14:paraId="2CF73BE4">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±5%</w:t>
            </w:r>
          </w:p>
        </w:tc>
      </w:tr>
      <w:tr w14:paraId="51B208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41EC78B7">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3F6C899E">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5C38DD84">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葡萄糖试验</w:t>
            </w:r>
          </w:p>
        </w:tc>
        <w:tc>
          <w:tcPr>
            <w:tcW w:w="4084" w:type="dxa"/>
            <w:noWrap w:val="0"/>
            <w:vAlign w:val="center"/>
          </w:tcPr>
          <w:p w14:paraId="3FC5F583">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±5%（测量误差）</w:t>
            </w:r>
          </w:p>
        </w:tc>
      </w:tr>
      <w:tr w14:paraId="4D60ED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19AFF3CA">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6377418D">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1646C018">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重复性</w:t>
            </w:r>
          </w:p>
        </w:tc>
        <w:tc>
          <w:tcPr>
            <w:tcW w:w="4084" w:type="dxa"/>
            <w:noWrap w:val="0"/>
            <w:vAlign w:val="center"/>
          </w:tcPr>
          <w:p w14:paraId="6D5CFEE9">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±5%</w:t>
            </w:r>
          </w:p>
        </w:tc>
      </w:tr>
      <w:tr w14:paraId="51CA79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6F7962F1">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2CD1264F">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330E1888">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检出限</w:t>
            </w:r>
          </w:p>
        </w:tc>
        <w:tc>
          <w:tcPr>
            <w:tcW w:w="4084" w:type="dxa"/>
            <w:noWrap w:val="0"/>
            <w:vAlign w:val="center"/>
          </w:tcPr>
          <w:p w14:paraId="31F8A141">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≤0.5 mg/L</w:t>
            </w:r>
          </w:p>
        </w:tc>
      </w:tr>
      <w:tr w14:paraId="7CFB00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28FB6297">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46025165">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64495547">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MTBF</w:t>
            </w:r>
          </w:p>
        </w:tc>
        <w:tc>
          <w:tcPr>
            <w:tcW w:w="4084" w:type="dxa"/>
            <w:noWrap w:val="0"/>
            <w:vAlign w:val="center"/>
          </w:tcPr>
          <w:p w14:paraId="1BDB81A3">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≥720 h/次</w:t>
            </w:r>
          </w:p>
        </w:tc>
      </w:tr>
      <w:tr w14:paraId="5E64D8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7F2E9464">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046A0DBC">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0BF8A5A5">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实际水样比对试验</w:t>
            </w:r>
          </w:p>
        </w:tc>
        <w:tc>
          <w:tcPr>
            <w:tcW w:w="4084" w:type="dxa"/>
            <w:noWrap w:val="0"/>
            <w:vAlign w:val="center"/>
          </w:tcPr>
          <w:p w14:paraId="4417C8FE">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按HJ915-2017执行</w:t>
            </w:r>
          </w:p>
        </w:tc>
      </w:tr>
      <w:tr w14:paraId="17BEE0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7D7919EA">
            <w:pPr>
              <w:jc w:val="center"/>
              <w:rPr>
                <w:rFonts w:hint="default" w:ascii="Times New Roman" w:hAnsi="Times New Roman" w:eastAsia="宋体" w:cs="Times New Roman"/>
                <w:kern w:val="0"/>
                <w:sz w:val="21"/>
                <w:szCs w:val="24"/>
                <w:highlight w:val="none"/>
              </w:rPr>
            </w:pPr>
          </w:p>
        </w:tc>
        <w:tc>
          <w:tcPr>
            <w:tcW w:w="1790" w:type="dxa"/>
            <w:vMerge w:val="restart"/>
            <w:noWrap w:val="0"/>
            <w:vAlign w:val="center"/>
          </w:tcPr>
          <w:p w14:paraId="5AA02EC3">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氨氮</w:t>
            </w:r>
          </w:p>
        </w:tc>
        <w:tc>
          <w:tcPr>
            <w:tcW w:w="2311" w:type="dxa"/>
            <w:noWrap w:val="0"/>
            <w:vAlign w:val="center"/>
          </w:tcPr>
          <w:p w14:paraId="5D9CA50A">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检测范围</w:t>
            </w:r>
          </w:p>
        </w:tc>
        <w:tc>
          <w:tcPr>
            <w:tcW w:w="4084" w:type="dxa"/>
            <w:noWrap w:val="0"/>
            <w:vAlign w:val="center"/>
          </w:tcPr>
          <w:p w14:paraId="7292E736">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0～10 mg/L，可调</w:t>
            </w:r>
          </w:p>
        </w:tc>
      </w:tr>
      <w:tr w14:paraId="4A63BD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6BA2D568">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1BF3C70A">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61E3A1B4">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零点漂移</w:t>
            </w:r>
          </w:p>
        </w:tc>
        <w:tc>
          <w:tcPr>
            <w:tcW w:w="4084" w:type="dxa"/>
            <w:noWrap w:val="0"/>
            <w:vAlign w:val="center"/>
          </w:tcPr>
          <w:p w14:paraId="72DD420D">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≤5.0%</w:t>
            </w:r>
          </w:p>
        </w:tc>
      </w:tr>
      <w:tr w14:paraId="596237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09023D38">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1D87BF2A">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59232688">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量程漂移</w:t>
            </w:r>
          </w:p>
        </w:tc>
        <w:tc>
          <w:tcPr>
            <w:tcW w:w="4084" w:type="dxa"/>
            <w:noWrap w:val="0"/>
            <w:vAlign w:val="center"/>
          </w:tcPr>
          <w:p w14:paraId="2AC1A04A">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≤5.0%</w:t>
            </w:r>
          </w:p>
        </w:tc>
      </w:tr>
      <w:tr w14:paraId="69DFD4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368928D0">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2342B2AA">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5EA6DCF1">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精密度</w:t>
            </w:r>
          </w:p>
        </w:tc>
        <w:tc>
          <w:tcPr>
            <w:tcW w:w="4084" w:type="dxa"/>
            <w:noWrap w:val="0"/>
            <w:vAlign w:val="center"/>
          </w:tcPr>
          <w:p w14:paraId="4D5FE156">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≤5.0%</w:t>
            </w:r>
          </w:p>
        </w:tc>
      </w:tr>
      <w:tr w14:paraId="2415CA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762565EA">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40AAD970">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291945E4">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检出限</w:t>
            </w:r>
          </w:p>
        </w:tc>
        <w:tc>
          <w:tcPr>
            <w:tcW w:w="4084" w:type="dxa"/>
            <w:noWrap w:val="0"/>
            <w:vAlign w:val="center"/>
          </w:tcPr>
          <w:p w14:paraId="7F404A3F">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≤0.05mg/L</w:t>
            </w:r>
          </w:p>
        </w:tc>
      </w:tr>
      <w:tr w14:paraId="4AB5A3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15047491">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13691DBB">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590CE199">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实际水样比对试验</w:t>
            </w:r>
          </w:p>
        </w:tc>
        <w:tc>
          <w:tcPr>
            <w:tcW w:w="4084" w:type="dxa"/>
            <w:noWrap w:val="0"/>
            <w:vAlign w:val="center"/>
          </w:tcPr>
          <w:p w14:paraId="15FB3F9B">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按HJ915-2017执行</w:t>
            </w:r>
          </w:p>
        </w:tc>
      </w:tr>
      <w:tr w14:paraId="7D7161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7749A144">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7BDC8A67">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3727E139">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最小维护周期</w:t>
            </w:r>
          </w:p>
        </w:tc>
        <w:tc>
          <w:tcPr>
            <w:tcW w:w="4084" w:type="dxa"/>
            <w:noWrap w:val="0"/>
            <w:vAlign w:val="center"/>
          </w:tcPr>
          <w:p w14:paraId="59F26A81">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≥168h</w:t>
            </w:r>
          </w:p>
        </w:tc>
      </w:tr>
      <w:tr w14:paraId="450623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0F7FDFC4">
            <w:pPr>
              <w:jc w:val="center"/>
              <w:rPr>
                <w:rFonts w:hint="default" w:ascii="Times New Roman" w:hAnsi="Times New Roman" w:eastAsia="宋体" w:cs="Times New Roman"/>
                <w:kern w:val="0"/>
                <w:sz w:val="21"/>
                <w:szCs w:val="24"/>
                <w:highlight w:val="none"/>
              </w:rPr>
            </w:pPr>
          </w:p>
        </w:tc>
        <w:tc>
          <w:tcPr>
            <w:tcW w:w="1790" w:type="dxa"/>
            <w:vMerge w:val="restart"/>
            <w:noWrap w:val="0"/>
            <w:vAlign w:val="center"/>
          </w:tcPr>
          <w:p w14:paraId="7AEBCA6A">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总磷</w:t>
            </w:r>
          </w:p>
        </w:tc>
        <w:tc>
          <w:tcPr>
            <w:tcW w:w="2311" w:type="dxa"/>
            <w:noWrap w:val="0"/>
            <w:vAlign w:val="center"/>
          </w:tcPr>
          <w:p w14:paraId="55F6407F">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检测范围</w:t>
            </w:r>
          </w:p>
        </w:tc>
        <w:tc>
          <w:tcPr>
            <w:tcW w:w="4084" w:type="dxa"/>
            <w:noWrap w:val="0"/>
            <w:vAlign w:val="center"/>
          </w:tcPr>
          <w:p w14:paraId="035C615F">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0～2mg/L，可调</w:t>
            </w:r>
          </w:p>
        </w:tc>
      </w:tr>
      <w:tr w14:paraId="4907DD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7601EE8B">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0AFB9819">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1ECD37ED">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零点漂移</w:t>
            </w:r>
          </w:p>
        </w:tc>
        <w:tc>
          <w:tcPr>
            <w:tcW w:w="4084" w:type="dxa"/>
            <w:noWrap w:val="0"/>
            <w:vAlign w:val="center"/>
          </w:tcPr>
          <w:p w14:paraId="6DCB1132">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±5%</w:t>
            </w:r>
          </w:p>
        </w:tc>
      </w:tr>
      <w:tr w14:paraId="42DDC9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3151B8BA">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4F6173D1">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6AAC1FAD">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量程漂移</w:t>
            </w:r>
          </w:p>
        </w:tc>
        <w:tc>
          <w:tcPr>
            <w:tcW w:w="4084" w:type="dxa"/>
            <w:noWrap w:val="0"/>
            <w:vAlign w:val="center"/>
          </w:tcPr>
          <w:p w14:paraId="4695609B">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±10%</w:t>
            </w:r>
          </w:p>
        </w:tc>
      </w:tr>
      <w:tr w14:paraId="745A81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667F4790">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2D4D0636">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04A7A8AC">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准确性</w:t>
            </w:r>
          </w:p>
        </w:tc>
        <w:tc>
          <w:tcPr>
            <w:tcW w:w="4084" w:type="dxa"/>
            <w:noWrap w:val="0"/>
            <w:vAlign w:val="center"/>
          </w:tcPr>
          <w:p w14:paraId="03E24717">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±10%</w:t>
            </w:r>
          </w:p>
        </w:tc>
      </w:tr>
      <w:tr w14:paraId="05E2BF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4F58A6BD">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6739DA38">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753E0B65">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精密度</w:t>
            </w:r>
          </w:p>
        </w:tc>
        <w:tc>
          <w:tcPr>
            <w:tcW w:w="4084" w:type="dxa"/>
            <w:noWrap w:val="0"/>
            <w:vAlign w:val="center"/>
          </w:tcPr>
          <w:p w14:paraId="03949503">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±10%</w:t>
            </w:r>
          </w:p>
        </w:tc>
      </w:tr>
      <w:tr w14:paraId="70EA81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4DD90A04">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3E1BC5AC">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129DFD5A">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检出限</w:t>
            </w:r>
          </w:p>
        </w:tc>
        <w:tc>
          <w:tcPr>
            <w:tcW w:w="4084" w:type="dxa"/>
            <w:noWrap w:val="0"/>
            <w:vAlign w:val="center"/>
          </w:tcPr>
          <w:p w14:paraId="293D863F">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≤0.01mg/L</w:t>
            </w:r>
          </w:p>
        </w:tc>
      </w:tr>
      <w:tr w14:paraId="005CC4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54365407">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24BCF171">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0E00424B">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MTBF</w:t>
            </w:r>
          </w:p>
        </w:tc>
        <w:tc>
          <w:tcPr>
            <w:tcW w:w="4084" w:type="dxa"/>
            <w:noWrap w:val="0"/>
            <w:vAlign w:val="center"/>
          </w:tcPr>
          <w:p w14:paraId="497880F5">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≥720h/次</w:t>
            </w:r>
          </w:p>
        </w:tc>
      </w:tr>
      <w:tr w14:paraId="2A0C45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4BF65510">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1E4377B4">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0484AFD0">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实际水样比对试验</w:t>
            </w:r>
          </w:p>
        </w:tc>
        <w:tc>
          <w:tcPr>
            <w:tcW w:w="4084" w:type="dxa"/>
            <w:noWrap w:val="0"/>
            <w:vAlign w:val="center"/>
          </w:tcPr>
          <w:p w14:paraId="42768510">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按HJ915-2017执行</w:t>
            </w:r>
          </w:p>
        </w:tc>
      </w:tr>
      <w:tr w14:paraId="66DD85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3" w:type="dxa"/>
            <w:vMerge w:val="restart"/>
            <w:noWrap w:val="0"/>
            <w:vAlign w:val="center"/>
          </w:tcPr>
          <w:p w14:paraId="6932D3D4">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功能要求</w:t>
            </w:r>
          </w:p>
        </w:tc>
        <w:tc>
          <w:tcPr>
            <w:tcW w:w="8185" w:type="dxa"/>
            <w:gridSpan w:val="3"/>
            <w:noWrap w:val="0"/>
            <w:vAlign w:val="center"/>
          </w:tcPr>
          <w:p w14:paraId="7E11B038">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具有分析仪器过程日志记录功能</w:t>
            </w:r>
          </w:p>
        </w:tc>
      </w:tr>
      <w:tr w14:paraId="75DB5E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3" w:type="dxa"/>
            <w:vMerge w:val="continue"/>
            <w:noWrap w:val="0"/>
            <w:vAlign w:val="center"/>
          </w:tcPr>
          <w:p w14:paraId="3B9F4F52">
            <w:pPr>
              <w:jc w:val="center"/>
              <w:rPr>
                <w:rFonts w:hint="default" w:ascii="Times New Roman" w:hAnsi="Times New Roman" w:eastAsia="宋体" w:cs="Times New Roman"/>
                <w:kern w:val="0"/>
                <w:sz w:val="21"/>
                <w:szCs w:val="24"/>
                <w:highlight w:val="none"/>
              </w:rPr>
            </w:pPr>
          </w:p>
        </w:tc>
        <w:tc>
          <w:tcPr>
            <w:tcW w:w="8185" w:type="dxa"/>
            <w:gridSpan w:val="3"/>
            <w:noWrap w:val="0"/>
            <w:vAlign w:val="center"/>
          </w:tcPr>
          <w:p w14:paraId="796DA42D">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存储不少于1个月的原始数据和运行日志</w:t>
            </w:r>
          </w:p>
        </w:tc>
      </w:tr>
      <w:tr w14:paraId="2FABB3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3" w:type="dxa"/>
            <w:vMerge w:val="continue"/>
            <w:noWrap w:val="0"/>
            <w:vAlign w:val="center"/>
          </w:tcPr>
          <w:p w14:paraId="4F05B378">
            <w:pPr>
              <w:jc w:val="center"/>
              <w:rPr>
                <w:rFonts w:hint="default" w:ascii="Times New Roman" w:hAnsi="Times New Roman" w:eastAsia="宋体" w:cs="Times New Roman"/>
                <w:kern w:val="0"/>
                <w:sz w:val="21"/>
                <w:szCs w:val="24"/>
                <w:highlight w:val="none"/>
              </w:rPr>
            </w:pPr>
          </w:p>
        </w:tc>
        <w:tc>
          <w:tcPr>
            <w:tcW w:w="8185" w:type="dxa"/>
            <w:gridSpan w:val="3"/>
            <w:noWrap w:val="0"/>
            <w:vAlign w:val="center"/>
          </w:tcPr>
          <w:p w14:paraId="48770C26">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能接受远程控制指令(常规五参数、叶绿素a、藻密度除外)</w:t>
            </w:r>
          </w:p>
        </w:tc>
      </w:tr>
      <w:tr w14:paraId="615571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3" w:type="dxa"/>
            <w:vMerge w:val="continue"/>
            <w:noWrap w:val="0"/>
            <w:vAlign w:val="center"/>
          </w:tcPr>
          <w:p w14:paraId="7FE354E0">
            <w:pPr>
              <w:jc w:val="center"/>
              <w:rPr>
                <w:rFonts w:hint="default" w:ascii="Times New Roman" w:hAnsi="Times New Roman" w:eastAsia="宋体" w:cs="Times New Roman"/>
                <w:kern w:val="0"/>
                <w:sz w:val="21"/>
                <w:szCs w:val="24"/>
                <w:highlight w:val="none"/>
              </w:rPr>
            </w:pPr>
          </w:p>
        </w:tc>
        <w:tc>
          <w:tcPr>
            <w:tcW w:w="8185" w:type="dxa"/>
            <w:gridSpan w:val="3"/>
            <w:noWrap w:val="0"/>
            <w:vAlign w:val="center"/>
          </w:tcPr>
          <w:p w14:paraId="76547A3E">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具有仪器运行周期（连续或间歇）设置功能</w:t>
            </w:r>
          </w:p>
        </w:tc>
      </w:tr>
      <w:tr w14:paraId="1D7133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40F9A08B">
            <w:pPr>
              <w:jc w:val="center"/>
              <w:rPr>
                <w:rFonts w:hint="default" w:ascii="Times New Roman" w:hAnsi="Times New Roman" w:eastAsia="宋体" w:cs="Times New Roman"/>
                <w:kern w:val="0"/>
                <w:sz w:val="21"/>
                <w:szCs w:val="24"/>
                <w:highlight w:val="none"/>
              </w:rPr>
            </w:pPr>
          </w:p>
        </w:tc>
        <w:tc>
          <w:tcPr>
            <w:tcW w:w="8185" w:type="dxa"/>
            <w:gridSpan w:val="3"/>
            <w:noWrap w:val="0"/>
            <w:vAlign w:val="center"/>
          </w:tcPr>
          <w:p w14:paraId="651CCF61">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具有异常信息记录、上传功能，如零部件故障、超量程报警、超标报警、缺</w:t>
            </w:r>
          </w:p>
        </w:tc>
      </w:tr>
      <w:tr w14:paraId="6CF5F6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443" w:type="dxa"/>
            <w:vMerge w:val="continue"/>
            <w:noWrap w:val="0"/>
            <w:vAlign w:val="center"/>
          </w:tcPr>
          <w:p w14:paraId="08CFB1D2">
            <w:pPr>
              <w:jc w:val="center"/>
              <w:rPr>
                <w:rFonts w:hint="default" w:ascii="Times New Roman" w:hAnsi="Times New Roman" w:eastAsia="宋体" w:cs="Times New Roman"/>
                <w:kern w:val="0"/>
                <w:sz w:val="21"/>
                <w:szCs w:val="24"/>
                <w:highlight w:val="none"/>
              </w:rPr>
            </w:pPr>
          </w:p>
        </w:tc>
        <w:tc>
          <w:tcPr>
            <w:tcW w:w="8185" w:type="dxa"/>
            <w:gridSpan w:val="3"/>
            <w:noWrap w:val="0"/>
            <w:vAlign w:val="center"/>
          </w:tcPr>
          <w:p w14:paraId="3416C26B">
            <w:pPr>
              <w:jc w:val="center"/>
              <w:rPr>
                <w:rFonts w:hint="default" w:ascii="Times New Roman" w:hAnsi="Times New Roman" w:eastAsia="宋体" w:cs="Times New Roman"/>
                <w:kern w:val="0"/>
                <w:sz w:val="21"/>
                <w:szCs w:val="24"/>
                <w:highlight w:val="none"/>
              </w:rPr>
            </w:pPr>
          </w:p>
        </w:tc>
      </w:tr>
      <w:tr w14:paraId="172F94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43" w:type="dxa"/>
            <w:vMerge w:val="continue"/>
            <w:noWrap w:val="0"/>
            <w:vAlign w:val="center"/>
          </w:tcPr>
          <w:p w14:paraId="7238C163">
            <w:pPr>
              <w:jc w:val="center"/>
              <w:rPr>
                <w:rFonts w:hint="default" w:ascii="Times New Roman" w:hAnsi="Times New Roman" w:eastAsia="宋体" w:cs="Times New Roman"/>
                <w:kern w:val="0"/>
                <w:sz w:val="21"/>
                <w:szCs w:val="24"/>
                <w:highlight w:val="none"/>
              </w:rPr>
            </w:pPr>
          </w:p>
        </w:tc>
        <w:tc>
          <w:tcPr>
            <w:tcW w:w="8185" w:type="dxa"/>
            <w:gridSpan w:val="3"/>
            <w:noWrap w:val="0"/>
            <w:vAlign w:val="center"/>
          </w:tcPr>
          <w:p w14:paraId="41F1BB3F">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试剂报警等信息</w:t>
            </w:r>
          </w:p>
        </w:tc>
      </w:tr>
      <w:tr w14:paraId="4D59F2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3" w:type="dxa"/>
            <w:vMerge w:val="continue"/>
            <w:noWrap w:val="0"/>
            <w:vAlign w:val="center"/>
          </w:tcPr>
          <w:p w14:paraId="0B4B17C5">
            <w:pPr>
              <w:jc w:val="center"/>
              <w:rPr>
                <w:rFonts w:hint="default" w:ascii="Times New Roman" w:hAnsi="Times New Roman" w:eastAsia="宋体" w:cs="Times New Roman"/>
                <w:kern w:val="0"/>
                <w:sz w:val="21"/>
                <w:szCs w:val="24"/>
                <w:highlight w:val="none"/>
              </w:rPr>
            </w:pPr>
          </w:p>
        </w:tc>
        <w:tc>
          <w:tcPr>
            <w:tcW w:w="8185" w:type="dxa"/>
            <w:gridSpan w:val="3"/>
            <w:noWrap w:val="0"/>
            <w:vAlign w:val="center"/>
          </w:tcPr>
          <w:p w14:paraId="21AF6CF2">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具有仪器状态(如测量、空闲、故障、维护等)显示</w:t>
            </w:r>
          </w:p>
        </w:tc>
      </w:tr>
      <w:tr w14:paraId="1DB4E3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43" w:type="dxa"/>
            <w:vMerge w:val="continue"/>
            <w:noWrap w:val="0"/>
            <w:vAlign w:val="center"/>
          </w:tcPr>
          <w:p w14:paraId="7F29D5E7">
            <w:pPr>
              <w:jc w:val="center"/>
              <w:rPr>
                <w:rFonts w:hint="default" w:ascii="Times New Roman" w:hAnsi="Times New Roman" w:eastAsia="宋体" w:cs="Times New Roman"/>
                <w:kern w:val="0"/>
                <w:sz w:val="21"/>
                <w:szCs w:val="24"/>
                <w:highlight w:val="none"/>
              </w:rPr>
            </w:pPr>
          </w:p>
        </w:tc>
        <w:tc>
          <w:tcPr>
            <w:tcW w:w="8185" w:type="dxa"/>
            <w:gridSpan w:val="3"/>
            <w:noWrap w:val="0"/>
            <w:vAlign w:val="center"/>
          </w:tcPr>
          <w:p w14:paraId="7407A634">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具有RS-232或RS-485标准通讯接口</w:t>
            </w:r>
          </w:p>
        </w:tc>
      </w:tr>
      <w:tr w14:paraId="12950F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3" w:type="dxa"/>
            <w:vMerge w:val="continue"/>
            <w:noWrap w:val="0"/>
            <w:vAlign w:val="center"/>
          </w:tcPr>
          <w:p w14:paraId="243857AF">
            <w:pPr>
              <w:jc w:val="center"/>
              <w:rPr>
                <w:rFonts w:hint="default" w:ascii="Times New Roman" w:hAnsi="Times New Roman" w:eastAsia="宋体" w:cs="Times New Roman"/>
                <w:kern w:val="0"/>
                <w:sz w:val="21"/>
                <w:szCs w:val="24"/>
                <w:highlight w:val="none"/>
              </w:rPr>
            </w:pPr>
          </w:p>
        </w:tc>
        <w:tc>
          <w:tcPr>
            <w:tcW w:w="8185" w:type="dxa"/>
            <w:gridSpan w:val="3"/>
            <w:noWrap w:val="0"/>
            <w:vAlign w:val="center"/>
          </w:tcPr>
          <w:p w14:paraId="6E36CA46">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必须支持《国家地表水监测仪器通信协议技术要求》</w:t>
            </w:r>
          </w:p>
        </w:tc>
      </w:tr>
      <w:tr w14:paraId="2D3109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3" w:type="dxa"/>
            <w:vMerge w:val="continue"/>
            <w:noWrap w:val="0"/>
            <w:vAlign w:val="center"/>
          </w:tcPr>
          <w:p w14:paraId="30C1D8D7">
            <w:pPr>
              <w:jc w:val="center"/>
              <w:rPr>
                <w:rFonts w:hint="default" w:ascii="Times New Roman" w:hAnsi="Times New Roman" w:eastAsia="宋体" w:cs="Times New Roman"/>
                <w:kern w:val="0"/>
                <w:sz w:val="21"/>
                <w:szCs w:val="24"/>
                <w:highlight w:val="none"/>
              </w:rPr>
            </w:pPr>
          </w:p>
        </w:tc>
        <w:tc>
          <w:tcPr>
            <w:tcW w:w="8185" w:type="dxa"/>
            <w:gridSpan w:val="3"/>
            <w:noWrap w:val="0"/>
            <w:vAlign w:val="center"/>
          </w:tcPr>
          <w:p w14:paraId="25124A68">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监测频次4个小时1次，应具备1小时1次的监测能力</w:t>
            </w:r>
          </w:p>
        </w:tc>
      </w:tr>
    </w:tbl>
    <w:p w14:paraId="295B2283">
      <w:pPr>
        <w:tabs>
          <w:tab w:val="left" w:pos="2280"/>
        </w:tabs>
        <w:spacing w:line="560" w:lineRule="exact"/>
        <w:ind w:firstLine="241"/>
        <w:contextualSpacing/>
        <w:jc w:val="both"/>
        <w:rPr>
          <w:rFonts w:hint="default" w:ascii="Times New Roman" w:hAnsi="Times New Roman" w:eastAsia="宋体" w:cs="Times New Roman"/>
          <w:b/>
          <w:kern w:val="0"/>
          <w:sz w:val="24"/>
          <w:szCs w:val="24"/>
          <w:highlight w:val="none"/>
        </w:rPr>
      </w:pPr>
      <w:r>
        <w:rPr>
          <w:rFonts w:hint="eastAsia" w:ascii="宋体" w:hAnsi="宋体" w:eastAsia="宋体" w:cs="Times New Roman"/>
          <w:b/>
          <w:kern w:val="0"/>
          <w:sz w:val="24"/>
          <w:szCs w:val="24"/>
          <w:highlight w:val="none"/>
          <w:lang w:val="en-US" w:eastAsia="zh-CN"/>
        </w:rPr>
        <w:t xml:space="preserve">3.5 </w:t>
      </w:r>
      <w:r>
        <w:rPr>
          <w:rFonts w:hint="default" w:ascii="宋体" w:hAnsi="宋体" w:eastAsia="宋体" w:cs="Times New Roman"/>
          <w:b/>
          <w:kern w:val="0"/>
          <w:sz w:val="24"/>
          <w:szCs w:val="24"/>
          <w:highlight w:val="none"/>
        </w:rPr>
        <w:t>交接工作安排</w:t>
      </w:r>
    </w:p>
    <w:p w14:paraId="3EA7C056">
      <w:pPr>
        <w:tabs>
          <w:tab w:val="left" w:pos="2280"/>
        </w:tabs>
        <w:spacing w:line="360" w:lineRule="auto"/>
        <w:ind w:firstLine="480"/>
        <w:contextualSpacing/>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成交单位负责与原业主方对水站正常运行所必须的资产进行清点、测试和查验，以及相关档案资料的移交等。交接内容主要包括：</w:t>
      </w:r>
    </w:p>
    <w:p w14:paraId="12B85D67">
      <w:pPr>
        <w:tabs>
          <w:tab w:val="left" w:pos="2280"/>
        </w:tabs>
        <w:spacing w:line="360" w:lineRule="auto"/>
        <w:ind w:firstLine="24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 xml:space="preserve">3.5.1 </w:t>
      </w:r>
      <w:r>
        <w:rPr>
          <w:rFonts w:hint="default" w:ascii="宋体" w:hAnsi="宋体" w:eastAsia="宋体" w:cs="Times New Roman"/>
          <w:kern w:val="0"/>
          <w:sz w:val="24"/>
          <w:szCs w:val="24"/>
          <w:highlight w:val="none"/>
        </w:rPr>
        <w:t>站房及其配套设施。主要包括站房主体、防雷设施、质控间和值班室相关配套、供电设施、给排水设施、暖通设施、通讯设施等。</w:t>
      </w:r>
    </w:p>
    <w:p w14:paraId="0875BAF9">
      <w:pPr>
        <w:tabs>
          <w:tab w:val="left" w:pos="2280"/>
        </w:tabs>
        <w:spacing w:line="360" w:lineRule="auto"/>
        <w:ind w:firstLine="24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 xml:space="preserve">3.5.2 </w:t>
      </w:r>
      <w:r>
        <w:rPr>
          <w:rFonts w:hint="default" w:ascii="宋体" w:hAnsi="宋体" w:eastAsia="宋体" w:cs="Times New Roman"/>
          <w:kern w:val="0"/>
          <w:sz w:val="24"/>
          <w:szCs w:val="24"/>
          <w:highlight w:val="none"/>
        </w:rPr>
        <w:t>采水设施。主要包括采水构筑物、采水泵、采水管道、清洗配套装置、防堵塞装置和保温配套装置等。</w:t>
      </w:r>
    </w:p>
    <w:p w14:paraId="782FC06E">
      <w:pPr>
        <w:tabs>
          <w:tab w:val="left" w:pos="2280"/>
        </w:tabs>
        <w:spacing w:line="360" w:lineRule="auto"/>
        <w:ind w:firstLine="24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 xml:space="preserve">3.5.3 </w:t>
      </w:r>
      <w:r>
        <w:rPr>
          <w:rFonts w:hint="default" w:ascii="宋体" w:hAnsi="宋体" w:eastAsia="宋体" w:cs="Times New Roman"/>
          <w:kern w:val="0"/>
          <w:sz w:val="24"/>
          <w:szCs w:val="24"/>
          <w:highlight w:val="none"/>
        </w:rPr>
        <w:t>仪器设备。主要包括配水单元、分析单元、质控单元、留样单元、辅助单元、控制单元、数据采集与传输单元软硬件等。</w:t>
      </w:r>
    </w:p>
    <w:p w14:paraId="56DCD780">
      <w:pPr>
        <w:tabs>
          <w:tab w:val="left" w:pos="2280"/>
        </w:tabs>
        <w:spacing w:line="360" w:lineRule="auto"/>
        <w:ind w:firstLine="24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 xml:space="preserve">3.5.4 </w:t>
      </w:r>
      <w:r>
        <w:rPr>
          <w:rFonts w:hint="default" w:ascii="宋体" w:hAnsi="宋体" w:eastAsia="宋体" w:cs="Times New Roman"/>
          <w:kern w:val="0"/>
          <w:sz w:val="24"/>
          <w:szCs w:val="24"/>
          <w:highlight w:val="none"/>
        </w:rPr>
        <w:t>视频监控及安防设施。主要包括视频监控、门禁、烟雾报警器、自动灭火器、站房钥匙等。</w:t>
      </w:r>
    </w:p>
    <w:p w14:paraId="4C4991A8">
      <w:pPr>
        <w:tabs>
          <w:tab w:val="left" w:pos="2280"/>
        </w:tabs>
        <w:spacing w:line="360" w:lineRule="auto"/>
        <w:ind w:firstLine="24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 xml:space="preserve">3.5.5 </w:t>
      </w:r>
      <w:r>
        <w:rPr>
          <w:rFonts w:hint="default" w:ascii="宋体" w:hAnsi="宋体" w:eastAsia="宋体" w:cs="Times New Roman"/>
          <w:kern w:val="0"/>
          <w:sz w:val="24"/>
          <w:szCs w:val="24"/>
          <w:highlight w:val="none"/>
        </w:rPr>
        <w:t>文化建设有关内容。主要包括站房外部的水站标志牌、简介牌和水站LOGO，站房内部的站点流域表征图、运维管理体系图和水站系统流程图等。</w:t>
      </w:r>
    </w:p>
    <w:p w14:paraId="07FE2CE4">
      <w:pPr>
        <w:tabs>
          <w:tab w:val="left" w:pos="2280"/>
        </w:tabs>
        <w:spacing w:line="360" w:lineRule="auto"/>
        <w:ind w:firstLine="24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 xml:space="preserve">3.5.6 </w:t>
      </w:r>
      <w:r>
        <w:rPr>
          <w:rFonts w:hint="default" w:ascii="宋体" w:hAnsi="宋体" w:eastAsia="宋体" w:cs="Times New Roman"/>
          <w:kern w:val="0"/>
          <w:sz w:val="24"/>
          <w:szCs w:val="24"/>
          <w:highlight w:val="none"/>
        </w:rPr>
        <w:t>档案资料。主要包括站房采水相关图纸、系统及仪器密码、仪器说明书、自查报告、交接报告等。</w:t>
      </w:r>
    </w:p>
    <w:p w14:paraId="018FC51E">
      <w:pPr>
        <w:tabs>
          <w:tab w:val="left" w:pos="2280"/>
        </w:tabs>
        <w:spacing w:line="360" w:lineRule="auto"/>
        <w:ind w:firstLine="24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 xml:space="preserve">3.5.7 </w:t>
      </w:r>
      <w:r>
        <w:rPr>
          <w:rFonts w:hint="default" w:ascii="宋体" w:hAnsi="宋体" w:eastAsia="宋体" w:cs="Times New Roman"/>
          <w:kern w:val="0"/>
          <w:sz w:val="24"/>
          <w:szCs w:val="24"/>
          <w:highlight w:val="none"/>
        </w:rPr>
        <w:t>其他设施。主要包括便携式仪表、备品备件、生活设施等。</w:t>
      </w:r>
    </w:p>
    <w:p w14:paraId="495C8734">
      <w:pPr>
        <w:tabs>
          <w:tab w:val="left" w:pos="2280"/>
        </w:tabs>
        <w:spacing w:line="360" w:lineRule="auto"/>
        <w:ind w:firstLine="480"/>
        <w:contextualSpacing/>
        <w:jc w:val="both"/>
        <w:rPr>
          <w:rFonts w:hint="default" w:ascii="宋体" w:hAnsi="宋体" w:eastAsia="宋体" w:cs="Times New Roman"/>
          <w:kern w:val="0"/>
          <w:sz w:val="24"/>
          <w:szCs w:val="24"/>
          <w:highlight w:val="none"/>
        </w:rPr>
      </w:pPr>
      <w:r>
        <w:rPr>
          <w:rFonts w:hint="default" w:ascii="宋体" w:hAnsi="宋体" w:eastAsia="宋体" w:cs="Times New Roman"/>
          <w:kern w:val="0"/>
          <w:sz w:val="24"/>
          <w:szCs w:val="24"/>
          <w:highlight w:val="none"/>
        </w:rPr>
        <w:t>在采购前投标单位可与原业主方共同对水质自动监测系统的系统运行情况，仪器运行情况，数据采集情况进行实际考察，并且做好</w:t>
      </w:r>
      <w:r>
        <w:rPr>
          <w:rFonts w:hint="eastAsia" w:ascii="宋体" w:hAnsi="宋体" w:eastAsia="宋体" w:cs="Times New Roman"/>
          <w:kern w:val="0"/>
          <w:sz w:val="24"/>
          <w:szCs w:val="24"/>
          <w:highlight w:val="none"/>
        </w:rPr>
        <w:t>接收</w:t>
      </w:r>
      <w:r>
        <w:rPr>
          <w:rFonts w:hint="default" w:ascii="宋体" w:hAnsi="宋体" w:eastAsia="宋体" w:cs="Times New Roman"/>
          <w:kern w:val="0"/>
          <w:sz w:val="24"/>
          <w:szCs w:val="24"/>
          <w:highlight w:val="none"/>
        </w:rPr>
        <w:t>方案和后期运维工作方案。</w:t>
      </w:r>
    </w:p>
    <w:p w14:paraId="7C8943B9">
      <w:pPr>
        <w:tabs>
          <w:tab w:val="left" w:pos="2280"/>
        </w:tabs>
        <w:spacing w:line="360" w:lineRule="auto"/>
        <w:ind w:firstLine="480"/>
        <w:contextualSpacing/>
        <w:jc w:val="both"/>
        <w:rPr>
          <w:rFonts w:hint="default" w:ascii="Times New Roman" w:hAnsi="Times New Roman" w:eastAsia="宋体" w:cs="Times New Roman"/>
          <w:b/>
          <w:kern w:val="0"/>
          <w:sz w:val="24"/>
          <w:szCs w:val="24"/>
          <w:highlight w:val="none"/>
        </w:rPr>
      </w:pPr>
      <w:r>
        <w:rPr>
          <w:rFonts w:hint="eastAsia" w:ascii="宋体" w:hAnsi="宋体" w:eastAsia="宋体" w:cs="Times New Roman"/>
          <w:b/>
          <w:kern w:val="0"/>
          <w:sz w:val="24"/>
          <w:szCs w:val="24"/>
          <w:highlight w:val="none"/>
          <w:lang w:val="en-US" w:eastAsia="zh-CN"/>
        </w:rPr>
        <w:t xml:space="preserve">3.6 </w:t>
      </w:r>
      <w:r>
        <w:rPr>
          <w:rFonts w:hint="default" w:ascii="宋体" w:hAnsi="宋体" w:eastAsia="宋体" w:cs="Times New Roman"/>
          <w:b/>
          <w:kern w:val="0"/>
          <w:sz w:val="24"/>
          <w:szCs w:val="24"/>
          <w:highlight w:val="none"/>
        </w:rPr>
        <w:t>参考</w:t>
      </w:r>
      <w:r>
        <w:rPr>
          <w:rFonts w:hint="eastAsia" w:ascii="宋体" w:hAnsi="宋体" w:eastAsia="宋体" w:cs="Times New Roman"/>
          <w:b/>
          <w:kern w:val="0"/>
          <w:sz w:val="24"/>
          <w:szCs w:val="24"/>
          <w:highlight w:val="none"/>
          <w:lang w:eastAsia="zh-CN"/>
        </w:rPr>
        <w:t>或参照</w:t>
      </w:r>
      <w:r>
        <w:rPr>
          <w:rFonts w:hint="default" w:ascii="宋体" w:hAnsi="宋体" w:eastAsia="宋体" w:cs="Times New Roman"/>
          <w:b/>
          <w:kern w:val="0"/>
          <w:sz w:val="24"/>
          <w:szCs w:val="24"/>
          <w:highlight w:val="none"/>
        </w:rPr>
        <w:t>技术规范和标准</w:t>
      </w:r>
    </w:p>
    <w:p w14:paraId="4C8D2382">
      <w:pPr>
        <w:spacing w:line="360" w:lineRule="auto"/>
        <w:ind w:firstLine="480"/>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1.国家环境保护总局发布的相关水质在线监测技术标准</w:t>
      </w:r>
    </w:p>
    <w:p w14:paraId="3FD4A622">
      <w:pPr>
        <w:spacing w:line="360" w:lineRule="auto"/>
        <w:ind w:firstLine="480"/>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2.国家标准方法和《水和废水监测分析方法》</w:t>
      </w:r>
    </w:p>
    <w:p w14:paraId="301758F3">
      <w:pPr>
        <w:spacing w:line="360" w:lineRule="auto"/>
        <w:ind w:firstLine="480"/>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3.《国家地表水水质自动监测站运行管理办法》</w:t>
      </w:r>
    </w:p>
    <w:p w14:paraId="4E42B45F">
      <w:pPr>
        <w:spacing w:line="360" w:lineRule="auto"/>
        <w:ind w:firstLine="480"/>
        <w:jc w:val="both"/>
        <w:rPr>
          <w:rFonts w:hint="eastAsia" w:ascii="宋体" w:hAnsi="宋体" w:eastAsia="宋体" w:cs="Times New Roman"/>
          <w:kern w:val="0"/>
          <w:sz w:val="24"/>
          <w:szCs w:val="24"/>
          <w:highlight w:val="none"/>
          <w:lang w:val="en-US" w:eastAsia="zh-CN"/>
        </w:rPr>
      </w:pPr>
      <w:r>
        <w:rPr>
          <w:rFonts w:hint="default" w:ascii="宋体" w:hAnsi="宋体" w:eastAsia="宋体" w:cs="Times New Roman"/>
          <w:kern w:val="0"/>
          <w:sz w:val="24"/>
          <w:szCs w:val="24"/>
          <w:highlight w:val="none"/>
        </w:rPr>
        <w:t>4.</w:t>
      </w:r>
      <w:r>
        <w:rPr>
          <w:rFonts w:hint="eastAsia" w:ascii="宋体" w:hAnsi="宋体" w:eastAsia="宋体" w:cs="Times New Roman"/>
          <w:kern w:val="0"/>
          <w:sz w:val="24"/>
          <w:szCs w:val="24"/>
          <w:highlight w:val="none"/>
        </w:rPr>
        <w:t>《</w:t>
      </w:r>
      <w:r>
        <w:rPr>
          <w:rFonts w:hint="eastAsia" w:ascii="宋体" w:hAnsi="宋体" w:eastAsia="宋体" w:cs="Times New Roman"/>
          <w:kern w:val="0"/>
          <w:sz w:val="24"/>
          <w:szCs w:val="24"/>
          <w:highlight w:val="none"/>
          <w:lang w:val="en-US" w:eastAsia="zh-CN"/>
        </w:rPr>
        <w:t>环境水质（地表水）自动监测站运行维护技术规范</w:t>
      </w:r>
      <w:r>
        <w:rPr>
          <w:rFonts w:hint="eastAsia" w:ascii="宋体" w:hAnsi="宋体" w:eastAsia="宋体" w:cs="Times New Roman"/>
          <w:kern w:val="0"/>
          <w:sz w:val="24"/>
          <w:szCs w:val="24"/>
          <w:highlight w:val="none"/>
        </w:rPr>
        <w:t>》</w:t>
      </w: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lang w:val="en-US" w:eastAsia="zh-CN"/>
        </w:rPr>
        <w:t>DB32/T4536-2023</w:t>
      </w:r>
      <w:r>
        <w:rPr>
          <w:rFonts w:hint="eastAsia" w:ascii="宋体" w:hAnsi="宋体" w:eastAsia="宋体" w:cs="Times New Roman"/>
          <w:kern w:val="0"/>
          <w:sz w:val="24"/>
          <w:szCs w:val="24"/>
          <w:highlight w:val="none"/>
          <w:lang w:eastAsia="zh-CN"/>
        </w:rPr>
        <w:t>）</w:t>
      </w:r>
    </w:p>
    <w:p w14:paraId="2E27C853">
      <w:pPr>
        <w:spacing w:line="360" w:lineRule="auto"/>
        <w:ind w:firstLine="480"/>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5.《环境水质监测质量保证手册》</w:t>
      </w:r>
    </w:p>
    <w:p w14:paraId="76243CAD">
      <w:pPr>
        <w:spacing w:line="360" w:lineRule="auto"/>
        <w:ind w:firstLine="480"/>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6.《地表水和污水监测技术规范》（HJ/T91-2002 ）</w:t>
      </w:r>
    </w:p>
    <w:p w14:paraId="78CB7BE7">
      <w:pPr>
        <w:spacing w:line="360" w:lineRule="auto"/>
        <w:ind w:firstLine="480"/>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7.《水质河流采样技术指导》（HJ/T52-1999）</w:t>
      </w:r>
    </w:p>
    <w:p w14:paraId="78F2D6AF">
      <w:pPr>
        <w:spacing w:line="360" w:lineRule="auto"/>
        <w:ind w:firstLine="480"/>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8.《pH水质自动分析仪技术要求》（HJ/T96-2003）</w:t>
      </w:r>
    </w:p>
    <w:p w14:paraId="29068921">
      <w:pPr>
        <w:spacing w:line="360" w:lineRule="auto"/>
        <w:ind w:firstLine="480"/>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9.《电导率水质自动分析仪技术要求》（HJ/T97-2003）</w:t>
      </w:r>
    </w:p>
    <w:p w14:paraId="58EE189E">
      <w:pPr>
        <w:spacing w:line="360" w:lineRule="auto"/>
        <w:ind w:firstLine="480"/>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10.《浊度水质自动分析仪技术要求》（HJ/T98-2003）</w:t>
      </w:r>
    </w:p>
    <w:p w14:paraId="060AC96B">
      <w:pPr>
        <w:spacing w:line="360" w:lineRule="auto"/>
        <w:ind w:firstLine="480"/>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11.《溶解氧（DO）水质自动分析仪技术要求》（HJ/T99-2003）</w:t>
      </w:r>
    </w:p>
    <w:p w14:paraId="49AC07A8">
      <w:pPr>
        <w:spacing w:line="360" w:lineRule="auto"/>
        <w:ind w:firstLine="480"/>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12.《高锰酸盐指数水质自动分析仪技术要求》（HJ/T100-2003）</w:t>
      </w:r>
    </w:p>
    <w:p w14:paraId="5505971B">
      <w:pPr>
        <w:spacing w:line="360" w:lineRule="auto"/>
        <w:ind w:firstLine="480"/>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13.《氨氮水质自动分析仪技术要求》（HJ/T101-2003）</w:t>
      </w:r>
    </w:p>
    <w:p w14:paraId="5B63C36A">
      <w:pPr>
        <w:spacing w:line="360" w:lineRule="auto"/>
        <w:ind w:firstLine="480"/>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14.《总氮水质自动分析仪技术要求》（HJ/T102-2003）</w:t>
      </w:r>
    </w:p>
    <w:p w14:paraId="0446EFAA">
      <w:pPr>
        <w:spacing w:line="360" w:lineRule="auto"/>
        <w:ind w:firstLine="480"/>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15.《总磷水质自动分析仪技术要求》（HJ/T103-2003）</w:t>
      </w:r>
    </w:p>
    <w:p w14:paraId="7CEF934A">
      <w:pPr>
        <w:spacing w:line="360" w:lineRule="auto"/>
        <w:ind w:firstLine="480"/>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16.《声学多普勒流量测验规范》（SL337-2006）</w:t>
      </w:r>
    </w:p>
    <w:p w14:paraId="63F97ADA">
      <w:pPr>
        <w:spacing w:line="360" w:lineRule="auto"/>
        <w:ind w:firstLine="480"/>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17.《户外标识牌技术规程》（CECS148:2003）</w:t>
      </w:r>
    </w:p>
    <w:p w14:paraId="298875ED">
      <w:pPr>
        <w:spacing w:line="360" w:lineRule="auto"/>
        <w:ind w:firstLine="480"/>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18.《建筑物防雷设计规范》（GB 50057-2010）</w:t>
      </w:r>
    </w:p>
    <w:p w14:paraId="7F8533AC">
      <w:pPr>
        <w:spacing w:line="360" w:lineRule="auto"/>
        <w:ind w:firstLine="480"/>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19.《建筑设计防火规范》（GB 50016-2015）</w:t>
      </w:r>
    </w:p>
    <w:p w14:paraId="66B3B751">
      <w:pPr>
        <w:spacing w:line="360" w:lineRule="auto"/>
        <w:ind w:firstLine="480"/>
        <w:jc w:val="both"/>
        <w:rPr>
          <w:rFonts w:hint="default" w:ascii="宋体" w:hAnsi="宋体" w:eastAsia="宋体" w:cs="Times New Roman"/>
          <w:kern w:val="0"/>
          <w:sz w:val="24"/>
          <w:szCs w:val="24"/>
          <w:highlight w:val="none"/>
        </w:rPr>
      </w:pPr>
      <w:r>
        <w:rPr>
          <w:rFonts w:hint="default" w:ascii="宋体" w:hAnsi="宋体" w:eastAsia="宋体" w:cs="Times New Roman"/>
          <w:kern w:val="0"/>
          <w:sz w:val="24"/>
          <w:szCs w:val="24"/>
          <w:highlight w:val="none"/>
        </w:rPr>
        <w:t>20.《智能建筑标准》（GB/T50314-2006）</w:t>
      </w:r>
    </w:p>
    <w:p w14:paraId="664CC464">
      <w:pPr>
        <w:tabs>
          <w:tab w:val="left" w:pos="2280"/>
        </w:tabs>
        <w:spacing w:line="560" w:lineRule="exact"/>
        <w:contextualSpacing/>
        <w:jc w:val="both"/>
        <w:rPr>
          <w:rFonts w:hint="eastAsia" w:ascii="宋体" w:hAnsi="宋体" w:eastAsia="宋体" w:cs="Times New Roman"/>
          <w:b/>
          <w:kern w:val="0"/>
          <w:sz w:val="24"/>
          <w:szCs w:val="24"/>
          <w:highlight w:val="none"/>
          <w:lang w:val="en-US" w:eastAsia="zh-CN"/>
        </w:rPr>
      </w:pPr>
      <w:r>
        <w:rPr>
          <w:rFonts w:hint="eastAsia" w:ascii="宋体" w:hAnsi="宋体" w:eastAsia="宋体" w:cs="Times New Roman"/>
          <w:b/>
          <w:kern w:val="0"/>
          <w:sz w:val="24"/>
          <w:szCs w:val="24"/>
          <w:highlight w:val="none"/>
          <w:lang w:val="en-US" w:eastAsia="zh-CN"/>
        </w:rPr>
        <w:t>4、监督管理</w:t>
      </w:r>
    </w:p>
    <w:p w14:paraId="455DF403">
      <w:pPr>
        <w:spacing w:line="480" w:lineRule="exact"/>
        <w:ind w:firstLine="480"/>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4.</w:t>
      </w:r>
      <w:r>
        <w:rPr>
          <w:rFonts w:hint="default" w:ascii="宋体" w:hAnsi="宋体" w:eastAsia="宋体" w:cs="Times New Roman"/>
          <w:kern w:val="0"/>
          <w:sz w:val="24"/>
          <w:szCs w:val="24"/>
          <w:highlight w:val="none"/>
        </w:rPr>
        <w:t>1</w:t>
      </w:r>
      <w:r>
        <w:rPr>
          <w:rFonts w:hint="eastAsia" w:ascii="宋体" w:hAnsi="宋体" w:eastAsia="宋体" w:cs="Times New Roman"/>
          <w:kern w:val="0"/>
          <w:sz w:val="24"/>
          <w:szCs w:val="24"/>
          <w:highlight w:val="none"/>
          <w:lang w:val="en-US" w:eastAsia="zh-CN"/>
        </w:rPr>
        <w:t xml:space="preserve"> </w:t>
      </w:r>
      <w:r>
        <w:rPr>
          <w:rFonts w:hint="default" w:ascii="宋体" w:hAnsi="宋体" w:eastAsia="宋体" w:cs="Times New Roman"/>
          <w:kern w:val="0"/>
          <w:sz w:val="24"/>
          <w:szCs w:val="24"/>
          <w:highlight w:val="none"/>
        </w:rPr>
        <w:t>数据必须真实有效，供应商近3年内，在环境监测服务活动中必须没有弄虚作假行为（请供应商根据本单位实际情况咨询承诺，若有不实，按提供虚假资料处理，并承担相关法律责任）</w:t>
      </w:r>
    </w:p>
    <w:p w14:paraId="7867E60A">
      <w:pPr>
        <w:spacing w:line="480" w:lineRule="exact"/>
        <w:ind w:firstLine="480"/>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4</w:t>
      </w:r>
      <w:r>
        <w:rPr>
          <w:rFonts w:hint="default" w:ascii="宋体" w:hAnsi="宋体" w:eastAsia="宋体" w:cs="Times New Roman"/>
          <w:kern w:val="0"/>
          <w:sz w:val="24"/>
          <w:szCs w:val="24"/>
          <w:highlight w:val="none"/>
        </w:rPr>
        <w:t>.2</w:t>
      </w:r>
      <w:r>
        <w:rPr>
          <w:rFonts w:hint="eastAsia" w:ascii="宋体" w:hAnsi="宋体" w:eastAsia="宋体" w:cs="Times New Roman"/>
          <w:kern w:val="0"/>
          <w:sz w:val="24"/>
          <w:szCs w:val="24"/>
          <w:highlight w:val="none"/>
          <w:lang w:val="en-US" w:eastAsia="zh-CN"/>
        </w:rPr>
        <w:t xml:space="preserve"> </w:t>
      </w:r>
      <w:r>
        <w:rPr>
          <w:rFonts w:hint="default" w:ascii="宋体" w:hAnsi="宋体" w:eastAsia="宋体" w:cs="Times New Roman"/>
          <w:kern w:val="0"/>
          <w:sz w:val="24"/>
          <w:szCs w:val="24"/>
          <w:highlight w:val="none"/>
        </w:rPr>
        <w:t>供应商应承担监测数据的保密责任（签订保密协议），不得利用本项目的数据、档案或有关资料对外开展技术交流、业务联系、数据交换等。否则</w:t>
      </w:r>
      <w:r>
        <w:rPr>
          <w:rFonts w:hint="eastAsia" w:ascii="宋体" w:hAnsi="宋体" w:eastAsia="宋体" w:cs="宋体"/>
          <w:bCs/>
          <w:color w:val="000000"/>
          <w:kern w:val="0"/>
          <w:sz w:val="24"/>
          <w:szCs w:val="24"/>
          <w:highlight w:val="none"/>
        </w:rPr>
        <w:t>徐州市丰县生态环境局</w:t>
      </w:r>
      <w:r>
        <w:rPr>
          <w:rFonts w:hint="default" w:ascii="宋体" w:hAnsi="宋体" w:eastAsia="宋体" w:cs="Times New Roman"/>
          <w:kern w:val="0"/>
          <w:sz w:val="24"/>
          <w:szCs w:val="24"/>
          <w:highlight w:val="none"/>
        </w:rPr>
        <w:t>有权终止合同。</w:t>
      </w:r>
    </w:p>
    <w:p w14:paraId="39D3561B">
      <w:pPr>
        <w:spacing w:line="480" w:lineRule="exact"/>
        <w:ind w:firstLine="480"/>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4.</w:t>
      </w:r>
      <w:r>
        <w:rPr>
          <w:rFonts w:hint="default" w:ascii="宋体" w:hAnsi="宋体" w:eastAsia="宋体" w:cs="Times New Roman"/>
          <w:kern w:val="0"/>
          <w:sz w:val="24"/>
          <w:szCs w:val="24"/>
          <w:highlight w:val="none"/>
        </w:rPr>
        <w:t>3</w:t>
      </w:r>
      <w:r>
        <w:rPr>
          <w:rFonts w:hint="eastAsia" w:ascii="宋体" w:hAnsi="宋体" w:eastAsia="宋体" w:cs="Times New Roman"/>
          <w:kern w:val="0"/>
          <w:sz w:val="24"/>
          <w:szCs w:val="24"/>
          <w:highlight w:val="none"/>
          <w:lang w:val="en-US" w:eastAsia="zh-CN"/>
        </w:rPr>
        <w:t xml:space="preserve"> </w:t>
      </w:r>
      <w:r>
        <w:rPr>
          <w:rFonts w:hint="default" w:ascii="宋体" w:hAnsi="宋体" w:eastAsia="宋体" w:cs="Times New Roman"/>
          <w:kern w:val="0"/>
          <w:sz w:val="24"/>
          <w:szCs w:val="24"/>
          <w:highlight w:val="none"/>
        </w:rPr>
        <w:t>运维期间出现调整数据、修改参数、改动设备、质控结果与平台采集结果不一致、弄虚作假等违规行为的，一经查实</w:t>
      </w:r>
      <w:r>
        <w:rPr>
          <w:rFonts w:hint="eastAsia" w:ascii="宋体" w:hAnsi="宋体" w:eastAsia="宋体" w:cs="宋体"/>
          <w:bCs/>
          <w:color w:val="000000"/>
          <w:kern w:val="0"/>
          <w:sz w:val="24"/>
          <w:szCs w:val="24"/>
          <w:highlight w:val="none"/>
        </w:rPr>
        <w:t>徐州市丰县生态环境局</w:t>
      </w:r>
      <w:r>
        <w:rPr>
          <w:rFonts w:hint="default" w:ascii="宋体" w:hAnsi="宋体" w:eastAsia="宋体" w:cs="Times New Roman"/>
          <w:kern w:val="0"/>
          <w:sz w:val="24"/>
          <w:szCs w:val="24"/>
          <w:highlight w:val="none"/>
        </w:rPr>
        <w:t>有权终止运维合同。</w:t>
      </w:r>
    </w:p>
    <w:p w14:paraId="17FC6A2E">
      <w:pPr>
        <w:spacing w:line="480" w:lineRule="exact"/>
        <w:ind w:firstLine="480"/>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4.</w:t>
      </w:r>
      <w:r>
        <w:rPr>
          <w:rFonts w:hint="default" w:ascii="宋体" w:hAnsi="宋体" w:eastAsia="宋体" w:cs="Times New Roman"/>
          <w:kern w:val="0"/>
          <w:sz w:val="24"/>
          <w:szCs w:val="24"/>
          <w:highlight w:val="none"/>
        </w:rPr>
        <w:t>4</w:t>
      </w:r>
      <w:r>
        <w:rPr>
          <w:rFonts w:hint="eastAsia" w:ascii="宋体" w:hAnsi="宋体" w:eastAsia="宋体" w:cs="Times New Roman"/>
          <w:kern w:val="0"/>
          <w:sz w:val="24"/>
          <w:szCs w:val="24"/>
          <w:highlight w:val="none"/>
          <w:lang w:val="en-US" w:eastAsia="zh-CN"/>
        </w:rPr>
        <w:t xml:space="preserve"> </w:t>
      </w:r>
      <w:r>
        <w:rPr>
          <w:rFonts w:hint="eastAsia" w:ascii="宋体" w:hAnsi="宋体" w:eastAsia="宋体" w:cs="宋体"/>
          <w:bCs/>
          <w:color w:val="000000"/>
          <w:kern w:val="0"/>
          <w:sz w:val="24"/>
          <w:szCs w:val="24"/>
          <w:highlight w:val="none"/>
        </w:rPr>
        <w:t>徐州市丰县生态环境局</w:t>
      </w:r>
      <w:r>
        <w:rPr>
          <w:rFonts w:hint="default" w:ascii="宋体" w:hAnsi="宋体" w:eastAsia="宋体" w:cs="Times New Roman"/>
          <w:kern w:val="0"/>
          <w:sz w:val="24"/>
          <w:szCs w:val="24"/>
          <w:highlight w:val="none"/>
        </w:rPr>
        <w:t>组织开展运维管理和质控考核，对达不到运维要求或违规操作的，可以取消该公司在江苏区域内相关运维投标资格或扣减相应的运维经费，并有权终止运维合同。</w:t>
      </w:r>
    </w:p>
    <w:p w14:paraId="1555E96D">
      <w:pPr>
        <w:spacing w:line="480" w:lineRule="exact"/>
        <w:ind w:firstLine="480"/>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4.</w:t>
      </w:r>
      <w:r>
        <w:rPr>
          <w:rFonts w:hint="default" w:ascii="宋体" w:hAnsi="宋体" w:eastAsia="宋体" w:cs="Times New Roman"/>
          <w:kern w:val="0"/>
          <w:sz w:val="24"/>
          <w:szCs w:val="24"/>
          <w:highlight w:val="none"/>
        </w:rPr>
        <w:t>5</w:t>
      </w:r>
      <w:r>
        <w:rPr>
          <w:rFonts w:hint="eastAsia" w:ascii="宋体" w:hAnsi="宋体" w:eastAsia="宋体" w:cs="Times New Roman"/>
          <w:kern w:val="0"/>
          <w:sz w:val="24"/>
          <w:szCs w:val="24"/>
          <w:highlight w:val="none"/>
          <w:lang w:val="en-US" w:eastAsia="zh-CN"/>
        </w:rPr>
        <w:t xml:space="preserve"> </w:t>
      </w:r>
      <w:r>
        <w:rPr>
          <w:rFonts w:hint="default" w:ascii="宋体" w:hAnsi="宋体" w:eastAsia="宋体" w:cs="Times New Roman"/>
          <w:kern w:val="0"/>
          <w:sz w:val="24"/>
          <w:szCs w:val="24"/>
          <w:highlight w:val="none"/>
        </w:rPr>
        <w:t>违反江苏省水质自动站管理办法等违规行为的，一经查实</w:t>
      </w:r>
      <w:r>
        <w:rPr>
          <w:rFonts w:hint="eastAsia" w:ascii="宋体" w:hAnsi="宋体" w:eastAsia="宋体" w:cs="宋体"/>
          <w:bCs/>
          <w:color w:val="000000"/>
          <w:kern w:val="0"/>
          <w:sz w:val="24"/>
          <w:szCs w:val="24"/>
          <w:highlight w:val="none"/>
        </w:rPr>
        <w:t>徐州市丰县生态环境局</w:t>
      </w:r>
      <w:r>
        <w:rPr>
          <w:rFonts w:hint="default" w:ascii="宋体" w:hAnsi="宋体" w:eastAsia="宋体" w:cs="Times New Roman"/>
          <w:kern w:val="0"/>
          <w:sz w:val="24"/>
          <w:szCs w:val="24"/>
          <w:highlight w:val="none"/>
        </w:rPr>
        <w:t>有权终止运维合同。</w:t>
      </w:r>
    </w:p>
    <w:p w14:paraId="69012884">
      <w:pPr>
        <w:tabs>
          <w:tab w:val="left" w:pos="2280"/>
        </w:tabs>
        <w:spacing w:line="360" w:lineRule="auto"/>
        <w:ind w:right="45" w:firstLine="482"/>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 xml:space="preserve">4.6 </w:t>
      </w:r>
      <w:r>
        <w:rPr>
          <w:rFonts w:hint="default" w:ascii="宋体" w:hAnsi="宋体" w:eastAsia="宋体" w:cs="Times New Roman"/>
          <w:kern w:val="0"/>
          <w:sz w:val="24"/>
          <w:szCs w:val="24"/>
          <w:highlight w:val="none"/>
        </w:rPr>
        <w:t>运维机构有下列情形之一的，</w:t>
      </w:r>
      <w:r>
        <w:rPr>
          <w:rFonts w:hint="eastAsia" w:ascii="宋体" w:hAnsi="宋体" w:eastAsia="宋体" w:cs="宋体"/>
          <w:bCs/>
          <w:color w:val="000000"/>
          <w:kern w:val="0"/>
          <w:sz w:val="24"/>
          <w:szCs w:val="24"/>
          <w:highlight w:val="none"/>
        </w:rPr>
        <w:t>徐州市丰县生态环境局</w:t>
      </w:r>
      <w:r>
        <w:rPr>
          <w:rFonts w:hint="default" w:ascii="宋体" w:hAnsi="宋体" w:eastAsia="宋体" w:cs="Times New Roman"/>
          <w:kern w:val="0"/>
          <w:sz w:val="24"/>
          <w:szCs w:val="24"/>
          <w:highlight w:val="none"/>
        </w:rPr>
        <w:t>将扣除相应站点当月运行经费：迟报、漏报或不报审核数据的；拖延、阻碍、拒绝质量检查或飞行检查的；发现采样、分析、数据采集和传输等过程人为干扰，发现非运维人员进出站房，未按要求及时向</w:t>
      </w:r>
      <w:r>
        <w:rPr>
          <w:rFonts w:hint="eastAsia" w:ascii="宋体" w:hAnsi="宋体" w:eastAsia="宋体" w:cs="宋体"/>
          <w:bCs/>
          <w:color w:val="000000"/>
          <w:kern w:val="0"/>
          <w:sz w:val="24"/>
          <w:szCs w:val="24"/>
          <w:highlight w:val="none"/>
        </w:rPr>
        <w:t>徐州市丰县生态环境局</w:t>
      </w:r>
      <w:r>
        <w:rPr>
          <w:rFonts w:hint="default" w:ascii="宋体" w:hAnsi="宋体" w:eastAsia="宋体" w:cs="Times New Roman"/>
          <w:kern w:val="0"/>
          <w:sz w:val="24"/>
          <w:szCs w:val="24"/>
          <w:highlight w:val="none"/>
        </w:rPr>
        <w:t>报告的；其他不履行规定职责的情形。</w:t>
      </w:r>
    </w:p>
    <w:p w14:paraId="1F174228">
      <w:pPr>
        <w:tabs>
          <w:tab w:val="left" w:pos="2280"/>
        </w:tabs>
        <w:spacing w:line="360" w:lineRule="auto"/>
        <w:ind w:right="45" w:firstLine="482"/>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 xml:space="preserve">4.7 </w:t>
      </w:r>
      <w:r>
        <w:rPr>
          <w:rFonts w:hint="default" w:ascii="宋体" w:hAnsi="宋体" w:eastAsia="宋体" w:cs="Times New Roman"/>
          <w:kern w:val="0"/>
          <w:sz w:val="24"/>
          <w:szCs w:val="24"/>
          <w:highlight w:val="none"/>
        </w:rPr>
        <w:t>在各类专项质量检查中，发现运维单位未达到</w:t>
      </w:r>
      <w:r>
        <w:rPr>
          <w:rFonts w:hint="eastAsia" w:ascii="宋体" w:hAnsi="宋体" w:eastAsia="宋体" w:cs="宋体"/>
          <w:bCs/>
          <w:color w:val="000000"/>
          <w:kern w:val="0"/>
          <w:sz w:val="24"/>
          <w:szCs w:val="24"/>
          <w:highlight w:val="none"/>
        </w:rPr>
        <w:t>徐州市丰县生态环境局</w:t>
      </w:r>
      <w:r>
        <w:rPr>
          <w:rFonts w:hint="default" w:ascii="宋体" w:hAnsi="宋体" w:eastAsia="宋体" w:cs="Times New Roman"/>
          <w:kern w:val="0"/>
          <w:sz w:val="24"/>
          <w:szCs w:val="24"/>
          <w:highlight w:val="none"/>
        </w:rPr>
        <w:t>运维质控要求时，根据对数据质量造成的影响程度，扣减相应站点当季度10%～100%运维经费；如未及时整改，加倍扣款。</w:t>
      </w:r>
    </w:p>
    <w:p w14:paraId="5B2A3124">
      <w:pPr>
        <w:tabs>
          <w:tab w:val="left" w:pos="2280"/>
        </w:tabs>
        <w:spacing w:line="360" w:lineRule="auto"/>
        <w:ind w:right="45" w:firstLine="482"/>
        <w:contextualSpacing/>
        <w:jc w:val="both"/>
        <w:rPr>
          <w:rFonts w:hint="default" w:ascii="Times New Roman" w:hAnsi="Times New Roman" w:eastAsia="宋体" w:cs="Times New Roman"/>
          <w:kern w:val="0"/>
          <w:sz w:val="24"/>
          <w:szCs w:val="24"/>
          <w:highlight w:val="none"/>
        </w:rPr>
      </w:pPr>
      <w:r>
        <w:rPr>
          <w:rFonts w:hint="eastAsia" w:ascii="宋体" w:hAnsi="宋体" w:eastAsia="宋体" w:cs="宋体"/>
          <w:bCs/>
          <w:color w:val="000000"/>
          <w:kern w:val="0"/>
          <w:sz w:val="24"/>
          <w:szCs w:val="24"/>
          <w:highlight w:val="none"/>
          <w:lang w:val="en-US" w:eastAsia="zh-CN"/>
        </w:rPr>
        <w:t xml:space="preserve">4.8 </w:t>
      </w:r>
      <w:r>
        <w:rPr>
          <w:rFonts w:hint="eastAsia" w:ascii="宋体" w:hAnsi="宋体" w:eastAsia="宋体" w:cs="宋体"/>
          <w:bCs/>
          <w:color w:val="000000"/>
          <w:kern w:val="0"/>
          <w:sz w:val="24"/>
          <w:szCs w:val="24"/>
          <w:highlight w:val="none"/>
        </w:rPr>
        <w:t>徐州市丰县生态环境局</w:t>
      </w:r>
      <w:r>
        <w:rPr>
          <w:rFonts w:hint="default" w:ascii="宋体" w:hAnsi="宋体" w:eastAsia="宋体" w:cs="Times New Roman"/>
          <w:kern w:val="0"/>
          <w:sz w:val="24"/>
          <w:szCs w:val="24"/>
          <w:highlight w:val="none"/>
        </w:rPr>
        <w:t>有权根据相关规定对扣除的运维费进行重新支配，用于开展其它与</w:t>
      </w:r>
      <w:r>
        <w:rPr>
          <w:rFonts w:hint="eastAsia" w:ascii="宋体" w:hAnsi="宋体" w:eastAsia="宋体" w:cs="Times New Roman"/>
          <w:kern w:val="0"/>
          <w:sz w:val="24"/>
          <w:szCs w:val="24"/>
          <w:highlight w:val="none"/>
        </w:rPr>
        <w:t>水</w:t>
      </w:r>
      <w:r>
        <w:rPr>
          <w:rFonts w:hint="default" w:ascii="宋体" w:hAnsi="宋体" w:eastAsia="宋体" w:cs="Times New Roman"/>
          <w:kern w:val="0"/>
          <w:sz w:val="24"/>
          <w:szCs w:val="24"/>
          <w:highlight w:val="none"/>
        </w:rPr>
        <w:t>站运维管理相关的工作。</w:t>
      </w:r>
    </w:p>
    <w:p w14:paraId="2BB24DAA">
      <w:pPr>
        <w:spacing w:line="360" w:lineRule="auto"/>
        <w:ind w:firstLine="480"/>
        <w:jc w:val="both"/>
        <w:rPr>
          <w:rFonts w:hint="eastAsia" w:ascii="宋体" w:hAnsi="宋体" w:eastAsia="宋体" w:cs="Times New Roman"/>
          <w:b/>
          <w:bCs w:val="0"/>
          <w:kern w:val="0"/>
          <w:sz w:val="24"/>
          <w:szCs w:val="24"/>
          <w:highlight w:val="none"/>
          <w:lang w:val="en-US" w:eastAsia="zh-CN"/>
        </w:rPr>
      </w:pPr>
      <w:r>
        <w:rPr>
          <w:rFonts w:hint="eastAsia" w:ascii="宋体" w:hAnsi="宋体" w:eastAsia="宋体" w:cs="Times New Roman"/>
          <w:b/>
          <w:bCs w:val="0"/>
          <w:kern w:val="0"/>
          <w:sz w:val="24"/>
          <w:szCs w:val="24"/>
          <w:highlight w:val="none"/>
          <w:lang w:val="en-US" w:eastAsia="zh-CN"/>
        </w:rPr>
        <w:t>三、采购包2采购需求</w:t>
      </w:r>
    </w:p>
    <w:p w14:paraId="3C3A9E34">
      <w:pPr>
        <w:tabs>
          <w:tab w:val="left" w:pos="2280"/>
        </w:tabs>
        <w:spacing w:line="360" w:lineRule="auto"/>
        <w:contextualSpacing/>
        <w:jc w:val="both"/>
        <w:rPr>
          <w:rFonts w:hint="default" w:ascii="宋体" w:hAnsi="宋体" w:eastAsia="宋体" w:cs="Times New Roman"/>
          <w:b/>
          <w:kern w:val="0"/>
          <w:sz w:val="24"/>
          <w:szCs w:val="24"/>
          <w:highlight w:val="none"/>
          <w:lang w:val="en-US" w:eastAsia="zh-CN"/>
        </w:rPr>
      </w:pPr>
      <w:r>
        <w:rPr>
          <w:rFonts w:hint="eastAsia" w:ascii="宋体" w:hAnsi="宋体" w:eastAsia="宋体" w:cs="Times New Roman"/>
          <w:b/>
          <w:kern w:val="0"/>
          <w:sz w:val="24"/>
          <w:szCs w:val="24"/>
          <w:highlight w:val="none"/>
          <w:lang w:val="en-US" w:eastAsia="zh-CN"/>
        </w:rPr>
        <w:t>1、项目说明</w:t>
      </w:r>
    </w:p>
    <w:p w14:paraId="7B5BE00B">
      <w:pPr>
        <w:spacing w:line="360" w:lineRule="auto"/>
        <w:ind w:firstLine="480"/>
        <w:jc w:val="both"/>
        <w:rPr>
          <w:rFonts w:hint="default" w:ascii="宋体" w:hAnsi="宋体" w:eastAsia="宋体" w:cs="Times New Roman"/>
          <w:kern w:val="0"/>
          <w:sz w:val="24"/>
          <w:szCs w:val="24"/>
          <w:highlight w:val="none"/>
        </w:rPr>
      </w:pPr>
      <w:r>
        <w:rPr>
          <w:rFonts w:hint="default" w:ascii="宋体" w:hAnsi="宋体" w:eastAsia="宋体" w:cs="Times New Roman"/>
          <w:bCs/>
          <w:kern w:val="0"/>
          <w:sz w:val="24"/>
          <w:szCs w:val="24"/>
          <w:highlight w:val="none"/>
        </w:rPr>
        <w:t>运行维护</w:t>
      </w:r>
      <w:r>
        <w:rPr>
          <w:rFonts w:hint="default" w:ascii="宋体" w:hAnsi="宋体" w:eastAsia="宋体" w:cs="Times New Roman"/>
          <w:kern w:val="0"/>
          <w:sz w:val="24"/>
          <w:szCs w:val="24"/>
          <w:highlight w:val="none"/>
        </w:rPr>
        <w:t>服务范围包括：各水站所有监测仪器、数据采集与传输设备、辅助设备、防雷、</w:t>
      </w:r>
      <w:r>
        <w:rPr>
          <w:rFonts w:hint="eastAsia" w:ascii="宋体" w:hAnsi="宋体" w:eastAsia="宋体" w:cs="Times New Roman"/>
          <w:kern w:val="0"/>
          <w:sz w:val="24"/>
          <w:szCs w:val="24"/>
          <w:highlight w:val="none"/>
        </w:rPr>
        <w:t>消防、</w:t>
      </w:r>
      <w:r>
        <w:rPr>
          <w:rFonts w:hint="default" w:ascii="宋体" w:hAnsi="宋体" w:eastAsia="宋体" w:cs="Times New Roman"/>
          <w:kern w:val="0"/>
          <w:sz w:val="24"/>
          <w:szCs w:val="24"/>
          <w:highlight w:val="none"/>
        </w:rPr>
        <w:t>通信网络等基础设施的日常维护、质量控制、故障维修、年度检修与预防性维护、检定，同时承担站房网络通讯费用、水电费及站房看护费用等。运维工作应接受</w:t>
      </w:r>
      <w:r>
        <w:rPr>
          <w:rFonts w:hint="eastAsia" w:ascii="宋体" w:hAnsi="宋体" w:eastAsia="宋体" w:cs="宋体"/>
          <w:bCs/>
          <w:color w:val="000000"/>
          <w:kern w:val="0"/>
          <w:sz w:val="24"/>
          <w:szCs w:val="24"/>
          <w:highlight w:val="none"/>
        </w:rPr>
        <w:t>徐州市丰县生态环境局、</w:t>
      </w:r>
      <w:r>
        <w:rPr>
          <w:rFonts w:hint="default" w:ascii="宋体" w:hAnsi="宋体" w:eastAsia="宋体" w:cs="Times New Roman"/>
          <w:kern w:val="0"/>
          <w:sz w:val="24"/>
          <w:szCs w:val="24"/>
          <w:highlight w:val="none"/>
        </w:rPr>
        <w:t>省驻市环境监测中心质量检查和考核，确保</w:t>
      </w:r>
      <w:r>
        <w:rPr>
          <w:rFonts w:hint="eastAsia" w:ascii="宋体" w:hAnsi="宋体" w:eastAsia="宋体" w:cs="Times New Roman"/>
          <w:kern w:val="0"/>
          <w:sz w:val="24"/>
          <w:szCs w:val="24"/>
          <w:highlight w:val="none"/>
        </w:rPr>
        <w:t>水站</w:t>
      </w:r>
      <w:r>
        <w:rPr>
          <w:rFonts w:hint="default" w:ascii="宋体" w:hAnsi="宋体" w:eastAsia="宋体" w:cs="Times New Roman"/>
          <w:kern w:val="0"/>
          <w:sz w:val="24"/>
          <w:szCs w:val="24"/>
          <w:highlight w:val="none"/>
        </w:rPr>
        <w:t>各项监测仪器正常稳定运行并与相关生态环境部门正常联网。</w:t>
      </w:r>
    </w:p>
    <w:p w14:paraId="1A1BCE79">
      <w:pPr>
        <w:spacing w:line="360" w:lineRule="auto"/>
        <w:jc w:val="both"/>
        <w:rPr>
          <w:rFonts w:hint="default" w:ascii="宋体" w:hAnsi="宋体" w:eastAsia="宋体" w:cs="Times New Roman"/>
          <w:kern w:val="0"/>
          <w:sz w:val="24"/>
          <w:szCs w:val="24"/>
          <w:highlight w:val="none"/>
        </w:rPr>
      </w:pPr>
      <w:r>
        <w:rPr>
          <w:rFonts w:hint="eastAsia" w:ascii="宋体" w:hAnsi="宋体" w:eastAsia="宋体" w:cs="Times New Roman"/>
          <w:bCs/>
          <w:kern w:val="0"/>
          <w:sz w:val="24"/>
          <w:szCs w:val="24"/>
          <w:highlight w:val="none"/>
          <w:lang w:val="en-US" w:eastAsia="zh-CN"/>
        </w:rPr>
        <w:t>2、</w:t>
      </w:r>
      <w:r>
        <w:rPr>
          <w:rFonts w:hint="eastAsia" w:ascii="宋体" w:hAnsi="宋体" w:eastAsia="宋体" w:cs="Times New Roman"/>
          <w:kern w:val="0"/>
          <w:sz w:val="24"/>
          <w:szCs w:val="24"/>
          <w:highlight w:val="none"/>
        </w:rPr>
        <w:t>具体站点情况</w:t>
      </w:r>
    </w:p>
    <w:p w14:paraId="75F183A8">
      <w:pPr>
        <w:tabs>
          <w:tab w:val="left" w:pos="2280"/>
        </w:tabs>
        <w:spacing w:line="360" w:lineRule="auto"/>
        <w:contextualSpacing/>
        <w:jc w:val="both"/>
        <w:rPr>
          <w:rFonts w:hint="default" w:ascii="Times New Roman" w:hAnsi="Times New Roman" w:eastAsia="宋体" w:cs="Times New Roman"/>
          <w:b/>
          <w:kern w:val="0"/>
          <w:sz w:val="24"/>
          <w:szCs w:val="24"/>
          <w:highlight w:val="none"/>
        </w:rPr>
      </w:pPr>
      <w:r>
        <w:rPr>
          <w:rFonts w:hint="eastAsia" w:ascii="宋体" w:hAnsi="宋体" w:eastAsia="宋体" w:cs="Times New Roman"/>
          <w:b/>
          <w:kern w:val="0"/>
          <w:sz w:val="24"/>
          <w:szCs w:val="24"/>
          <w:highlight w:val="none"/>
          <w:lang w:val="en-US" w:eastAsia="zh-CN"/>
        </w:rPr>
        <w:t>2.1具体</w:t>
      </w:r>
      <w:r>
        <w:rPr>
          <w:rFonts w:hint="eastAsia" w:ascii="宋体" w:hAnsi="宋体" w:eastAsia="宋体" w:cs="Times New Roman"/>
          <w:b/>
          <w:kern w:val="0"/>
          <w:sz w:val="24"/>
          <w:szCs w:val="24"/>
          <w:highlight w:val="none"/>
          <w:lang w:eastAsia="zh-CN"/>
        </w:rPr>
        <w:t>站点</w:t>
      </w:r>
      <w:r>
        <w:rPr>
          <w:rFonts w:hint="default" w:ascii="宋体" w:hAnsi="宋体" w:eastAsia="宋体" w:cs="Times New Roman"/>
          <w:b/>
          <w:kern w:val="0"/>
          <w:sz w:val="24"/>
          <w:szCs w:val="24"/>
          <w:highlight w:val="none"/>
        </w:rPr>
        <w:t>情况</w:t>
      </w:r>
    </w:p>
    <w:tbl>
      <w:tblPr>
        <w:tblStyle w:val="6"/>
        <w:tblW w:w="9567" w:type="dxa"/>
        <w:tblInd w:w="-176" w:type="dxa"/>
        <w:tblLayout w:type="fixed"/>
        <w:tblCellMar>
          <w:top w:w="15" w:type="dxa"/>
          <w:left w:w="108" w:type="dxa"/>
          <w:bottom w:w="15" w:type="dxa"/>
          <w:right w:w="108" w:type="dxa"/>
        </w:tblCellMar>
      </w:tblPr>
      <w:tblGrid>
        <w:gridCol w:w="744"/>
        <w:gridCol w:w="1487"/>
        <w:gridCol w:w="1428"/>
        <w:gridCol w:w="5908"/>
      </w:tblGrid>
      <w:tr w14:paraId="05F7D12A">
        <w:tblPrEx>
          <w:tblCellMar>
            <w:top w:w="15" w:type="dxa"/>
            <w:left w:w="108" w:type="dxa"/>
            <w:bottom w:w="15" w:type="dxa"/>
            <w:right w:w="108" w:type="dxa"/>
          </w:tblCellMar>
        </w:tblPrEx>
        <w:trPr>
          <w:trHeight w:val="27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18F8BFB9">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序号</w:t>
            </w:r>
          </w:p>
        </w:tc>
        <w:tc>
          <w:tcPr>
            <w:tcW w:w="1487" w:type="dxa"/>
            <w:tcBorders>
              <w:top w:val="single" w:color="auto" w:sz="4" w:space="0"/>
              <w:left w:val="single" w:color="auto" w:sz="4" w:space="0"/>
              <w:bottom w:val="single" w:color="auto" w:sz="4" w:space="0"/>
              <w:right w:val="single" w:color="auto" w:sz="4" w:space="0"/>
            </w:tcBorders>
            <w:noWrap w:val="0"/>
            <w:vAlign w:val="center"/>
          </w:tcPr>
          <w:p w14:paraId="64C0635A">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断面名称</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663FEB22">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河流（湖库）</w:t>
            </w:r>
          </w:p>
        </w:tc>
        <w:tc>
          <w:tcPr>
            <w:tcW w:w="5908" w:type="dxa"/>
            <w:tcBorders>
              <w:top w:val="single" w:color="auto" w:sz="4" w:space="0"/>
              <w:left w:val="single" w:color="auto" w:sz="4" w:space="0"/>
              <w:bottom w:val="single" w:color="auto" w:sz="4" w:space="0"/>
              <w:right w:val="single" w:color="auto" w:sz="4" w:space="0"/>
            </w:tcBorders>
            <w:noWrap w:val="0"/>
            <w:vAlign w:val="center"/>
          </w:tcPr>
          <w:p w14:paraId="2DD6B3B1">
            <w:pPr>
              <w:jc w:val="center"/>
              <w:rPr>
                <w:rFonts w:hint="default" w:ascii="Times New Roman" w:hAnsi="Times New Roman" w:eastAsia="宋体" w:cs="Times New Roman"/>
                <w:kern w:val="0"/>
                <w:sz w:val="21"/>
                <w:szCs w:val="24"/>
                <w:highlight w:val="none"/>
              </w:rPr>
            </w:pPr>
            <w:r>
              <w:rPr>
                <w:rFonts w:hint="eastAsia" w:ascii="Times New Roman" w:hAnsi="Times New Roman" w:eastAsia="宋体" w:cs="Times New Roman"/>
                <w:kern w:val="0"/>
                <w:sz w:val="21"/>
                <w:szCs w:val="24"/>
                <w:highlight w:val="none"/>
              </w:rPr>
              <w:t>运维参数</w:t>
            </w:r>
          </w:p>
        </w:tc>
      </w:tr>
      <w:tr w14:paraId="54B2576D">
        <w:tblPrEx>
          <w:tblCellMar>
            <w:top w:w="15" w:type="dxa"/>
            <w:left w:w="108" w:type="dxa"/>
            <w:bottom w:w="15" w:type="dxa"/>
            <w:right w:w="108" w:type="dxa"/>
          </w:tblCellMar>
        </w:tblPrEx>
        <w:trPr>
          <w:trHeight w:val="27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4112514A">
            <w:pPr>
              <w:jc w:val="center"/>
              <w:rPr>
                <w:rFonts w:hint="default" w:ascii="Times New Roman" w:hAnsi="Times New Roman" w:eastAsia="宋体" w:cs="Times New Roman"/>
                <w:kern w:val="0"/>
                <w:sz w:val="21"/>
                <w:szCs w:val="24"/>
                <w:highlight w:val="none"/>
              </w:rPr>
            </w:pPr>
            <w:r>
              <w:rPr>
                <w:rFonts w:hint="eastAsia" w:ascii="Times New Roman" w:hAnsi="Times New Roman" w:eastAsia="宋体" w:cs="Times New Roman"/>
                <w:kern w:val="0"/>
                <w:sz w:val="21"/>
                <w:szCs w:val="24"/>
                <w:highlight w:val="none"/>
              </w:rPr>
              <w:t>1</w:t>
            </w:r>
          </w:p>
        </w:tc>
        <w:tc>
          <w:tcPr>
            <w:tcW w:w="1487" w:type="dxa"/>
            <w:tcBorders>
              <w:top w:val="single" w:color="auto" w:sz="4" w:space="0"/>
              <w:left w:val="single" w:color="auto" w:sz="4" w:space="0"/>
              <w:bottom w:val="single" w:color="auto" w:sz="4" w:space="0"/>
              <w:right w:val="single" w:color="auto" w:sz="4" w:space="0"/>
            </w:tcBorders>
            <w:noWrap w:val="0"/>
            <w:vAlign w:val="center"/>
          </w:tcPr>
          <w:p w14:paraId="7E0CC0BD">
            <w:pPr>
              <w:jc w:val="center"/>
              <w:rPr>
                <w:rFonts w:hint="default" w:ascii="Times New Roman" w:hAnsi="Times New Roman" w:eastAsia="宋体" w:cs="Times New Roman"/>
                <w:kern w:val="0"/>
                <w:sz w:val="21"/>
                <w:szCs w:val="24"/>
                <w:highlight w:val="none"/>
              </w:rPr>
            </w:pPr>
            <w:r>
              <w:rPr>
                <w:rFonts w:hint="eastAsia" w:ascii="Times New Roman" w:hAnsi="Times New Roman" w:eastAsia="宋体" w:cs="Times New Roman"/>
                <w:kern w:val="0"/>
                <w:sz w:val="21"/>
                <w:szCs w:val="24"/>
                <w:highlight w:val="none"/>
              </w:rPr>
              <w:t>陈庄桥</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78D946A1">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大沙河</w:t>
            </w:r>
          </w:p>
        </w:tc>
        <w:tc>
          <w:tcPr>
            <w:tcW w:w="5908" w:type="dxa"/>
            <w:tcBorders>
              <w:top w:val="single" w:color="auto" w:sz="4" w:space="0"/>
              <w:left w:val="single" w:color="auto" w:sz="4" w:space="0"/>
              <w:bottom w:val="single" w:color="auto" w:sz="4" w:space="0"/>
              <w:right w:val="single" w:color="auto" w:sz="4" w:space="0"/>
            </w:tcBorders>
            <w:noWrap w:val="0"/>
            <w:vAlign w:val="center"/>
          </w:tcPr>
          <w:p w14:paraId="5D76DD2D">
            <w:pPr>
              <w:jc w:val="center"/>
              <w:rPr>
                <w:rFonts w:hint="default" w:ascii="Times New Roman" w:hAnsi="Times New Roman" w:eastAsia="宋体" w:cs="Times New Roman"/>
                <w:kern w:val="0"/>
                <w:sz w:val="21"/>
                <w:szCs w:val="24"/>
                <w:highlight w:val="none"/>
              </w:rPr>
            </w:pPr>
            <w:r>
              <w:rPr>
                <w:rFonts w:hint="eastAsia" w:ascii="宋体" w:hAnsi="宋体" w:eastAsia="宋体" w:cs="宋体"/>
                <w:kern w:val="0"/>
                <w:sz w:val="20"/>
                <w:szCs w:val="20"/>
                <w:highlight w:val="none"/>
              </w:rPr>
              <w:t>水温、pH、溶解氧、电导率、浊度、高锰酸盐指数、氨氮、总磷</w:t>
            </w:r>
          </w:p>
        </w:tc>
      </w:tr>
      <w:tr w14:paraId="596B5CFB">
        <w:tblPrEx>
          <w:tblCellMar>
            <w:top w:w="15" w:type="dxa"/>
            <w:left w:w="108" w:type="dxa"/>
            <w:bottom w:w="15" w:type="dxa"/>
            <w:right w:w="108" w:type="dxa"/>
          </w:tblCellMar>
        </w:tblPrEx>
        <w:trPr>
          <w:trHeight w:val="27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048B6EBB">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2</w:t>
            </w:r>
          </w:p>
        </w:tc>
        <w:tc>
          <w:tcPr>
            <w:tcW w:w="1487" w:type="dxa"/>
            <w:tcBorders>
              <w:top w:val="single" w:color="auto" w:sz="4" w:space="0"/>
              <w:left w:val="single" w:color="auto" w:sz="4" w:space="0"/>
              <w:bottom w:val="single" w:color="auto" w:sz="4" w:space="0"/>
              <w:right w:val="single" w:color="auto" w:sz="4" w:space="0"/>
            </w:tcBorders>
            <w:noWrap w:val="0"/>
            <w:vAlign w:val="center"/>
          </w:tcPr>
          <w:p w14:paraId="5A5BC752">
            <w:pPr>
              <w:jc w:val="center"/>
              <w:rPr>
                <w:rFonts w:hint="default" w:ascii="Times New Roman" w:hAnsi="Times New Roman" w:eastAsia="宋体" w:cs="Times New Roman"/>
                <w:kern w:val="0"/>
                <w:sz w:val="21"/>
                <w:szCs w:val="24"/>
                <w:highlight w:val="none"/>
              </w:rPr>
            </w:pPr>
            <w:r>
              <w:rPr>
                <w:rFonts w:hint="eastAsia" w:ascii="Times New Roman" w:hAnsi="Times New Roman" w:eastAsia="宋体" w:cs="Times New Roman"/>
                <w:kern w:val="0"/>
                <w:sz w:val="21"/>
                <w:szCs w:val="24"/>
                <w:highlight w:val="none"/>
              </w:rPr>
              <w:t>蔺屯涵洞</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30474D21">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太行堤河</w:t>
            </w:r>
          </w:p>
        </w:tc>
        <w:tc>
          <w:tcPr>
            <w:tcW w:w="5908" w:type="dxa"/>
            <w:tcBorders>
              <w:top w:val="single" w:color="auto" w:sz="4" w:space="0"/>
              <w:left w:val="single" w:color="auto" w:sz="4" w:space="0"/>
              <w:bottom w:val="single" w:color="auto" w:sz="4" w:space="0"/>
              <w:right w:val="single" w:color="auto" w:sz="4" w:space="0"/>
            </w:tcBorders>
            <w:noWrap w:val="0"/>
            <w:vAlign w:val="center"/>
          </w:tcPr>
          <w:p w14:paraId="4F6EEB27">
            <w:pPr>
              <w:jc w:val="center"/>
              <w:rPr>
                <w:rFonts w:hint="default" w:ascii="Times New Roman" w:hAnsi="Times New Roman" w:eastAsia="宋体" w:cs="Times New Roman"/>
                <w:kern w:val="0"/>
                <w:sz w:val="21"/>
                <w:szCs w:val="24"/>
                <w:highlight w:val="none"/>
              </w:rPr>
            </w:pPr>
            <w:r>
              <w:rPr>
                <w:rFonts w:hint="eastAsia" w:ascii="宋体" w:hAnsi="宋体" w:eastAsia="宋体" w:cs="宋体"/>
                <w:kern w:val="0"/>
                <w:sz w:val="20"/>
                <w:szCs w:val="20"/>
                <w:highlight w:val="none"/>
              </w:rPr>
              <w:t>水温、pH、溶解氧、电导率、浊度、高锰酸盐指数、氨氮、总磷</w:t>
            </w:r>
          </w:p>
        </w:tc>
      </w:tr>
      <w:tr w14:paraId="0B2C13C3">
        <w:tblPrEx>
          <w:tblCellMar>
            <w:top w:w="15" w:type="dxa"/>
            <w:left w:w="108" w:type="dxa"/>
            <w:bottom w:w="15" w:type="dxa"/>
            <w:right w:w="108" w:type="dxa"/>
          </w:tblCellMar>
        </w:tblPrEx>
        <w:trPr>
          <w:trHeight w:val="27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10213197">
            <w:pPr>
              <w:jc w:val="center"/>
              <w:rPr>
                <w:rFonts w:hint="default" w:ascii="Times New Roman" w:hAnsi="Times New Roman" w:eastAsia="宋体" w:cs="Times New Roman"/>
                <w:kern w:val="0"/>
                <w:sz w:val="21"/>
                <w:szCs w:val="24"/>
                <w:highlight w:val="none"/>
              </w:rPr>
            </w:pPr>
            <w:r>
              <w:rPr>
                <w:rFonts w:hint="eastAsia" w:ascii="Times New Roman" w:hAnsi="Times New Roman" w:eastAsia="宋体" w:cs="Times New Roman"/>
                <w:kern w:val="0"/>
                <w:sz w:val="21"/>
                <w:szCs w:val="24"/>
                <w:highlight w:val="none"/>
              </w:rPr>
              <w:t>3</w:t>
            </w:r>
          </w:p>
        </w:tc>
        <w:tc>
          <w:tcPr>
            <w:tcW w:w="1487" w:type="dxa"/>
            <w:tcBorders>
              <w:top w:val="single" w:color="auto" w:sz="4" w:space="0"/>
              <w:left w:val="single" w:color="auto" w:sz="4" w:space="0"/>
              <w:bottom w:val="single" w:color="auto" w:sz="4" w:space="0"/>
              <w:right w:val="single" w:color="auto" w:sz="4" w:space="0"/>
            </w:tcBorders>
            <w:noWrap w:val="0"/>
            <w:vAlign w:val="center"/>
          </w:tcPr>
          <w:p w14:paraId="0161352F">
            <w:pPr>
              <w:jc w:val="center"/>
              <w:rPr>
                <w:rFonts w:hint="default" w:ascii="Times New Roman" w:hAnsi="Times New Roman" w:eastAsia="宋体" w:cs="Times New Roman"/>
                <w:kern w:val="0"/>
                <w:sz w:val="21"/>
                <w:szCs w:val="24"/>
                <w:highlight w:val="none"/>
              </w:rPr>
            </w:pPr>
            <w:r>
              <w:rPr>
                <w:rFonts w:hint="eastAsia" w:ascii="Times New Roman" w:hAnsi="Times New Roman" w:eastAsia="宋体" w:cs="Times New Roman"/>
                <w:kern w:val="0"/>
                <w:sz w:val="21"/>
                <w:szCs w:val="24"/>
                <w:highlight w:val="none"/>
              </w:rPr>
              <w:t>小陈庄</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21697CF3">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复新河</w:t>
            </w:r>
          </w:p>
        </w:tc>
        <w:tc>
          <w:tcPr>
            <w:tcW w:w="5908" w:type="dxa"/>
            <w:tcBorders>
              <w:top w:val="single" w:color="auto" w:sz="4" w:space="0"/>
              <w:left w:val="single" w:color="auto" w:sz="4" w:space="0"/>
              <w:bottom w:val="single" w:color="auto" w:sz="4" w:space="0"/>
              <w:right w:val="single" w:color="auto" w:sz="4" w:space="0"/>
            </w:tcBorders>
            <w:noWrap w:val="0"/>
            <w:vAlign w:val="center"/>
          </w:tcPr>
          <w:p w14:paraId="648ED006">
            <w:pPr>
              <w:jc w:val="center"/>
              <w:rPr>
                <w:rFonts w:hint="default" w:ascii="Times New Roman" w:hAnsi="Times New Roman" w:eastAsia="宋体" w:cs="Times New Roman"/>
                <w:kern w:val="0"/>
                <w:sz w:val="21"/>
                <w:szCs w:val="24"/>
                <w:highlight w:val="none"/>
              </w:rPr>
            </w:pPr>
            <w:r>
              <w:rPr>
                <w:rFonts w:hint="eastAsia" w:ascii="宋体" w:hAnsi="宋体" w:eastAsia="宋体" w:cs="宋体"/>
                <w:kern w:val="0"/>
                <w:sz w:val="20"/>
                <w:szCs w:val="20"/>
                <w:highlight w:val="none"/>
              </w:rPr>
              <w:t>水温、pH、溶解氧、电导率、浊度、高锰酸盐指数、氨氮、总磷</w:t>
            </w:r>
          </w:p>
        </w:tc>
      </w:tr>
      <w:tr w14:paraId="5456D2E4">
        <w:tblPrEx>
          <w:tblCellMar>
            <w:top w:w="15" w:type="dxa"/>
            <w:left w:w="108" w:type="dxa"/>
            <w:bottom w:w="15" w:type="dxa"/>
            <w:right w:w="108" w:type="dxa"/>
          </w:tblCellMar>
        </w:tblPrEx>
        <w:trPr>
          <w:trHeight w:val="27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60E2F026">
            <w:pPr>
              <w:jc w:val="center"/>
              <w:rPr>
                <w:rFonts w:hint="default" w:ascii="Times New Roman" w:hAnsi="Times New Roman" w:eastAsia="宋体" w:cs="Times New Roman"/>
                <w:kern w:val="0"/>
                <w:sz w:val="21"/>
                <w:szCs w:val="24"/>
                <w:highlight w:val="none"/>
              </w:rPr>
            </w:pPr>
            <w:r>
              <w:rPr>
                <w:rFonts w:hint="eastAsia" w:ascii="Times New Roman" w:hAnsi="Times New Roman" w:eastAsia="宋体" w:cs="Times New Roman"/>
                <w:kern w:val="0"/>
                <w:sz w:val="21"/>
                <w:szCs w:val="24"/>
                <w:highlight w:val="none"/>
              </w:rPr>
              <w:t>4</w:t>
            </w:r>
          </w:p>
        </w:tc>
        <w:tc>
          <w:tcPr>
            <w:tcW w:w="1487" w:type="dxa"/>
            <w:tcBorders>
              <w:top w:val="single" w:color="auto" w:sz="4" w:space="0"/>
              <w:left w:val="single" w:color="auto" w:sz="4" w:space="0"/>
              <w:bottom w:val="single" w:color="auto" w:sz="4" w:space="0"/>
              <w:right w:val="single" w:color="auto" w:sz="4" w:space="0"/>
            </w:tcBorders>
            <w:noWrap w:val="0"/>
            <w:vAlign w:val="center"/>
          </w:tcPr>
          <w:p w14:paraId="43F524B7">
            <w:pPr>
              <w:jc w:val="center"/>
              <w:rPr>
                <w:rFonts w:hint="default" w:ascii="Times New Roman" w:hAnsi="Times New Roman" w:eastAsia="宋体" w:cs="Times New Roman"/>
                <w:kern w:val="0"/>
                <w:sz w:val="21"/>
                <w:szCs w:val="24"/>
                <w:highlight w:val="none"/>
              </w:rPr>
            </w:pPr>
            <w:r>
              <w:rPr>
                <w:rFonts w:hint="eastAsia" w:ascii="Times New Roman" w:hAnsi="Times New Roman" w:eastAsia="宋体" w:cs="Times New Roman"/>
                <w:kern w:val="0"/>
                <w:sz w:val="21"/>
                <w:szCs w:val="24"/>
                <w:highlight w:val="none"/>
              </w:rPr>
              <w:t>孙庄</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427F90F4">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复新河</w:t>
            </w:r>
          </w:p>
        </w:tc>
        <w:tc>
          <w:tcPr>
            <w:tcW w:w="5908" w:type="dxa"/>
            <w:tcBorders>
              <w:top w:val="single" w:color="auto" w:sz="4" w:space="0"/>
              <w:left w:val="single" w:color="auto" w:sz="4" w:space="0"/>
              <w:bottom w:val="single" w:color="auto" w:sz="4" w:space="0"/>
              <w:right w:val="single" w:color="auto" w:sz="4" w:space="0"/>
            </w:tcBorders>
            <w:noWrap w:val="0"/>
            <w:vAlign w:val="center"/>
          </w:tcPr>
          <w:p w14:paraId="17DE1711">
            <w:pPr>
              <w:jc w:val="center"/>
              <w:rPr>
                <w:rFonts w:hint="default" w:ascii="Times New Roman" w:hAnsi="Times New Roman" w:eastAsia="宋体" w:cs="Times New Roman"/>
                <w:kern w:val="0"/>
                <w:sz w:val="21"/>
                <w:szCs w:val="24"/>
                <w:highlight w:val="none"/>
              </w:rPr>
            </w:pPr>
            <w:r>
              <w:rPr>
                <w:rFonts w:hint="eastAsia" w:ascii="宋体" w:hAnsi="宋体" w:eastAsia="宋体" w:cs="宋体"/>
                <w:kern w:val="0"/>
                <w:sz w:val="20"/>
                <w:szCs w:val="20"/>
                <w:highlight w:val="none"/>
              </w:rPr>
              <w:t>水温、pH、溶解氧、电导率、浊度、高锰酸盐指数、氨氮、总磷</w:t>
            </w:r>
          </w:p>
        </w:tc>
      </w:tr>
      <w:tr w14:paraId="05DD0252">
        <w:tblPrEx>
          <w:tblCellMar>
            <w:top w:w="15" w:type="dxa"/>
            <w:left w:w="108" w:type="dxa"/>
            <w:bottom w:w="15" w:type="dxa"/>
            <w:right w:w="108" w:type="dxa"/>
          </w:tblCellMar>
        </w:tblPrEx>
        <w:trPr>
          <w:trHeight w:val="27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1DF46791">
            <w:pPr>
              <w:jc w:val="center"/>
              <w:rPr>
                <w:rFonts w:hint="default" w:ascii="Times New Roman" w:hAnsi="Times New Roman" w:eastAsia="宋体" w:cs="Times New Roman"/>
                <w:kern w:val="0"/>
                <w:sz w:val="21"/>
                <w:szCs w:val="24"/>
                <w:highlight w:val="none"/>
              </w:rPr>
            </w:pPr>
            <w:r>
              <w:rPr>
                <w:rFonts w:hint="eastAsia" w:ascii="Times New Roman" w:hAnsi="Times New Roman" w:eastAsia="宋体" w:cs="Times New Roman"/>
                <w:kern w:val="0"/>
                <w:sz w:val="21"/>
                <w:szCs w:val="24"/>
                <w:highlight w:val="none"/>
              </w:rPr>
              <w:t>5</w:t>
            </w:r>
          </w:p>
        </w:tc>
        <w:tc>
          <w:tcPr>
            <w:tcW w:w="1487" w:type="dxa"/>
            <w:tcBorders>
              <w:top w:val="single" w:color="auto" w:sz="4" w:space="0"/>
              <w:left w:val="single" w:color="auto" w:sz="4" w:space="0"/>
              <w:bottom w:val="single" w:color="auto" w:sz="4" w:space="0"/>
              <w:right w:val="single" w:color="auto" w:sz="4" w:space="0"/>
            </w:tcBorders>
            <w:noWrap w:val="0"/>
            <w:vAlign w:val="center"/>
          </w:tcPr>
          <w:p w14:paraId="591C56E0">
            <w:pPr>
              <w:jc w:val="center"/>
              <w:rPr>
                <w:rFonts w:hint="default" w:ascii="Times New Roman" w:hAnsi="Times New Roman" w:eastAsia="宋体" w:cs="Times New Roman"/>
                <w:kern w:val="0"/>
                <w:sz w:val="21"/>
                <w:szCs w:val="24"/>
                <w:highlight w:val="none"/>
              </w:rPr>
            </w:pPr>
            <w:r>
              <w:rPr>
                <w:rFonts w:hint="eastAsia" w:ascii="Times New Roman" w:hAnsi="Times New Roman" w:eastAsia="宋体" w:cs="Times New Roman"/>
                <w:kern w:val="0"/>
                <w:sz w:val="21"/>
                <w:szCs w:val="24"/>
                <w:highlight w:val="none"/>
              </w:rPr>
              <w:t>丰城闸桥</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1CD9F309">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复新河</w:t>
            </w:r>
          </w:p>
        </w:tc>
        <w:tc>
          <w:tcPr>
            <w:tcW w:w="5908" w:type="dxa"/>
            <w:tcBorders>
              <w:top w:val="single" w:color="auto" w:sz="4" w:space="0"/>
              <w:left w:val="single" w:color="auto" w:sz="4" w:space="0"/>
              <w:bottom w:val="single" w:color="auto" w:sz="4" w:space="0"/>
              <w:right w:val="single" w:color="auto" w:sz="4" w:space="0"/>
            </w:tcBorders>
            <w:noWrap w:val="0"/>
            <w:vAlign w:val="center"/>
          </w:tcPr>
          <w:p w14:paraId="66B2D01B">
            <w:pPr>
              <w:jc w:val="center"/>
              <w:rPr>
                <w:rFonts w:hint="default" w:ascii="Times New Roman" w:hAnsi="Times New Roman" w:eastAsia="宋体" w:cs="Times New Roman"/>
                <w:kern w:val="0"/>
                <w:sz w:val="21"/>
                <w:szCs w:val="24"/>
                <w:highlight w:val="none"/>
              </w:rPr>
            </w:pPr>
            <w:r>
              <w:rPr>
                <w:rFonts w:hint="eastAsia" w:ascii="宋体" w:hAnsi="宋体" w:eastAsia="宋体" w:cs="宋体"/>
                <w:kern w:val="0"/>
                <w:sz w:val="20"/>
                <w:szCs w:val="20"/>
                <w:highlight w:val="none"/>
              </w:rPr>
              <w:t>水温、pH、溶解氧、电导率、浊度、高锰酸盐指数、氨氮、总磷</w:t>
            </w:r>
          </w:p>
        </w:tc>
      </w:tr>
      <w:tr w14:paraId="7883A5E2">
        <w:tblPrEx>
          <w:tblCellMar>
            <w:top w:w="15" w:type="dxa"/>
            <w:left w:w="108" w:type="dxa"/>
            <w:bottom w:w="15" w:type="dxa"/>
            <w:right w:w="108" w:type="dxa"/>
          </w:tblCellMar>
        </w:tblPrEx>
        <w:trPr>
          <w:trHeight w:val="27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506D4175">
            <w:pPr>
              <w:jc w:val="center"/>
              <w:rPr>
                <w:rFonts w:hint="eastAsia" w:ascii="Times New Roman" w:hAnsi="Times New Roman" w:eastAsia="宋体" w:cs="Times New Roman"/>
                <w:kern w:val="0"/>
                <w:sz w:val="21"/>
                <w:szCs w:val="24"/>
                <w:highlight w:val="none"/>
                <w:lang w:val="en-US" w:eastAsia="zh-CN"/>
              </w:rPr>
            </w:pPr>
            <w:r>
              <w:rPr>
                <w:rFonts w:hint="eastAsia" w:cs="Times New Roman"/>
                <w:kern w:val="0"/>
                <w:sz w:val="21"/>
                <w:szCs w:val="24"/>
                <w:highlight w:val="none"/>
                <w:lang w:val="en-US" w:eastAsia="zh-CN"/>
              </w:rPr>
              <w:t>6</w:t>
            </w:r>
          </w:p>
        </w:tc>
        <w:tc>
          <w:tcPr>
            <w:tcW w:w="14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D37776">
            <w:pPr>
              <w:jc w:val="center"/>
              <w:rPr>
                <w:rFonts w:hint="eastAsia" w:ascii="Times New Roman" w:hAnsi="Times New Roman" w:eastAsia="宋体" w:cs="Times New Roman"/>
                <w:kern w:val="0"/>
                <w:sz w:val="21"/>
                <w:szCs w:val="24"/>
                <w:highlight w:val="none"/>
                <w:lang w:val="en-US" w:eastAsia="zh-CN" w:bidi="ar-SA"/>
              </w:rPr>
            </w:pPr>
            <w:r>
              <w:rPr>
                <w:rFonts w:hint="eastAsia" w:ascii="Times New Roman" w:hAnsi="Times New Roman" w:eastAsia="宋体" w:cs="Times New Roman"/>
                <w:kern w:val="0"/>
                <w:sz w:val="21"/>
                <w:szCs w:val="24"/>
                <w:highlight w:val="none"/>
              </w:rPr>
              <w:t>范楼闸</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8852E8">
            <w:pPr>
              <w:jc w:val="center"/>
              <w:rPr>
                <w:rFonts w:hint="default"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rPr>
              <w:t>大沙河</w:t>
            </w:r>
          </w:p>
        </w:tc>
        <w:tc>
          <w:tcPr>
            <w:tcW w:w="5908" w:type="dxa"/>
            <w:tcBorders>
              <w:top w:val="single" w:color="auto" w:sz="4" w:space="0"/>
              <w:left w:val="single" w:color="auto" w:sz="4" w:space="0"/>
              <w:bottom w:val="single" w:color="auto" w:sz="4" w:space="0"/>
              <w:right w:val="single" w:color="auto" w:sz="4" w:space="0"/>
            </w:tcBorders>
            <w:noWrap w:val="0"/>
            <w:vAlign w:val="center"/>
          </w:tcPr>
          <w:p w14:paraId="51BA7A90">
            <w:pPr>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温、pH、溶解氧、电导率、浊度、高锰酸盐指数、氨氮、总磷</w:t>
            </w:r>
          </w:p>
        </w:tc>
      </w:tr>
      <w:tr w14:paraId="3C66C904">
        <w:tblPrEx>
          <w:tblCellMar>
            <w:top w:w="15" w:type="dxa"/>
            <w:left w:w="108" w:type="dxa"/>
            <w:bottom w:w="15" w:type="dxa"/>
            <w:right w:w="108" w:type="dxa"/>
          </w:tblCellMar>
        </w:tblPrEx>
        <w:trPr>
          <w:trHeight w:val="27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4A223C25">
            <w:pPr>
              <w:jc w:val="center"/>
              <w:rPr>
                <w:rFonts w:hint="eastAsia" w:ascii="Times New Roman" w:hAnsi="Times New Roman" w:eastAsia="宋体" w:cs="Times New Roman"/>
                <w:kern w:val="0"/>
                <w:sz w:val="21"/>
                <w:szCs w:val="24"/>
                <w:highlight w:val="none"/>
                <w:lang w:eastAsia="zh-CN"/>
              </w:rPr>
            </w:pPr>
            <w:r>
              <w:rPr>
                <w:rFonts w:hint="eastAsia" w:cs="Times New Roman"/>
                <w:kern w:val="0"/>
                <w:sz w:val="21"/>
                <w:szCs w:val="24"/>
                <w:highlight w:val="none"/>
                <w:lang w:val="en-US" w:eastAsia="zh-CN"/>
              </w:rPr>
              <w:t>7</w:t>
            </w:r>
          </w:p>
        </w:tc>
        <w:tc>
          <w:tcPr>
            <w:tcW w:w="1487" w:type="dxa"/>
            <w:tcBorders>
              <w:top w:val="single" w:color="auto" w:sz="4" w:space="0"/>
              <w:left w:val="single" w:color="auto" w:sz="4" w:space="0"/>
              <w:bottom w:val="single" w:color="auto" w:sz="4" w:space="0"/>
              <w:right w:val="single" w:color="auto" w:sz="4" w:space="0"/>
            </w:tcBorders>
            <w:noWrap w:val="0"/>
            <w:vAlign w:val="center"/>
          </w:tcPr>
          <w:p w14:paraId="29DB8386">
            <w:pPr>
              <w:jc w:val="center"/>
              <w:rPr>
                <w:rFonts w:hint="default" w:ascii="Times New Roman" w:hAnsi="Times New Roman" w:eastAsia="宋体" w:cs="Times New Roman"/>
                <w:kern w:val="0"/>
                <w:sz w:val="21"/>
                <w:szCs w:val="24"/>
                <w:highlight w:val="none"/>
              </w:rPr>
            </w:pPr>
            <w:r>
              <w:rPr>
                <w:rFonts w:hint="eastAsia" w:ascii="Times New Roman" w:hAnsi="Times New Roman" w:eastAsia="宋体" w:cs="Times New Roman"/>
                <w:kern w:val="0"/>
                <w:sz w:val="21"/>
                <w:szCs w:val="24"/>
                <w:highlight w:val="none"/>
              </w:rPr>
              <w:t>草庙水源地</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58FCD9A9">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大沙河</w:t>
            </w:r>
          </w:p>
        </w:tc>
        <w:tc>
          <w:tcPr>
            <w:tcW w:w="5908" w:type="dxa"/>
            <w:tcBorders>
              <w:top w:val="single" w:color="auto" w:sz="4" w:space="0"/>
              <w:left w:val="single" w:color="auto" w:sz="4" w:space="0"/>
              <w:bottom w:val="single" w:color="auto" w:sz="4" w:space="0"/>
              <w:right w:val="single" w:color="auto" w:sz="4" w:space="0"/>
            </w:tcBorders>
            <w:noWrap w:val="0"/>
            <w:vAlign w:val="center"/>
          </w:tcPr>
          <w:p w14:paraId="6102B934">
            <w:pPr>
              <w:jc w:val="center"/>
              <w:rPr>
                <w:rFonts w:hint="default" w:ascii="Times New Roman" w:hAnsi="Times New Roman" w:eastAsia="宋体" w:cs="Times New Roman"/>
                <w:kern w:val="0"/>
                <w:sz w:val="21"/>
                <w:szCs w:val="24"/>
                <w:highlight w:val="none"/>
              </w:rPr>
            </w:pPr>
            <w:r>
              <w:rPr>
                <w:rFonts w:hint="eastAsia" w:ascii="Times New Roman" w:hAnsi="Times New Roman" w:eastAsia="宋体" w:cs="Times New Roman"/>
                <w:kern w:val="0"/>
                <w:sz w:val="21"/>
                <w:szCs w:val="24"/>
                <w:highlight w:val="none"/>
              </w:rPr>
              <w:t>2参数（挥发酚、挥发性有机物）</w:t>
            </w:r>
          </w:p>
        </w:tc>
      </w:tr>
    </w:tbl>
    <w:p w14:paraId="14F00103">
      <w:pPr>
        <w:tabs>
          <w:tab w:val="left" w:pos="2280"/>
        </w:tabs>
        <w:spacing w:line="360" w:lineRule="auto"/>
        <w:contextualSpacing/>
        <w:jc w:val="both"/>
        <w:rPr>
          <w:rFonts w:hint="default" w:ascii="Times New Roman" w:hAnsi="Times New Roman" w:eastAsia="宋体" w:cs="Times New Roman"/>
          <w:b/>
          <w:kern w:val="0"/>
          <w:sz w:val="24"/>
          <w:szCs w:val="24"/>
          <w:highlight w:val="none"/>
        </w:rPr>
      </w:pPr>
      <w:r>
        <w:rPr>
          <w:rFonts w:hint="eastAsia" w:ascii="宋体" w:hAnsi="宋体" w:eastAsia="宋体" w:cs="Times New Roman"/>
          <w:b/>
          <w:kern w:val="0"/>
          <w:sz w:val="24"/>
          <w:szCs w:val="24"/>
          <w:highlight w:val="none"/>
          <w:lang w:val="en-US" w:eastAsia="zh-CN"/>
        </w:rPr>
        <w:t>2.2</w:t>
      </w:r>
      <w:r>
        <w:rPr>
          <w:rFonts w:hint="default" w:ascii="宋体" w:hAnsi="宋体" w:eastAsia="宋体" w:cs="Times New Roman"/>
          <w:b/>
          <w:kern w:val="0"/>
          <w:sz w:val="24"/>
          <w:szCs w:val="24"/>
          <w:highlight w:val="none"/>
        </w:rPr>
        <w:t>设备和设施</w:t>
      </w:r>
    </w:p>
    <w:p w14:paraId="3C628EC9">
      <w:pPr>
        <w:tabs>
          <w:tab w:val="left" w:pos="2280"/>
        </w:tabs>
        <w:spacing w:line="560" w:lineRule="exact"/>
        <w:ind w:firstLine="480"/>
        <w:contextualSpacing/>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运维单位负责运维的设备主要包括监测仪器、数据采集与传输设备和辅助设备设施等。其中，监测仪器主要包括：水温、pH、溶解氧、电导率、浊度、高锰酸盐指数、氨氮、总磷</w:t>
      </w:r>
      <w:r>
        <w:rPr>
          <w:rFonts w:hint="eastAsia" w:ascii="宋体" w:hAnsi="宋体" w:eastAsia="宋体" w:cs="Times New Roman"/>
          <w:kern w:val="0"/>
          <w:sz w:val="24"/>
          <w:szCs w:val="24"/>
          <w:highlight w:val="none"/>
        </w:rPr>
        <w:t>八</w:t>
      </w:r>
      <w:r>
        <w:rPr>
          <w:rFonts w:hint="default" w:ascii="宋体" w:hAnsi="宋体" w:eastAsia="宋体" w:cs="Times New Roman"/>
          <w:kern w:val="0"/>
          <w:sz w:val="24"/>
          <w:szCs w:val="24"/>
          <w:highlight w:val="none"/>
        </w:rPr>
        <w:t>项参数辅助设备设施主要包括UPS、供电系统、通讯系统、防雷系统、视频监控系统、安防设施等。</w:t>
      </w:r>
      <w:bookmarkStart w:id="0" w:name="_Toc455153179"/>
    </w:p>
    <w:p w14:paraId="7C445766">
      <w:pPr>
        <w:tabs>
          <w:tab w:val="left" w:pos="2280"/>
        </w:tabs>
        <w:spacing w:line="560" w:lineRule="exact"/>
        <w:contextualSpacing/>
        <w:jc w:val="both"/>
        <w:rPr>
          <w:rFonts w:hint="default" w:ascii="Times New Roman" w:hAnsi="Times New Roman" w:eastAsia="宋体" w:cs="Times New Roman"/>
          <w:b/>
          <w:kern w:val="0"/>
          <w:sz w:val="24"/>
          <w:szCs w:val="24"/>
          <w:highlight w:val="none"/>
        </w:rPr>
      </w:pPr>
      <w:r>
        <w:rPr>
          <w:rFonts w:hint="eastAsia" w:ascii="宋体" w:hAnsi="宋体" w:eastAsia="宋体" w:cs="Times New Roman"/>
          <w:b/>
          <w:kern w:val="0"/>
          <w:sz w:val="24"/>
          <w:szCs w:val="24"/>
          <w:highlight w:val="none"/>
          <w:lang w:val="en-US" w:eastAsia="zh-CN"/>
        </w:rPr>
        <w:t>3、</w:t>
      </w:r>
      <w:r>
        <w:rPr>
          <w:rFonts w:hint="default" w:ascii="宋体" w:hAnsi="宋体" w:eastAsia="宋体" w:cs="Times New Roman"/>
          <w:b/>
          <w:kern w:val="0"/>
          <w:sz w:val="24"/>
          <w:szCs w:val="24"/>
          <w:highlight w:val="none"/>
        </w:rPr>
        <w:t>运行维护要求</w:t>
      </w:r>
      <w:bookmarkEnd w:id="0"/>
    </w:p>
    <w:p w14:paraId="5DC2AE17">
      <w:pPr>
        <w:tabs>
          <w:tab w:val="left" w:pos="2280"/>
        </w:tabs>
        <w:spacing w:line="560" w:lineRule="exact"/>
        <w:ind w:firstLine="241"/>
        <w:contextualSpacing/>
        <w:jc w:val="both"/>
        <w:rPr>
          <w:rFonts w:hint="default" w:ascii="Times New Roman" w:hAnsi="Times New Roman" w:eastAsia="宋体" w:cs="Times New Roman"/>
          <w:b/>
          <w:kern w:val="0"/>
          <w:sz w:val="24"/>
          <w:szCs w:val="24"/>
          <w:highlight w:val="none"/>
        </w:rPr>
      </w:pPr>
      <w:r>
        <w:rPr>
          <w:rFonts w:hint="eastAsia" w:ascii="宋体" w:hAnsi="宋体" w:eastAsia="宋体" w:cs="Times New Roman"/>
          <w:b/>
          <w:kern w:val="0"/>
          <w:sz w:val="24"/>
          <w:szCs w:val="24"/>
          <w:highlight w:val="none"/>
          <w:lang w:val="en-US" w:eastAsia="zh-CN"/>
        </w:rPr>
        <w:t>3.1</w:t>
      </w:r>
      <w:r>
        <w:rPr>
          <w:rFonts w:hint="default" w:ascii="宋体" w:hAnsi="宋体" w:eastAsia="宋体" w:cs="Times New Roman"/>
          <w:b/>
          <w:kern w:val="0"/>
          <w:sz w:val="24"/>
          <w:szCs w:val="24"/>
          <w:highlight w:val="none"/>
        </w:rPr>
        <w:t>总体要求</w:t>
      </w:r>
    </w:p>
    <w:p w14:paraId="014DB71E">
      <w:pPr>
        <w:tabs>
          <w:tab w:val="left" w:pos="2280"/>
        </w:tabs>
        <w:spacing w:line="560" w:lineRule="exact"/>
        <w:ind w:firstLine="240"/>
        <w:contextualSpacing/>
        <w:jc w:val="both"/>
        <w:rPr>
          <w:rFonts w:hint="default" w:ascii="Times New Roman" w:hAnsi="Times New Roman" w:eastAsia="宋体" w:cs="Times New Roman"/>
          <w:iCs/>
          <w:kern w:val="0"/>
          <w:sz w:val="24"/>
          <w:szCs w:val="24"/>
          <w:highlight w:val="none"/>
        </w:rPr>
      </w:pPr>
      <w:r>
        <w:rPr>
          <w:rFonts w:hint="eastAsia" w:ascii="宋体" w:hAnsi="宋体" w:eastAsia="宋体" w:cs="Times New Roman"/>
          <w:iCs/>
          <w:kern w:val="0"/>
          <w:sz w:val="24"/>
          <w:szCs w:val="24"/>
          <w:highlight w:val="none"/>
          <w:lang w:val="en-US" w:eastAsia="zh-CN"/>
        </w:rPr>
        <w:t>3.1.1</w:t>
      </w:r>
      <w:r>
        <w:rPr>
          <w:rFonts w:hint="eastAsia" w:ascii="宋体" w:hAnsi="宋体" w:eastAsia="宋体" w:cs="Times New Roman"/>
          <w:iCs/>
          <w:kern w:val="0"/>
          <w:sz w:val="24"/>
          <w:szCs w:val="24"/>
          <w:highlight w:val="none"/>
        </w:rPr>
        <w:t>应有足够的</w:t>
      </w:r>
      <w:r>
        <w:rPr>
          <w:rFonts w:hint="default" w:ascii="宋体" w:hAnsi="宋体" w:eastAsia="宋体" w:cs="Times New Roman"/>
          <w:iCs/>
          <w:kern w:val="0"/>
          <w:sz w:val="24"/>
          <w:szCs w:val="24"/>
          <w:highlight w:val="none"/>
        </w:rPr>
        <w:t>资金</w:t>
      </w:r>
      <w:r>
        <w:rPr>
          <w:rFonts w:hint="eastAsia" w:ascii="宋体" w:hAnsi="宋体" w:eastAsia="宋体" w:cs="Times New Roman"/>
          <w:iCs/>
          <w:kern w:val="0"/>
          <w:sz w:val="24"/>
          <w:szCs w:val="24"/>
          <w:highlight w:val="none"/>
        </w:rPr>
        <w:t>保障</w:t>
      </w:r>
      <w:r>
        <w:rPr>
          <w:rFonts w:hint="default" w:ascii="宋体" w:hAnsi="宋体" w:eastAsia="宋体" w:cs="Times New Roman"/>
          <w:iCs/>
          <w:kern w:val="0"/>
          <w:sz w:val="24"/>
          <w:szCs w:val="24"/>
          <w:highlight w:val="none"/>
        </w:rPr>
        <w:t>。</w:t>
      </w:r>
    </w:p>
    <w:p w14:paraId="786262FC">
      <w:pPr>
        <w:tabs>
          <w:tab w:val="left" w:pos="2280"/>
        </w:tabs>
        <w:spacing w:line="560" w:lineRule="exact"/>
        <w:ind w:firstLine="240"/>
        <w:contextualSpacing/>
        <w:jc w:val="both"/>
        <w:rPr>
          <w:rFonts w:hint="default" w:ascii="Times New Roman" w:hAnsi="Times New Roman" w:eastAsia="宋体" w:cs="Times New Roman"/>
          <w:iCs/>
          <w:kern w:val="0"/>
          <w:sz w:val="24"/>
          <w:szCs w:val="24"/>
          <w:highlight w:val="none"/>
        </w:rPr>
      </w:pPr>
      <w:r>
        <w:rPr>
          <w:rFonts w:hint="eastAsia" w:ascii="宋体" w:hAnsi="宋体" w:eastAsia="宋体" w:cs="Times New Roman"/>
          <w:iCs/>
          <w:kern w:val="0"/>
          <w:sz w:val="24"/>
          <w:szCs w:val="24"/>
          <w:highlight w:val="none"/>
          <w:lang w:val="en-US" w:eastAsia="zh-CN"/>
        </w:rPr>
        <w:t>3.1.2</w:t>
      </w:r>
      <w:r>
        <w:rPr>
          <w:rFonts w:hint="default" w:ascii="宋体" w:hAnsi="宋体" w:eastAsia="宋体" w:cs="Times New Roman"/>
          <w:iCs/>
          <w:kern w:val="0"/>
          <w:sz w:val="24"/>
          <w:szCs w:val="24"/>
          <w:highlight w:val="none"/>
        </w:rPr>
        <w:t>在水质自动监测系统运维及管理期间，在合同约束范围内成交单位拥有管理自主权；不能以任何形式外包合同规定的运行维护任务。</w:t>
      </w:r>
    </w:p>
    <w:p w14:paraId="64830B9E">
      <w:pPr>
        <w:tabs>
          <w:tab w:val="left" w:pos="2280"/>
        </w:tabs>
        <w:spacing w:line="560" w:lineRule="exact"/>
        <w:ind w:firstLine="240"/>
        <w:contextualSpacing/>
        <w:jc w:val="both"/>
        <w:rPr>
          <w:rFonts w:hint="default" w:ascii="Times New Roman" w:hAnsi="Times New Roman" w:eastAsia="宋体" w:cs="Times New Roman"/>
          <w:iCs/>
          <w:kern w:val="0"/>
          <w:sz w:val="24"/>
          <w:szCs w:val="24"/>
          <w:highlight w:val="none"/>
        </w:rPr>
      </w:pPr>
      <w:r>
        <w:rPr>
          <w:rFonts w:hint="eastAsia" w:ascii="宋体" w:hAnsi="宋体" w:eastAsia="宋体" w:cs="Times New Roman"/>
          <w:iCs/>
          <w:kern w:val="0"/>
          <w:sz w:val="24"/>
          <w:szCs w:val="24"/>
          <w:highlight w:val="none"/>
          <w:lang w:val="en-US" w:eastAsia="zh-CN"/>
        </w:rPr>
        <w:t>3.1.3</w:t>
      </w:r>
      <w:r>
        <w:rPr>
          <w:rFonts w:hint="default" w:ascii="宋体" w:hAnsi="宋体" w:eastAsia="宋体" w:cs="Times New Roman"/>
          <w:iCs/>
          <w:kern w:val="0"/>
          <w:sz w:val="24"/>
          <w:szCs w:val="24"/>
          <w:highlight w:val="none"/>
        </w:rPr>
        <w:t>在水质自动监测系统运维及管理期间，成交单位应严格按照业主制订的操作规范和规章制度，对所管理的系统及仪器设备进行规范操作和精心维护及必要维修，保证系统及仪器设备的正常运行，达到业主提出的系统及仪器设备考核指标要求。成交单位必须接受</w:t>
      </w:r>
      <w:r>
        <w:rPr>
          <w:rFonts w:hint="eastAsia" w:ascii="宋体" w:hAnsi="宋体" w:eastAsia="宋体" w:cs="宋体"/>
          <w:bCs/>
          <w:color w:val="000000"/>
          <w:kern w:val="0"/>
          <w:sz w:val="24"/>
          <w:szCs w:val="24"/>
          <w:highlight w:val="none"/>
        </w:rPr>
        <w:t>徐州市丰县生态环境局</w:t>
      </w:r>
      <w:r>
        <w:rPr>
          <w:rFonts w:hint="eastAsia" w:ascii="宋体" w:hAnsi="宋体" w:eastAsia="宋体" w:cs="Times New Roman"/>
          <w:iCs/>
          <w:kern w:val="0"/>
          <w:sz w:val="24"/>
          <w:szCs w:val="24"/>
          <w:highlight w:val="none"/>
        </w:rPr>
        <w:t>、</w:t>
      </w:r>
      <w:r>
        <w:rPr>
          <w:rFonts w:hint="default" w:ascii="宋体" w:hAnsi="宋体" w:eastAsia="宋体" w:cs="Times New Roman"/>
          <w:iCs/>
          <w:kern w:val="0"/>
          <w:sz w:val="24"/>
          <w:szCs w:val="24"/>
          <w:highlight w:val="none"/>
        </w:rPr>
        <w:t>驻市监测中心等单位的定期、不定期检查和考核。</w:t>
      </w:r>
    </w:p>
    <w:p w14:paraId="7AF79880">
      <w:pPr>
        <w:tabs>
          <w:tab w:val="left" w:pos="2280"/>
        </w:tabs>
        <w:spacing w:line="560" w:lineRule="exact"/>
        <w:ind w:firstLine="240"/>
        <w:contextualSpacing/>
        <w:jc w:val="both"/>
        <w:rPr>
          <w:rFonts w:hint="default" w:ascii="Times New Roman" w:hAnsi="Times New Roman" w:eastAsia="宋体" w:cs="Times New Roman"/>
          <w:iCs/>
          <w:kern w:val="0"/>
          <w:sz w:val="24"/>
          <w:szCs w:val="24"/>
          <w:highlight w:val="none"/>
        </w:rPr>
      </w:pPr>
      <w:r>
        <w:rPr>
          <w:rFonts w:hint="eastAsia" w:ascii="宋体" w:hAnsi="宋体" w:eastAsia="宋体" w:cs="Times New Roman"/>
          <w:iCs/>
          <w:kern w:val="0"/>
          <w:sz w:val="24"/>
          <w:szCs w:val="24"/>
          <w:highlight w:val="none"/>
          <w:lang w:val="en-US" w:eastAsia="zh-CN"/>
        </w:rPr>
        <w:t>3.1.4</w:t>
      </w:r>
      <w:r>
        <w:rPr>
          <w:rFonts w:hint="eastAsia" w:ascii="宋体" w:hAnsi="宋体" w:eastAsia="宋体" w:cs="Times New Roman"/>
          <w:iCs/>
          <w:kern w:val="0"/>
          <w:sz w:val="24"/>
          <w:szCs w:val="24"/>
          <w:highlight w:val="none"/>
        </w:rPr>
        <w:t>供应商</w:t>
      </w:r>
      <w:r>
        <w:rPr>
          <w:rFonts w:hint="default" w:ascii="宋体" w:hAnsi="宋体" w:eastAsia="宋体" w:cs="Times New Roman"/>
          <w:iCs/>
          <w:kern w:val="0"/>
          <w:sz w:val="24"/>
          <w:szCs w:val="24"/>
          <w:highlight w:val="none"/>
        </w:rPr>
        <w:t>具备一定的监测数据分析能力，能配合</w:t>
      </w:r>
      <w:r>
        <w:rPr>
          <w:rFonts w:hint="eastAsia" w:ascii="宋体" w:hAnsi="宋体" w:eastAsia="宋体" w:cs="宋体"/>
          <w:bCs/>
          <w:color w:val="000000"/>
          <w:kern w:val="0"/>
          <w:sz w:val="24"/>
          <w:szCs w:val="24"/>
          <w:highlight w:val="none"/>
        </w:rPr>
        <w:t>徐州市丰县生态环境局</w:t>
      </w:r>
      <w:r>
        <w:rPr>
          <w:rFonts w:hint="default" w:ascii="宋体" w:hAnsi="宋体" w:eastAsia="宋体" w:cs="Times New Roman"/>
          <w:iCs/>
          <w:kern w:val="0"/>
          <w:sz w:val="24"/>
          <w:szCs w:val="24"/>
          <w:highlight w:val="none"/>
        </w:rPr>
        <w:t>完成各类分析报告的编制工作</w:t>
      </w:r>
      <w:r>
        <w:rPr>
          <w:rFonts w:hint="eastAsia" w:ascii="宋体" w:hAnsi="宋体" w:eastAsia="宋体" w:cs="Times New Roman"/>
          <w:iCs/>
          <w:kern w:val="0"/>
          <w:sz w:val="24"/>
          <w:szCs w:val="24"/>
          <w:highlight w:val="none"/>
        </w:rPr>
        <w:t>，可为环境管理提供技术支撑，</w:t>
      </w:r>
      <w:r>
        <w:rPr>
          <w:rFonts w:hint="default" w:ascii="宋体" w:hAnsi="宋体" w:eastAsia="宋体" w:cs="Times New Roman"/>
          <w:iCs/>
          <w:kern w:val="0"/>
          <w:sz w:val="24"/>
          <w:szCs w:val="24"/>
          <w:highlight w:val="none"/>
        </w:rPr>
        <w:t>承担</w:t>
      </w:r>
      <w:r>
        <w:rPr>
          <w:rFonts w:hint="eastAsia" w:ascii="宋体" w:hAnsi="宋体" w:eastAsia="宋体" w:cs="Times New Roman"/>
          <w:iCs/>
          <w:kern w:val="0"/>
          <w:sz w:val="24"/>
          <w:szCs w:val="24"/>
          <w:highlight w:val="none"/>
        </w:rPr>
        <w:t>过省级及以上</w:t>
      </w:r>
      <w:r>
        <w:rPr>
          <w:rFonts w:hint="default" w:ascii="宋体" w:hAnsi="宋体" w:eastAsia="宋体" w:cs="Times New Roman"/>
          <w:iCs/>
          <w:kern w:val="0"/>
          <w:sz w:val="24"/>
          <w:szCs w:val="24"/>
          <w:highlight w:val="none"/>
        </w:rPr>
        <w:t>环境管理有关的课题</w:t>
      </w:r>
      <w:r>
        <w:rPr>
          <w:rFonts w:hint="eastAsia" w:ascii="宋体" w:hAnsi="宋体" w:eastAsia="宋体" w:cs="Times New Roman"/>
          <w:iCs/>
          <w:kern w:val="0"/>
          <w:sz w:val="24"/>
          <w:szCs w:val="24"/>
          <w:highlight w:val="none"/>
        </w:rPr>
        <w:t>。</w:t>
      </w:r>
    </w:p>
    <w:p w14:paraId="50821E6A">
      <w:pPr>
        <w:tabs>
          <w:tab w:val="left" w:pos="2280"/>
        </w:tabs>
        <w:spacing w:line="360" w:lineRule="auto"/>
        <w:ind w:firstLine="241"/>
        <w:contextualSpacing/>
        <w:jc w:val="both"/>
        <w:rPr>
          <w:rFonts w:hint="default" w:ascii="Times New Roman" w:hAnsi="Times New Roman" w:eastAsia="宋体" w:cs="Times New Roman"/>
          <w:b/>
          <w:kern w:val="0"/>
          <w:sz w:val="24"/>
          <w:szCs w:val="24"/>
          <w:highlight w:val="none"/>
        </w:rPr>
      </w:pPr>
      <w:r>
        <w:rPr>
          <w:rFonts w:hint="eastAsia" w:ascii="宋体" w:hAnsi="宋体" w:eastAsia="宋体" w:cs="Times New Roman"/>
          <w:b/>
          <w:kern w:val="0"/>
          <w:sz w:val="24"/>
          <w:szCs w:val="24"/>
          <w:highlight w:val="none"/>
          <w:lang w:val="en-US" w:eastAsia="zh-CN"/>
        </w:rPr>
        <w:t>3.2</w:t>
      </w:r>
      <w:r>
        <w:rPr>
          <w:rFonts w:hint="default" w:ascii="宋体" w:hAnsi="宋体" w:eastAsia="宋体" w:cs="Times New Roman"/>
          <w:b/>
          <w:kern w:val="0"/>
          <w:sz w:val="24"/>
          <w:szCs w:val="24"/>
          <w:highlight w:val="none"/>
        </w:rPr>
        <w:t>机构、人员、车辆、设备配备要求</w:t>
      </w:r>
    </w:p>
    <w:p w14:paraId="700DBC1C">
      <w:pPr>
        <w:tabs>
          <w:tab w:val="left" w:pos="2280"/>
        </w:tabs>
        <w:spacing w:line="360" w:lineRule="auto"/>
        <w:ind w:firstLine="480"/>
        <w:contextualSpacing/>
        <w:jc w:val="both"/>
        <w:rPr>
          <w:rFonts w:hint="default" w:ascii="Times New Roman" w:hAnsi="Times New Roman" w:eastAsia="宋体" w:cs="Times New Roman"/>
          <w:iCs/>
          <w:kern w:val="0"/>
          <w:sz w:val="24"/>
          <w:szCs w:val="24"/>
          <w:highlight w:val="none"/>
        </w:rPr>
      </w:pPr>
      <w:r>
        <w:rPr>
          <w:rFonts w:hint="eastAsia" w:ascii="宋体" w:hAnsi="宋体" w:eastAsia="宋体" w:cs="Times New Roman"/>
          <w:iCs/>
          <w:kern w:val="0"/>
          <w:sz w:val="24"/>
          <w:szCs w:val="24"/>
          <w:highlight w:val="none"/>
          <w:lang w:val="en-US" w:eastAsia="zh-CN"/>
        </w:rPr>
        <w:t>3.2.1</w:t>
      </w:r>
      <w:r>
        <w:rPr>
          <w:rFonts w:hint="default" w:ascii="宋体" w:hAnsi="宋体" w:eastAsia="宋体" w:cs="Times New Roman"/>
          <w:iCs/>
          <w:kern w:val="0"/>
          <w:sz w:val="24"/>
          <w:szCs w:val="24"/>
          <w:highlight w:val="none"/>
        </w:rPr>
        <w:t xml:space="preserve"> 运维单位需具备本地化运维服务能力，应在对应分包的区域2小时车程范围内至少设立1个运维技术支持机构</w:t>
      </w:r>
      <w:r>
        <w:rPr>
          <w:rFonts w:hint="eastAsia" w:ascii="宋体" w:hAnsi="宋体" w:eastAsia="宋体" w:cs="Times New Roman"/>
          <w:iCs/>
          <w:kern w:val="0"/>
          <w:sz w:val="24"/>
          <w:szCs w:val="24"/>
          <w:highlight w:val="none"/>
        </w:rPr>
        <w:t>。</w:t>
      </w:r>
    </w:p>
    <w:p w14:paraId="53713B1F">
      <w:pPr>
        <w:ind w:left="400" w:right="6" w:firstLine="170"/>
        <w:rPr>
          <w:rFonts w:hint="default" w:ascii="Times New Roman" w:hAnsi="Times New Roman" w:eastAsia="宋体" w:cs="Times New Roman"/>
          <w:iCs/>
          <w:kern w:val="0"/>
          <w:sz w:val="24"/>
          <w:szCs w:val="24"/>
          <w:highlight w:val="none"/>
          <w:lang w:val="en-US" w:eastAsia="zh-CN" w:bidi="ar-SA"/>
        </w:rPr>
      </w:pPr>
      <w:r>
        <w:rPr>
          <w:rFonts w:hint="eastAsia" w:ascii="宋体" w:hAnsi="宋体" w:eastAsia="宋体" w:cs="Times New Roman"/>
          <w:iCs/>
          <w:kern w:val="0"/>
          <w:sz w:val="24"/>
          <w:szCs w:val="24"/>
          <w:highlight w:val="none"/>
          <w:lang w:val="en-US" w:eastAsia="zh-CN" w:bidi="ar-SA"/>
        </w:rPr>
        <w:t>3.2.2项目管理人员配备</w:t>
      </w:r>
    </w:p>
    <w:tbl>
      <w:tblPr>
        <w:tblStyle w:val="6"/>
        <w:tblpPr w:leftFromText="180" w:rightFromText="180" w:vertAnchor="text" w:horzAnchor="margin" w:tblpX="108" w:tblpY="318"/>
        <w:tblW w:w="9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617"/>
        <w:gridCol w:w="1583"/>
        <w:gridCol w:w="2234"/>
        <w:gridCol w:w="3283"/>
      </w:tblGrid>
      <w:tr w14:paraId="1B0F4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81" w:type="dxa"/>
            <w:noWrap w:val="0"/>
            <w:vAlign w:val="center"/>
          </w:tcPr>
          <w:p w14:paraId="67B69892">
            <w:pPr>
              <w:tabs>
                <w:tab w:val="left" w:pos="2280"/>
              </w:tabs>
              <w:spacing w:line="360" w:lineRule="auto"/>
              <w:contextualSpacing/>
              <w:jc w:val="center"/>
              <w:rPr>
                <w:rFonts w:hint="default" w:ascii="宋体" w:hAnsi="宋体" w:eastAsia="宋体" w:cs="Times New Roman"/>
                <w:iCs/>
                <w:kern w:val="0"/>
                <w:sz w:val="24"/>
                <w:szCs w:val="24"/>
                <w:highlight w:val="none"/>
              </w:rPr>
            </w:pPr>
            <w:r>
              <w:rPr>
                <w:rFonts w:hint="eastAsia" w:ascii="宋体" w:hAnsi="宋体" w:eastAsia="宋体" w:cs="Times New Roman"/>
                <w:iCs/>
                <w:kern w:val="0"/>
                <w:sz w:val="24"/>
                <w:szCs w:val="24"/>
                <w:highlight w:val="none"/>
              </w:rPr>
              <w:t>序 号</w:t>
            </w:r>
          </w:p>
        </w:tc>
        <w:tc>
          <w:tcPr>
            <w:tcW w:w="1617" w:type="dxa"/>
            <w:noWrap w:val="0"/>
            <w:vAlign w:val="center"/>
          </w:tcPr>
          <w:p w14:paraId="72C44EB8">
            <w:pPr>
              <w:tabs>
                <w:tab w:val="left" w:pos="2280"/>
              </w:tabs>
              <w:spacing w:line="360" w:lineRule="auto"/>
              <w:contextualSpacing/>
              <w:jc w:val="center"/>
              <w:rPr>
                <w:rFonts w:hint="default" w:ascii="宋体" w:hAnsi="宋体" w:eastAsia="宋体" w:cs="Times New Roman"/>
                <w:iCs/>
                <w:kern w:val="0"/>
                <w:sz w:val="24"/>
                <w:szCs w:val="24"/>
                <w:highlight w:val="none"/>
              </w:rPr>
            </w:pPr>
            <w:r>
              <w:rPr>
                <w:rFonts w:hint="eastAsia" w:ascii="宋体" w:hAnsi="宋体" w:eastAsia="宋体" w:cs="Times New Roman"/>
                <w:iCs/>
                <w:kern w:val="0"/>
                <w:sz w:val="24"/>
                <w:szCs w:val="24"/>
                <w:highlight w:val="none"/>
              </w:rPr>
              <w:t>职 务</w:t>
            </w:r>
          </w:p>
        </w:tc>
        <w:tc>
          <w:tcPr>
            <w:tcW w:w="1583" w:type="dxa"/>
            <w:noWrap w:val="0"/>
            <w:vAlign w:val="center"/>
          </w:tcPr>
          <w:p w14:paraId="5EA227E5">
            <w:pPr>
              <w:tabs>
                <w:tab w:val="left" w:pos="2280"/>
              </w:tabs>
              <w:spacing w:line="360" w:lineRule="auto"/>
              <w:contextualSpacing/>
              <w:jc w:val="center"/>
              <w:rPr>
                <w:rFonts w:hint="default" w:ascii="宋体" w:hAnsi="宋体" w:eastAsia="宋体" w:cs="Times New Roman"/>
                <w:iCs/>
                <w:kern w:val="0"/>
                <w:sz w:val="24"/>
                <w:szCs w:val="24"/>
                <w:highlight w:val="none"/>
              </w:rPr>
            </w:pPr>
            <w:r>
              <w:rPr>
                <w:rFonts w:hint="eastAsia" w:ascii="宋体" w:hAnsi="宋体" w:eastAsia="宋体" w:cs="Times New Roman"/>
                <w:iCs/>
                <w:kern w:val="0"/>
                <w:sz w:val="24"/>
                <w:szCs w:val="24"/>
                <w:highlight w:val="none"/>
              </w:rPr>
              <w:t>人数（个）</w:t>
            </w:r>
          </w:p>
        </w:tc>
        <w:tc>
          <w:tcPr>
            <w:tcW w:w="2234" w:type="dxa"/>
            <w:noWrap w:val="0"/>
            <w:vAlign w:val="center"/>
          </w:tcPr>
          <w:p w14:paraId="3D08EFAD">
            <w:pPr>
              <w:tabs>
                <w:tab w:val="left" w:pos="2280"/>
              </w:tabs>
              <w:spacing w:line="360" w:lineRule="auto"/>
              <w:contextualSpacing/>
              <w:jc w:val="center"/>
              <w:rPr>
                <w:rFonts w:hint="default" w:ascii="宋体" w:hAnsi="宋体" w:eastAsia="宋体" w:cs="Times New Roman"/>
                <w:iCs/>
                <w:kern w:val="0"/>
                <w:sz w:val="24"/>
                <w:szCs w:val="24"/>
                <w:highlight w:val="none"/>
              </w:rPr>
            </w:pPr>
            <w:r>
              <w:rPr>
                <w:rFonts w:hint="eastAsia" w:ascii="宋体" w:hAnsi="宋体" w:eastAsia="宋体" w:cs="Times New Roman"/>
                <w:iCs/>
                <w:kern w:val="0"/>
                <w:sz w:val="24"/>
                <w:szCs w:val="24"/>
                <w:highlight w:val="none"/>
              </w:rPr>
              <w:t>要  求</w:t>
            </w:r>
          </w:p>
        </w:tc>
        <w:tc>
          <w:tcPr>
            <w:tcW w:w="3283" w:type="dxa"/>
            <w:noWrap w:val="0"/>
            <w:vAlign w:val="center"/>
          </w:tcPr>
          <w:p w14:paraId="4C9B90B0">
            <w:pPr>
              <w:tabs>
                <w:tab w:val="left" w:pos="2280"/>
              </w:tabs>
              <w:spacing w:line="360" w:lineRule="auto"/>
              <w:contextualSpacing/>
              <w:jc w:val="center"/>
              <w:rPr>
                <w:rFonts w:hint="default" w:ascii="宋体" w:hAnsi="宋体" w:eastAsia="宋体" w:cs="Times New Roman"/>
                <w:iCs/>
                <w:kern w:val="0"/>
                <w:sz w:val="24"/>
                <w:szCs w:val="24"/>
                <w:highlight w:val="none"/>
              </w:rPr>
            </w:pPr>
            <w:r>
              <w:rPr>
                <w:rFonts w:hint="eastAsia" w:ascii="宋体" w:hAnsi="宋体" w:eastAsia="宋体" w:cs="Times New Roman"/>
                <w:iCs/>
                <w:kern w:val="0"/>
                <w:sz w:val="24"/>
                <w:szCs w:val="24"/>
                <w:highlight w:val="none"/>
              </w:rPr>
              <w:t>备 注</w:t>
            </w:r>
          </w:p>
        </w:tc>
      </w:tr>
      <w:tr w14:paraId="3D80A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81" w:type="dxa"/>
            <w:noWrap w:val="0"/>
            <w:vAlign w:val="center"/>
          </w:tcPr>
          <w:p w14:paraId="141195A4">
            <w:pPr>
              <w:tabs>
                <w:tab w:val="left" w:pos="2280"/>
              </w:tabs>
              <w:spacing w:line="360" w:lineRule="auto"/>
              <w:contextualSpacing/>
              <w:jc w:val="center"/>
              <w:rPr>
                <w:rFonts w:hint="default" w:ascii="宋体" w:hAnsi="宋体" w:eastAsia="宋体" w:cs="Times New Roman"/>
                <w:iCs/>
                <w:kern w:val="0"/>
                <w:sz w:val="24"/>
                <w:szCs w:val="24"/>
                <w:highlight w:val="none"/>
              </w:rPr>
            </w:pPr>
            <w:r>
              <w:rPr>
                <w:rFonts w:hint="eastAsia" w:ascii="宋体" w:hAnsi="宋体" w:eastAsia="宋体" w:cs="Times New Roman"/>
                <w:iCs/>
                <w:kern w:val="0"/>
                <w:sz w:val="24"/>
                <w:szCs w:val="24"/>
                <w:highlight w:val="none"/>
              </w:rPr>
              <w:t>1</w:t>
            </w:r>
          </w:p>
        </w:tc>
        <w:tc>
          <w:tcPr>
            <w:tcW w:w="1617" w:type="dxa"/>
            <w:noWrap w:val="0"/>
            <w:vAlign w:val="center"/>
          </w:tcPr>
          <w:p w14:paraId="39335E09">
            <w:pPr>
              <w:tabs>
                <w:tab w:val="left" w:pos="2280"/>
              </w:tabs>
              <w:spacing w:line="360" w:lineRule="auto"/>
              <w:contextualSpacing/>
              <w:jc w:val="center"/>
              <w:rPr>
                <w:rFonts w:hint="eastAsia" w:ascii="宋体" w:hAnsi="宋体" w:eastAsia="宋体" w:cs="Times New Roman"/>
                <w:iCs/>
                <w:kern w:val="0"/>
                <w:sz w:val="24"/>
                <w:szCs w:val="24"/>
                <w:highlight w:val="none"/>
                <w:lang w:eastAsia="zh-CN"/>
              </w:rPr>
            </w:pPr>
            <w:r>
              <w:rPr>
                <w:rFonts w:hint="eastAsia" w:ascii="宋体" w:hAnsi="宋体" w:eastAsia="宋体" w:cs="Times New Roman"/>
                <w:iCs/>
                <w:kern w:val="0"/>
                <w:sz w:val="24"/>
                <w:szCs w:val="24"/>
                <w:highlight w:val="none"/>
              </w:rPr>
              <w:t>项目</w:t>
            </w:r>
            <w:r>
              <w:rPr>
                <w:rFonts w:hint="eastAsia" w:ascii="宋体" w:hAnsi="宋体" w:eastAsia="宋体" w:cs="Times New Roman"/>
                <w:iCs/>
                <w:kern w:val="0"/>
                <w:sz w:val="24"/>
                <w:szCs w:val="24"/>
                <w:highlight w:val="none"/>
                <w:lang w:eastAsia="zh-CN"/>
              </w:rPr>
              <w:t>负责人</w:t>
            </w:r>
          </w:p>
        </w:tc>
        <w:tc>
          <w:tcPr>
            <w:tcW w:w="1583" w:type="dxa"/>
            <w:noWrap w:val="0"/>
            <w:vAlign w:val="center"/>
          </w:tcPr>
          <w:p w14:paraId="374F5FA3">
            <w:pPr>
              <w:tabs>
                <w:tab w:val="left" w:pos="2280"/>
              </w:tabs>
              <w:spacing w:line="360" w:lineRule="auto"/>
              <w:contextualSpacing/>
              <w:jc w:val="center"/>
              <w:rPr>
                <w:rFonts w:hint="default" w:ascii="宋体" w:hAnsi="宋体" w:eastAsia="宋体" w:cs="Times New Roman"/>
                <w:iCs/>
                <w:kern w:val="0"/>
                <w:sz w:val="24"/>
                <w:szCs w:val="24"/>
                <w:highlight w:val="none"/>
              </w:rPr>
            </w:pPr>
            <w:r>
              <w:rPr>
                <w:rFonts w:hint="eastAsia" w:ascii="宋体" w:hAnsi="宋体" w:eastAsia="宋体" w:cs="Times New Roman"/>
                <w:iCs/>
                <w:kern w:val="0"/>
                <w:sz w:val="24"/>
                <w:szCs w:val="24"/>
                <w:highlight w:val="none"/>
              </w:rPr>
              <w:t>1</w:t>
            </w:r>
          </w:p>
        </w:tc>
        <w:tc>
          <w:tcPr>
            <w:tcW w:w="2234" w:type="dxa"/>
            <w:noWrap w:val="0"/>
            <w:vAlign w:val="center"/>
          </w:tcPr>
          <w:p w14:paraId="275F1891">
            <w:pPr>
              <w:tabs>
                <w:tab w:val="left" w:pos="2280"/>
              </w:tabs>
              <w:spacing w:line="360" w:lineRule="auto"/>
              <w:contextualSpacing/>
              <w:jc w:val="center"/>
              <w:rPr>
                <w:rFonts w:hint="default" w:ascii="宋体" w:hAnsi="宋体" w:eastAsia="宋体" w:cs="Times New Roman"/>
                <w:iCs/>
                <w:kern w:val="0"/>
                <w:sz w:val="24"/>
                <w:szCs w:val="24"/>
                <w:highlight w:val="none"/>
              </w:rPr>
            </w:pPr>
            <w:r>
              <w:rPr>
                <w:rFonts w:hint="eastAsia" w:ascii="宋体" w:hAnsi="宋体" w:eastAsia="宋体" w:cs="Times New Roman"/>
                <w:iCs/>
                <w:kern w:val="0"/>
                <w:sz w:val="24"/>
                <w:szCs w:val="24"/>
                <w:highlight w:val="none"/>
              </w:rPr>
              <w:t>专科或以上学历</w:t>
            </w:r>
          </w:p>
        </w:tc>
        <w:tc>
          <w:tcPr>
            <w:tcW w:w="3283" w:type="dxa"/>
            <w:noWrap w:val="0"/>
            <w:vAlign w:val="center"/>
          </w:tcPr>
          <w:p w14:paraId="26521AA2">
            <w:pPr>
              <w:tabs>
                <w:tab w:val="left" w:pos="2280"/>
              </w:tabs>
              <w:spacing w:line="360" w:lineRule="auto"/>
              <w:ind w:firstLine="480"/>
              <w:contextualSpacing/>
              <w:jc w:val="center"/>
              <w:rPr>
                <w:rFonts w:hint="default" w:ascii="宋体" w:hAnsi="宋体" w:eastAsia="宋体" w:cs="Times New Roman"/>
                <w:iCs/>
                <w:kern w:val="0"/>
                <w:sz w:val="24"/>
                <w:szCs w:val="24"/>
                <w:highlight w:val="none"/>
              </w:rPr>
            </w:pPr>
          </w:p>
        </w:tc>
      </w:tr>
      <w:tr w14:paraId="5B0BB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81" w:type="dxa"/>
            <w:noWrap w:val="0"/>
            <w:vAlign w:val="center"/>
          </w:tcPr>
          <w:p w14:paraId="778F9E05">
            <w:pPr>
              <w:tabs>
                <w:tab w:val="left" w:pos="2280"/>
              </w:tabs>
              <w:spacing w:line="360" w:lineRule="auto"/>
              <w:contextualSpacing/>
              <w:jc w:val="center"/>
              <w:rPr>
                <w:rFonts w:hint="default" w:ascii="宋体" w:hAnsi="宋体" w:eastAsia="宋体" w:cs="Times New Roman"/>
                <w:iCs/>
                <w:kern w:val="0"/>
                <w:sz w:val="24"/>
                <w:szCs w:val="24"/>
                <w:highlight w:val="none"/>
              </w:rPr>
            </w:pPr>
            <w:r>
              <w:rPr>
                <w:rFonts w:hint="eastAsia" w:ascii="宋体" w:hAnsi="宋体" w:eastAsia="宋体" w:cs="Times New Roman"/>
                <w:iCs/>
                <w:kern w:val="0"/>
                <w:sz w:val="24"/>
                <w:szCs w:val="24"/>
                <w:highlight w:val="none"/>
              </w:rPr>
              <w:t>2</w:t>
            </w:r>
          </w:p>
        </w:tc>
        <w:tc>
          <w:tcPr>
            <w:tcW w:w="1617" w:type="dxa"/>
            <w:noWrap w:val="0"/>
            <w:vAlign w:val="center"/>
          </w:tcPr>
          <w:p w14:paraId="1C69B1AD">
            <w:pPr>
              <w:tabs>
                <w:tab w:val="left" w:pos="2280"/>
              </w:tabs>
              <w:spacing w:line="360" w:lineRule="auto"/>
              <w:contextualSpacing/>
              <w:jc w:val="center"/>
              <w:rPr>
                <w:rFonts w:hint="eastAsia" w:ascii="宋体" w:hAnsi="宋体" w:eastAsia="宋体" w:cs="Times New Roman"/>
                <w:iCs/>
                <w:kern w:val="0"/>
                <w:sz w:val="24"/>
                <w:szCs w:val="24"/>
                <w:highlight w:val="none"/>
                <w:lang w:eastAsia="zh-CN"/>
              </w:rPr>
            </w:pPr>
            <w:r>
              <w:rPr>
                <w:rFonts w:hint="eastAsia" w:ascii="宋体" w:hAnsi="宋体" w:eastAsia="宋体" w:cs="Times New Roman"/>
                <w:iCs/>
                <w:kern w:val="0"/>
                <w:sz w:val="24"/>
                <w:szCs w:val="24"/>
                <w:highlight w:val="none"/>
              </w:rPr>
              <w:t>技术</w:t>
            </w:r>
            <w:r>
              <w:rPr>
                <w:rFonts w:hint="eastAsia" w:ascii="宋体" w:hAnsi="宋体" w:eastAsia="宋体" w:cs="Times New Roman"/>
                <w:iCs/>
                <w:kern w:val="0"/>
                <w:sz w:val="24"/>
                <w:szCs w:val="24"/>
                <w:highlight w:val="none"/>
                <w:lang w:eastAsia="zh-CN"/>
              </w:rPr>
              <w:t>负责人</w:t>
            </w:r>
          </w:p>
        </w:tc>
        <w:tc>
          <w:tcPr>
            <w:tcW w:w="1583" w:type="dxa"/>
            <w:noWrap w:val="0"/>
            <w:vAlign w:val="center"/>
          </w:tcPr>
          <w:p w14:paraId="5D047158">
            <w:pPr>
              <w:tabs>
                <w:tab w:val="left" w:pos="2280"/>
              </w:tabs>
              <w:spacing w:line="360" w:lineRule="auto"/>
              <w:contextualSpacing/>
              <w:jc w:val="center"/>
              <w:rPr>
                <w:rFonts w:hint="eastAsia" w:ascii="宋体" w:hAnsi="宋体" w:eastAsia="宋体" w:cs="Times New Roman"/>
                <w:iCs/>
                <w:kern w:val="0"/>
                <w:sz w:val="24"/>
                <w:szCs w:val="24"/>
                <w:highlight w:val="none"/>
                <w:lang w:eastAsia="zh-CN"/>
              </w:rPr>
            </w:pPr>
            <w:r>
              <w:rPr>
                <w:rFonts w:hint="eastAsia" w:ascii="宋体" w:hAnsi="宋体" w:eastAsia="宋体" w:cs="Times New Roman"/>
                <w:iCs/>
                <w:kern w:val="0"/>
                <w:sz w:val="24"/>
                <w:szCs w:val="24"/>
                <w:highlight w:val="none"/>
                <w:lang w:val="en-US" w:eastAsia="zh-CN"/>
              </w:rPr>
              <w:t>1</w:t>
            </w:r>
          </w:p>
        </w:tc>
        <w:tc>
          <w:tcPr>
            <w:tcW w:w="2234" w:type="dxa"/>
            <w:noWrap w:val="0"/>
            <w:vAlign w:val="center"/>
          </w:tcPr>
          <w:p w14:paraId="68388A71">
            <w:pPr>
              <w:tabs>
                <w:tab w:val="left" w:pos="2280"/>
              </w:tabs>
              <w:spacing w:line="360" w:lineRule="auto"/>
              <w:contextualSpacing/>
              <w:jc w:val="center"/>
              <w:rPr>
                <w:rFonts w:hint="default" w:ascii="宋体" w:hAnsi="宋体" w:eastAsia="宋体" w:cs="Times New Roman"/>
                <w:iCs/>
                <w:kern w:val="0"/>
                <w:sz w:val="24"/>
                <w:szCs w:val="24"/>
                <w:highlight w:val="none"/>
              </w:rPr>
            </w:pPr>
            <w:r>
              <w:rPr>
                <w:rFonts w:hint="eastAsia" w:ascii="宋体" w:hAnsi="宋体" w:eastAsia="宋体" w:cs="Times New Roman"/>
                <w:iCs/>
                <w:kern w:val="0"/>
                <w:sz w:val="24"/>
                <w:szCs w:val="24"/>
                <w:highlight w:val="none"/>
              </w:rPr>
              <w:t>中专或以上学历</w:t>
            </w:r>
          </w:p>
        </w:tc>
        <w:tc>
          <w:tcPr>
            <w:tcW w:w="3283" w:type="dxa"/>
            <w:noWrap w:val="0"/>
            <w:vAlign w:val="center"/>
          </w:tcPr>
          <w:p w14:paraId="2B421345">
            <w:pPr>
              <w:tabs>
                <w:tab w:val="left" w:pos="2280"/>
              </w:tabs>
              <w:spacing w:line="360" w:lineRule="auto"/>
              <w:ind w:firstLine="480"/>
              <w:contextualSpacing/>
              <w:jc w:val="center"/>
              <w:rPr>
                <w:rFonts w:hint="default" w:ascii="宋体" w:hAnsi="宋体" w:eastAsia="宋体" w:cs="Times New Roman"/>
                <w:iCs/>
                <w:kern w:val="0"/>
                <w:sz w:val="24"/>
                <w:szCs w:val="24"/>
                <w:highlight w:val="none"/>
              </w:rPr>
            </w:pPr>
          </w:p>
        </w:tc>
      </w:tr>
      <w:tr w14:paraId="096EE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81" w:type="dxa"/>
            <w:shd w:val="clear" w:color="auto" w:fill="auto"/>
            <w:noWrap w:val="0"/>
            <w:vAlign w:val="center"/>
          </w:tcPr>
          <w:p w14:paraId="5F2392B9">
            <w:pPr>
              <w:tabs>
                <w:tab w:val="left" w:pos="2280"/>
              </w:tabs>
              <w:spacing w:line="360" w:lineRule="auto"/>
              <w:contextualSpacing/>
              <w:jc w:val="center"/>
              <w:rPr>
                <w:rFonts w:hint="eastAsia" w:ascii="宋体" w:hAnsi="宋体" w:eastAsia="宋体" w:cs="Times New Roman"/>
                <w:iCs/>
                <w:kern w:val="0"/>
                <w:sz w:val="24"/>
                <w:szCs w:val="24"/>
                <w:highlight w:val="none"/>
                <w:lang w:val="en-US" w:eastAsia="zh-CN" w:bidi="ar-SA"/>
              </w:rPr>
            </w:pPr>
            <w:r>
              <w:rPr>
                <w:rFonts w:hint="eastAsia" w:ascii="宋体" w:hAnsi="宋体" w:eastAsia="宋体" w:cs="Times New Roman"/>
                <w:iCs/>
                <w:kern w:val="0"/>
                <w:sz w:val="24"/>
                <w:szCs w:val="24"/>
                <w:highlight w:val="none"/>
                <w:lang w:val="en-US" w:eastAsia="zh-CN"/>
              </w:rPr>
              <w:t>3</w:t>
            </w:r>
          </w:p>
        </w:tc>
        <w:tc>
          <w:tcPr>
            <w:tcW w:w="1617" w:type="dxa"/>
            <w:shd w:val="clear" w:color="auto" w:fill="auto"/>
            <w:noWrap w:val="0"/>
            <w:vAlign w:val="center"/>
          </w:tcPr>
          <w:p w14:paraId="22B1A886">
            <w:pPr>
              <w:tabs>
                <w:tab w:val="left" w:pos="2280"/>
              </w:tabs>
              <w:spacing w:line="360" w:lineRule="auto"/>
              <w:contextualSpacing/>
              <w:jc w:val="center"/>
              <w:rPr>
                <w:rFonts w:hint="eastAsia" w:ascii="宋体" w:hAnsi="宋体" w:eastAsia="宋体" w:cs="Times New Roman"/>
                <w:iCs/>
                <w:kern w:val="0"/>
                <w:sz w:val="24"/>
                <w:szCs w:val="24"/>
                <w:highlight w:val="none"/>
                <w:lang w:val="en-US" w:eastAsia="zh-CN" w:bidi="ar-SA"/>
              </w:rPr>
            </w:pPr>
            <w:r>
              <w:rPr>
                <w:rFonts w:hint="eastAsia" w:ascii="宋体" w:hAnsi="宋体" w:eastAsia="宋体" w:cs="Times New Roman"/>
                <w:iCs/>
                <w:kern w:val="0"/>
                <w:sz w:val="24"/>
                <w:szCs w:val="24"/>
                <w:highlight w:val="none"/>
                <w:lang w:eastAsia="zh-CN"/>
              </w:rPr>
              <w:t>运维人员</w:t>
            </w:r>
          </w:p>
        </w:tc>
        <w:tc>
          <w:tcPr>
            <w:tcW w:w="1583" w:type="dxa"/>
            <w:shd w:val="clear" w:color="auto" w:fill="auto"/>
            <w:noWrap w:val="0"/>
            <w:vAlign w:val="center"/>
          </w:tcPr>
          <w:p w14:paraId="5563605A">
            <w:pPr>
              <w:tabs>
                <w:tab w:val="left" w:pos="2280"/>
              </w:tabs>
              <w:spacing w:line="360" w:lineRule="auto"/>
              <w:contextualSpacing/>
              <w:jc w:val="center"/>
              <w:rPr>
                <w:rFonts w:hint="eastAsia" w:ascii="宋体" w:hAnsi="宋体" w:eastAsia="宋体" w:cs="Times New Roman"/>
                <w:iCs/>
                <w:kern w:val="0"/>
                <w:sz w:val="24"/>
                <w:szCs w:val="24"/>
                <w:highlight w:val="none"/>
                <w:lang w:val="en-US" w:eastAsia="zh-CN" w:bidi="ar-SA"/>
              </w:rPr>
            </w:pPr>
            <w:r>
              <w:rPr>
                <w:rFonts w:hint="eastAsia" w:ascii="宋体" w:hAnsi="宋体" w:eastAsia="宋体" w:cs="Times New Roman"/>
                <w:iCs/>
                <w:kern w:val="0"/>
                <w:sz w:val="24"/>
                <w:szCs w:val="24"/>
                <w:highlight w:val="none"/>
                <w:lang w:val="en-US" w:eastAsia="zh-CN"/>
              </w:rPr>
              <w:t>2</w:t>
            </w:r>
          </w:p>
        </w:tc>
        <w:tc>
          <w:tcPr>
            <w:tcW w:w="2234" w:type="dxa"/>
            <w:shd w:val="clear" w:color="auto" w:fill="auto"/>
            <w:noWrap w:val="0"/>
            <w:vAlign w:val="center"/>
          </w:tcPr>
          <w:p w14:paraId="59F78D17">
            <w:pPr>
              <w:tabs>
                <w:tab w:val="left" w:pos="2280"/>
              </w:tabs>
              <w:spacing w:line="360" w:lineRule="auto"/>
              <w:contextualSpacing/>
              <w:jc w:val="center"/>
              <w:rPr>
                <w:rFonts w:hint="eastAsia" w:ascii="宋体" w:hAnsi="宋体" w:eastAsia="宋体" w:cs="Times New Roman"/>
                <w:iCs/>
                <w:kern w:val="0"/>
                <w:sz w:val="24"/>
                <w:szCs w:val="24"/>
                <w:highlight w:val="none"/>
                <w:lang w:val="en-US" w:eastAsia="zh-CN" w:bidi="ar-SA"/>
              </w:rPr>
            </w:pPr>
            <w:r>
              <w:rPr>
                <w:rFonts w:hint="eastAsia" w:ascii="宋体" w:hAnsi="宋体" w:eastAsia="宋体" w:cs="Times New Roman"/>
                <w:iCs/>
                <w:kern w:val="0"/>
                <w:sz w:val="24"/>
                <w:szCs w:val="24"/>
                <w:highlight w:val="none"/>
              </w:rPr>
              <w:t>中专或以上学历</w:t>
            </w:r>
          </w:p>
        </w:tc>
        <w:tc>
          <w:tcPr>
            <w:tcW w:w="3283" w:type="dxa"/>
            <w:shd w:val="clear" w:color="auto" w:fill="auto"/>
            <w:noWrap w:val="0"/>
            <w:vAlign w:val="center"/>
          </w:tcPr>
          <w:p w14:paraId="32913709">
            <w:pPr>
              <w:tabs>
                <w:tab w:val="left" w:pos="2280"/>
              </w:tabs>
              <w:spacing w:line="360" w:lineRule="auto"/>
              <w:contextualSpacing/>
              <w:jc w:val="center"/>
              <w:rPr>
                <w:rFonts w:hint="eastAsia" w:ascii="宋体" w:hAnsi="宋体" w:eastAsia="宋体" w:cs="Times New Roman"/>
                <w:iCs/>
                <w:kern w:val="0"/>
                <w:sz w:val="24"/>
                <w:szCs w:val="24"/>
                <w:highlight w:val="none"/>
                <w:lang w:val="en-US" w:eastAsia="zh-CN" w:bidi="ar-SA"/>
              </w:rPr>
            </w:pPr>
            <w:r>
              <w:rPr>
                <w:rFonts w:hint="eastAsia" w:ascii="宋体" w:hAnsi="宋体" w:eastAsia="宋体" w:cs="Times New Roman"/>
                <w:iCs/>
                <w:kern w:val="0"/>
                <w:sz w:val="24"/>
                <w:szCs w:val="24"/>
                <w:highlight w:val="none"/>
                <w:lang w:eastAsia="zh-CN"/>
              </w:rPr>
              <w:t>根据需要随时增派人员</w:t>
            </w:r>
          </w:p>
        </w:tc>
      </w:tr>
    </w:tbl>
    <w:p w14:paraId="6341C705">
      <w:pPr>
        <w:ind w:left="400" w:right="6" w:firstLine="170"/>
        <w:rPr>
          <w:rFonts w:hint="default" w:ascii="Times New Roman" w:hAnsi="Times New Roman" w:eastAsia="宋体" w:cs="Times New Roman"/>
          <w:iCs/>
          <w:color w:val="FF0000"/>
          <w:kern w:val="0"/>
          <w:sz w:val="24"/>
          <w:szCs w:val="24"/>
          <w:highlight w:val="none"/>
          <w:lang w:val="en-US" w:eastAsia="zh-CN" w:bidi="ar-SA"/>
        </w:rPr>
      </w:pPr>
      <w:r>
        <w:rPr>
          <w:rFonts w:hint="eastAsia" w:ascii="宋体" w:hAnsi="宋体" w:eastAsia="宋体" w:cs="Times New Roman"/>
          <w:iCs/>
          <w:kern w:val="0"/>
          <w:sz w:val="24"/>
          <w:szCs w:val="24"/>
          <w:highlight w:val="none"/>
          <w:lang w:val="en-US" w:eastAsia="zh-CN" w:bidi="ar-SA"/>
        </w:rPr>
        <w:t>表3</w:t>
      </w:r>
    </w:p>
    <w:p w14:paraId="1D17949F">
      <w:pPr>
        <w:ind w:left="0" w:right="6" w:firstLine="480"/>
        <w:rPr>
          <w:rFonts w:hint="eastAsia" w:ascii="宋体" w:hAnsi="宋体" w:eastAsia="宋体" w:cs="Times New Roman"/>
          <w:iCs/>
          <w:kern w:val="0"/>
          <w:sz w:val="24"/>
          <w:szCs w:val="24"/>
          <w:highlight w:val="none"/>
          <w:lang w:val="en-US" w:eastAsia="zh-CN" w:bidi="ar-SA"/>
        </w:rPr>
      </w:pPr>
    </w:p>
    <w:p w14:paraId="265A396C">
      <w:pPr>
        <w:ind w:left="0" w:right="6" w:firstLine="480"/>
        <w:rPr>
          <w:rFonts w:hint="eastAsia" w:ascii="宋体" w:hAnsi="宋体" w:eastAsia="宋体" w:cs="Times New Roman"/>
          <w:iCs/>
          <w:kern w:val="0"/>
          <w:sz w:val="24"/>
          <w:szCs w:val="24"/>
          <w:highlight w:val="none"/>
          <w:lang w:val="en-US" w:eastAsia="zh-CN" w:bidi="ar-SA"/>
        </w:rPr>
      </w:pPr>
    </w:p>
    <w:p w14:paraId="3F92EF50">
      <w:pPr>
        <w:ind w:left="0" w:right="6" w:firstLine="480"/>
        <w:rPr>
          <w:rFonts w:hint="eastAsia" w:ascii="宋体" w:hAnsi="宋体" w:eastAsia="宋体" w:cs="Times New Roman"/>
          <w:iCs/>
          <w:kern w:val="0"/>
          <w:sz w:val="24"/>
          <w:szCs w:val="24"/>
          <w:highlight w:val="none"/>
          <w:lang w:val="en-US" w:eastAsia="zh-CN" w:bidi="ar-SA"/>
        </w:rPr>
      </w:pPr>
      <w:r>
        <w:rPr>
          <w:rFonts w:hint="eastAsia" w:ascii="宋体" w:hAnsi="宋体" w:eastAsia="宋体" w:cs="Times New Roman"/>
          <w:iCs/>
          <w:kern w:val="0"/>
          <w:sz w:val="24"/>
          <w:szCs w:val="24"/>
          <w:highlight w:val="none"/>
          <w:lang w:val="en-US" w:eastAsia="zh-CN" w:bidi="ar-SA"/>
        </w:rPr>
        <w:t>3.2.3.项目设备配置</w:t>
      </w:r>
    </w:p>
    <w:p w14:paraId="13850C0F">
      <w:pPr>
        <w:keepNext w:val="0"/>
        <w:keepLines w:val="0"/>
        <w:pageBreakBefore w:val="0"/>
        <w:widowControl/>
        <w:ind w:left="400" w:right="6" w:firstLine="170"/>
        <w:rPr>
          <w:rFonts w:hint="default" w:ascii="Times New Roman" w:hAnsi="Times New Roman" w:eastAsia="宋体" w:cs="Times New Roman"/>
          <w:iCs/>
          <w:kern w:val="0"/>
          <w:sz w:val="24"/>
          <w:szCs w:val="24"/>
          <w:highlight w:val="none"/>
          <w:lang w:val="en-US" w:eastAsia="zh-CN" w:bidi="ar-SA"/>
        </w:rPr>
      </w:pPr>
      <w:r>
        <w:rPr>
          <w:rFonts w:hint="eastAsia" w:ascii="宋体" w:hAnsi="宋体" w:eastAsia="宋体" w:cs="Times New Roman"/>
          <w:iCs/>
          <w:kern w:val="0"/>
          <w:sz w:val="24"/>
          <w:szCs w:val="24"/>
          <w:highlight w:val="none"/>
          <w:lang w:val="en-US" w:eastAsia="zh-CN" w:bidi="ar-SA"/>
        </w:rPr>
        <w:t>表4</w:t>
      </w:r>
    </w:p>
    <w:tbl>
      <w:tblPr>
        <w:tblStyle w:val="6"/>
        <w:tblpPr w:leftFromText="180" w:rightFromText="180" w:vertAnchor="text" w:horzAnchor="page" w:tblpX="1345" w:tblpY="232"/>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17"/>
        <w:gridCol w:w="1366"/>
        <w:gridCol w:w="3500"/>
        <w:gridCol w:w="2329"/>
      </w:tblGrid>
      <w:tr w14:paraId="4B7D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3" w:type="dxa"/>
            <w:noWrap w:val="0"/>
            <w:vAlign w:val="center"/>
          </w:tcPr>
          <w:p w14:paraId="3D24D890">
            <w:pPr>
              <w:keepNext w:val="0"/>
              <w:keepLines w:val="0"/>
              <w:pageBreakBefore w:val="0"/>
              <w:widowControl/>
              <w:jc w:val="center"/>
              <w:rPr>
                <w:rFonts w:hint="default"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序号</w:t>
            </w:r>
          </w:p>
        </w:tc>
        <w:tc>
          <w:tcPr>
            <w:tcW w:w="1517" w:type="dxa"/>
            <w:noWrap w:val="0"/>
            <w:vAlign w:val="center"/>
          </w:tcPr>
          <w:p w14:paraId="04C6B07E">
            <w:pPr>
              <w:keepNext w:val="0"/>
              <w:keepLines w:val="0"/>
              <w:pageBreakBefore w:val="0"/>
              <w:widowControl/>
              <w:jc w:val="center"/>
              <w:rPr>
                <w:rFonts w:hint="default"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设备名称</w:t>
            </w:r>
          </w:p>
        </w:tc>
        <w:tc>
          <w:tcPr>
            <w:tcW w:w="1366" w:type="dxa"/>
            <w:noWrap w:val="0"/>
            <w:vAlign w:val="center"/>
          </w:tcPr>
          <w:p w14:paraId="730E1FD0">
            <w:pPr>
              <w:keepNext w:val="0"/>
              <w:keepLines w:val="0"/>
              <w:pageBreakBefore w:val="0"/>
              <w:widowControl/>
              <w:jc w:val="center"/>
              <w:rPr>
                <w:rFonts w:hint="default"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设备数量（套）</w:t>
            </w:r>
          </w:p>
        </w:tc>
        <w:tc>
          <w:tcPr>
            <w:tcW w:w="3500" w:type="dxa"/>
            <w:noWrap w:val="0"/>
            <w:vAlign w:val="center"/>
          </w:tcPr>
          <w:p w14:paraId="671542CA">
            <w:pPr>
              <w:keepNext w:val="0"/>
              <w:keepLines w:val="0"/>
              <w:pageBreakBefore w:val="0"/>
              <w:widowControl/>
              <w:jc w:val="center"/>
              <w:rPr>
                <w:rFonts w:hint="default"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要  求</w:t>
            </w:r>
          </w:p>
        </w:tc>
        <w:tc>
          <w:tcPr>
            <w:tcW w:w="2329" w:type="dxa"/>
            <w:noWrap w:val="0"/>
            <w:vAlign w:val="center"/>
          </w:tcPr>
          <w:p w14:paraId="2C24895F">
            <w:pPr>
              <w:keepNext w:val="0"/>
              <w:keepLines w:val="0"/>
              <w:pageBreakBefore w:val="0"/>
              <w:widowControl/>
              <w:jc w:val="center"/>
              <w:rPr>
                <w:rFonts w:hint="default"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备 注</w:t>
            </w:r>
          </w:p>
        </w:tc>
      </w:tr>
      <w:tr w14:paraId="7376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3" w:type="dxa"/>
            <w:noWrap w:val="0"/>
            <w:vAlign w:val="center"/>
          </w:tcPr>
          <w:p w14:paraId="12775A34">
            <w:pPr>
              <w:jc w:val="center"/>
              <w:rPr>
                <w:rFonts w:hint="default"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1</w:t>
            </w:r>
          </w:p>
        </w:tc>
        <w:tc>
          <w:tcPr>
            <w:tcW w:w="1517" w:type="dxa"/>
            <w:noWrap w:val="0"/>
            <w:vAlign w:val="center"/>
          </w:tcPr>
          <w:p w14:paraId="024527B9">
            <w:pPr>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分析仪</w:t>
            </w:r>
          </w:p>
        </w:tc>
        <w:tc>
          <w:tcPr>
            <w:tcW w:w="1366" w:type="dxa"/>
            <w:noWrap w:val="0"/>
            <w:vAlign w:val="center"/>
          </w:tcPr>
          <w:p w14:paraId="67588D4E">
            <w:pPr>
              <w:jc w:val="center"/>
              <w:rPr>
                <w:rFonts w:hint="default"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1</w:t>
            </w:r>
          </w:p>
        </w:tc>
        <w:tc>
          <w:tcPr>
            <w:tcW w:w="3500" w:type="dxa"/>
            <w:noWrap w:val="0"/>
            <w:vAlign w:val="center"/>
          </w:tcPr>
          <w:p w14:paraId="5353C646">
            <w:pP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水温、pH、溶解氧、电导率、浊度、高锰酸盐指数、氨氮、总磷</w:t>
            </w:r>
            <w:r>
              <w:rPr>
                <w:rFonts w:hint="eastAsia" w:ascii="Times New Roman" w:hAnsi="Times New Roman" w:eastAsia="宋体" w:cs="Times New Roman"/>
                <w:kern w:val="0"/>
                <w:sz w:val="24"/>
                <w:szCs w:val="24"/>
                <w:highlight w:val="none"/>
              </w:rPr>
              <w:t>八</w:t>
            </w:r>
            <w:r>
              <w:rPr>
                <w:rFonts w:hint="default" w:ascii="Times New Roman" w:hAnsi="Times New Roman" w:eastAsia="宋体" w:cs="Times New Roman"/>
                <w:kern w:val="0"/>
                <w:sz w:val="24"/>
                <w:szCs w:val="24"/>
                <w:highlight w:val="none"/>
              </w:rPr>
              <w:t>参数</w:t>
            </w:r>
            <w:r>
              <w:rPr>
                <w:rFonts w:hint="eastAsia" w:ascii="Times New Roman" w:hAnsi="Times New Roman" w:eastAsia="宋体" w:cs="Times New Roman"/>
                <w:kern w:val="0"/>
                <w:sz w:val="24"/>
                <w:szCs w:val="24"/>
                <w:highlight w:val="none"/>
              </w:rPr>
              <w:t>或以上</w:t>
            </w:r>
            <w:r>
              <w:rPr>
                <w:rFonts w:hint="default" w:ascii="Times New Roman" w:hAnsi="Times New Roman" w:eastAsia="宋体" w:cs="Times New Roman"/>
                <w:kern w:val="0"/>
                <w:sz w:val="24"/>
                <w:szCs w:val="24"/>
                <w:highlight w:val="none"/>
              </w:rPr>
              <w:t>分析仪</w:t>
            </w:r>
          </w:p>
        </w:tc>
        <w:tc>
          <w:tcPr>
            <w:tcW w:w="2329" w:type="dxa"/>
            <w:noWrap w:val="0"/>
            <w:vAlign w:val="center"/>
          </w:tcPr>
          <w:p w14:paraId="1CC9141C">
            <w:pPr>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通过国家计量认证</w:t>
            </w:r>
          </w:p>
        </w:tc>
      </w:tr>
      <w:tr w14:paraId="49371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3" w:type="dxa"/>
            <w:noWrap w:val="0"/>
            <w:vAlign w:val="center"/>
          </w:tcPr>
          <w:p w14:paraId="13DDC23F">
            <w:pPr>
              <w:jc w:val="center"/>
              <w:rPr>
                <w:rFonts w:hint="default"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2</w:t>
            </w:r>
          </w:p>
        </w:tc>
        <w:tc>
          <w:tcPr>
            <w:tcW w:w="1517" w:type="dxa"/>
            <w:noWrap w:val="0"/>
            <w:vAlign w:val="center"/>
          </w:tcPr>
          <w:p w14:paraId="330721C9">
            <w:pPr>
              <w:jc w:val="both"/>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便携式仪器</w:t>
            </w:r>
          </w:p>
        </w:tc>
        <w:tc>
          <w:tcPr>
            <w:tcW w:w="1366" w:type="dxa"/>
            <w:noWrap w:val="0"/>
            <w:vAlign w:val="center"/>
          </w:tcPr>
          <w:p w14:paraId="1ADF18C4">
            <w:pPr>
              <w:jc w:val="center"/>
              <w:rPr>
                <w:rFonts w:hint="default"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1</w:t>
            </w:r>
          </w:p>
        </w:tc>
        <w:tc>
          <w:tcPr>
            <w:tcW w:w="3500" w:type="dxa"/>
            <w:noWrap w:val="0"/>
            <w:vAlign w:val="center"/>
          </w:tcPr>
          <w:p w14:paraId="61A10BBD">
            <w:pPr>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常规参数便携式仪器</w:t>
            </w:r>
          </w:p>
        </w:tc>
        <w:tc>
          <w:tcPr>
            <w:tcW w:w="2329" w:type="dxa"/>
            <w:noWrap w:val="0"/>
            <w:vAlign w:val="center"/>
          </w:tcPr>
          <w:p w14:paraId="6DD522EC">
            <w:pPr>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通过国家计量认证</w:t>
            </w:r>
          </w:p>
        </w:tc>
      </w:tr>
      <w:tr w14:paraId="46380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3" w:type="dxa"/>
            <w:noWrap w:val="0"/>
            <w:vAlign w:val="center"/>
          </w:tcPr>
          <w:p w14:paraId="1511223D">
            <w:pPr>
              <w:jc w:val="center"/>
              <w:rPr>
                <w:rFonts w:hint="default"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3</w:t>
            </w:r>
          </w:p>
        </w:tc>
        <w:tc>
          <w:tcPr>
            <w:tcW w:w="1517" w:type="dxa"/>
            <w:noWrap w:val="0"/>
            <w:vAlign w:val="center"/>
          </w:tcPr>
          <w:p w14:paraId="1C736DAF">
            <w:pPr>
              <w:jc w:val="both"/>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便携式电脑</w:t>
            </w:r>
          </w:p>
        </w:tc>
        <w:tc>
          <w:tcPr>
            <w:tcW w:w="1366" w:type="dxa"/>
            <w:noWrap w:val="0"/>
            <w:vAlign w:val="center"/>
          </w:tcPr>
          <w:p w14:paraId="1DD3A481">
            <w:pPr>
              <w:jc w:val="center"/>
              <w:rPr>
                <w:rFonts w:hint="default"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2</w:t>
            </w:r>
          </w:p>
        </w:tc>
        <w:tc>
          <w:tcPr>
            <w:tcW w:w="3500" w:type="dxa"/>
            <w:noWrap w:val="0"/>
            <w:vAlign w:val="center"/>
          </w:tcPr>
          <w:p w14:paraId="712B3D40">
            <w:pPr>
              <w:jc w:val="center"/>
              <w:rPr>
                <w:rFonts w:hint="default"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安装有</w:t>
            </w:r>
            <w:r>
              <w:rPr>
                <w:rFonts w:hint="default" w:ascii="Times New Roman" w:hAnsi="Times New Roman" w:eastAsia="宋体" w:cs="Times New Roman"/>
                <w:kern w:val="0"/>
                <w:sz w:val="24"/>
                <w:szCs w:val="24"/>
                <w:highlight w:val="none"/>
              </w:rPr>
              <w:t>远程数据查询系统</w:t>
            </w:r>
          </w:p>
        </w:tc>
        <w:tc>
          <w:tcPr>
            <w:tcW w:w="2329" w:type="dxa"/>
            <w:noWrap w:val="0"/>
            <w:vAlign w:val="center"/>
          </w:tcPr>
          <w:p w14:paraId="5234C36D">
            <w:pPr>
              <w:ind w:firstLine="420"/>
              <w:jc w:val="center"/>
              <w:rPr>
                <w:rFonts w:hint="default" w:ascii="Times New Roman" w:hAnsi="Times New Roman" w:eastAsia="宋体" w:cs="Times New Roman"/>
                <w:kern w:val="0"/>
                <w:sz w:val="24"/>
                <w:szCs w:val="24"/>
                <w:highlight w:val="none"/>
              </w:rPr>
            </w:pPr>
          </w:p>
        </w:tc>
      </w:tr>
    </w:tbl>
    <w:p w14:paraId="42B9F81D">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iCs/>
          <w:kern w:val="0"/>
          <w:sz w:val="24"/>
          <w:szCs w:val="24"/>
          <w:highlight w:val="none"/>
          <w:lang w:val="en-US" w:eastAsia="zh-CN"/>
        </w:rPr>
        <w:t>3.2.4</w:t>
      </w:r>
      <w:r>
        <w:rPr>
          <w:rFonts w:hint="default" w:ascii="宋体" w:hAnsi="宋体" w:eastAsia="宋体" w:cs="Times New Roman"/>
          <w:kern w:val="0"/>
          <w:sz w:val="24"/>
          <w:szCs w:val="24"/>
          <w:highlight w:val="none"/>
        </w:rPr>
        <w:t>运维单位须承诺成交后1个月（30日历日）内配齐本技术要求中所涉及的仪器设备、耗材和备件。耗材按照不少于半年的消耗量配置，备件按照至少1年使用量配置。必须使用原厂生产的备品备件和耗材（若无原厂生产的，则应使用经权威机构检定合格的），严禁使用未经权威机构检定合格或劣质备品备件和耗材。</w:t>
      </w:r>
    </w:p>
    <w:p w14:paraId="211D4CCB">
      <w:pPr>
        <w:spacing w:line="480" w:lineRule="exact"/>
        <w:ind w:firstLine="480"/>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3.2.5</w:t>
      </w:r>
      <w:r>
        <w:rPr>
          <w:rFonts w:hint="eastAsia" w:ascii="宋体" w:hAnsi="宋体" w:eastAsia="宋体" w:cs="Times New Roman"/>
          <w:kern w:val="0"/>
          <w:sz w:val="24"/>
          <w:szCs w:val="24"/>
          <w:highlight w:val="none"/>
        </w:rPr>
        <w:t>运维单位需具备良好的</w:t>
      </w:r>
      <w:r>
        <w:rPr>
          <w:rFonts w:hint="default" w:ascii="宋体" w:hAnsi="宋体" w:eastAsia="宋体" w:cs="Times New Roman"/>
          <w:kern w:val="0"/>
          <w:sz w:val="24"/>
          <w:szCs w:val="24"/>
          <w:highlight w:val="none"/>
        </w:rPr>
        <w:t>质量管理体系</w:t>
      </w:r>
      <w:r>
        <w:rPr>
          <w:rFonts w:hint="eastAsia" w:ascii="宋体" w:hAnsi="宋体" w:eastAsia="宋体" w:cs="Times New Roman"/>
          <w:kern w:val="0"/>
          <w:sz w:val="24"/>
          <w:szCs w:val="24"/>
          <w:highlight w:val="none"/>
        </w:rPr>
        <w:t>，满足水站运维的质量要求；同时需保障运维人员身心健康，具备</w:t>
      </w:r>
      <w:r>
        <w:rPr>
          <w:rFonts w:hint="default" w:ascii="宋体" w:hAnsi="宋体" w:eastAsia="宋体" w:cs="Times New Roman"/>
          <w:kern w:val="0"/>
          <w:sz w:val="24"/>
          <w:szCs w:val="24"/>
          <w:highlight w:val="none"/>
        </w:rPr>
        <w:t>职业健康安全体系</w:t>
      </w:r>
      <w:r>
        <w:rPr>
          <w:rFonts w:hint="eastAsia" w:ascii="宋体" w:hAnsi="宋体" w:eastAsia="宋体" w:cs="Times New Roman"/>
          <w:kern w:val="0"/>
          <w:sz w:val="24"/>
          <w:szCs w:val="24"/>
          <w:highlight w:val="none"/>
        </w:rPr>
        <w:t>的证明文件；需具备业界良好的口碑，具有良好的</w:t>
      </w:r>
      <w:r>
        <w:rPr>
          <w:rFonts w:hint="default" w:ascii="宋体" w:hAnsi="宋体" w:eastAsia="宋体" w:cs="Times New Roman"/>
          <w:kern w:val="0"/>
          <w:sz w:val="24"/>
          <w:szCs w:val="24"/>
          <w:highlight w:val="none"/>
        </w:rPr>
        <w:t>信用等级（或资信等级）。</w:t>
      </w:r>
    </w:p>
    <w:p w14:paraId="03E1B699">
      <w:pPr>
        <w:spacing w:line="480" w:lineRule="exact"/>
        <w:ind w:firstLine="480"/>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3.2.6</w:t>
      </w:r>
      <w:r>
        <w:rPr>
          <w:rFonts w:hint="default" w:ascii="宋体" w:hAnsi="宋体" w:eastAsia="宋体" w:cs="Times New Roman"/>
          <w:kern w:val="0"/>
          <w:sz w:val="24"/>
          <w:szCs w:val="24"/>
          <w:highlight w:val="none"/>
        </w:rPr>
        <w:t>成交后，承诺按照</w:t>
      </w:r>
      <w:r>
        <w:rPr>
          <w:rFonts w:hint="eastAsia" w:ascii="宋体" w:hAnsi="宋体" w:eastAsia="宋体" w:cs="宋体"/>
          <w:bCs/>
          <w:color w:val="000000"/>
          <w:kern w:val="0"/>
          <w:sz w:val="24"/>
          <w:szCs w:val="24"/>
          <w:highlight w:val="none"/>
        </w:rPr>
        <w:t>徐州市丰县生态环境局</w:t>
      </w:r>
      <w:r>
        <w:rPr>
          <w:rFonts w:hint="default" w:ascii="宋体" w:hAnsi="宋体" w:eastAsia="宋体" w:cs="Times New Roman"/>
          <w:kern w:val="0"/>
          <w:sz w:val="24"/>
          <w:szCs w:val="24"/>
          <w:highlight w:val="none"/>
        </w:rPr>
        <w:t>要求开展运维交接工作</w:t>
      </w:r>
      <w:r>
        <w:rPr>
          <w:rFonts w:hint="eastAsia" w:ascii="宋体" w:hAnsi="宋体" w:eastAsia="宋体" w:cs="Times New Roman"/>
          <w:kern w:val="0"/>
          <w:sz w:val="24"/>
          <w:szCs w:val="24"/>
          <w:highlight w:val="none"/>
        </w:rPr>
        <w:t>，并做好接收方案</w:t>
      </w:r>
      <w:r>
        <w:rPr>
          <w:rFonts w:hint="default" w:ascii="宋体" w:hAnsi="宋体" w:eastAsia="宋体" w:cs="Times New Roman"/>
          <w:kern w:val="0"/>
          <w:sz w:val="24"/>
          <w:szCs w:val="24"/>
          <w:highlight w:val="none"/>
        </w:rPr>
        <w:t>。</w:t>
      </w:r>
    </w:p>
    <w:p w14:paraId="63A3FF67">
      <w:pPr>
        <w:tabs>
          <w:tab w:val="left" w:pos="2280"/>
        </w:tabs>
        <w:spacing w:line="560" w:lineRule="exact"/>
        <w:ind w:firstLine="241"/>
        <w:contextualSpacing/>
        <w:jc w:val="both"/>
        <w:rPr>
          <w:rFonts w:hint="default" w:ascii="Times New Roman" w:hAnsi="Times New Roman" w:eastAsia="宋体" w:cs="Times New Roman"/>
          <w:b/>
          <w:kern w:val="0"/>
          <w:sz w:val="24"/>
          <w:szCs w:val="24"/>
          <w:highlight w:val="none"/>
        </w:rPr>
      </w:pPr>
      <w:r>
        <w:rPr>
          <w:rFonts w:hint="eastAsia" w:ascii="宋体" w:hAnsi="宋体" w:eastAsia="宋体" w:cs="Times New Roman"/>
          <w:b/>
          <w:kern w:val="0"/>
          <w:sz w:val="24"/>
          <w:szCs w:val="24"/>
          <w:highlight w:val="none"/>
          <w:lang w:val="en-US" w:eastAsia="zh-CN"/>
        </w:rPr>
        <w:t>3.3</w:t>
      </w:r>
      <w:r>
        <w:rPr>
          <w:rFonts w:hint="default" w:ascii="宋体" w:hAnsi="宋体" w:eastAsia="宋体" w:cs="Times New Roman"/>
          <w:b/>
          <w:kern w:val="0"/>
          <w:sz w:val="24"/>
          <w:szCs w:val="24"/>
          <w:highlight w:val="none"/>
        </w:rPr>
        <w:t>运维工作内容</w:t>
      </w:r>
    </w:p>
    <w:p w14:paraId="10E2BC09">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运维过程中主要完成以下工作：</w:t>
      </w:r>
    </w:p>
    <w:p w14:paraId="3C4D4B2F">
      <w:pPr>
        <w:tabs>
          <w:tab w:val="left" w:pos="567"/>
          <w:tab w:val="left" w:pos="993"/>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3.3.1</w:t>
      </w:r>
      <w:r>
        <w:rPr>
          <w:rFonts w:hint="eastAsia" w:ascii="宋体" w:hAnsi="宋体" w:eastAsia="宋体" w:cs="Times New Roman"/>
          <w:kern w:val="0"/>
          <w:sz w:val="24"/>
          <w:szCs w:val="24"/>
          <w:highlight w:val="none"/>
        </w:rPr>
        <w:t>水站</w:t>
      </w:r>
      <w:r>
        <w:rPr>
          <w:rFonts w:hint="default" w:ascii="宋体" w:hAnsi="宋体" w:eastAsia="宋体" w:cs="Times New Roman"/>
          <w:kern w:val="0"/>
          <w:sz w:val="24"/>
          <w:szCs w:val="24"/>
          <w:highlight w:val="none"/>
        </w:rPr>
        <w:t>的日常运行维护。提供、配制并定期更换水质自动监测仪器所需试剂、气体和标样；根据仪器运行状况和类型，定期对溶解氧电极、氨氮电极、pH电极、高锰酸盐指数电极、总磷UV灯等耗材进行更换，其余备品备件根据江苏省有关水质自动站备品备件管理制度的要求按期更换。所有备品备件均由成交单位提供。</w:t>
      </w:r>
    </w:p>
    <w:p w14:paraId="4418C521">
      <w:pPr>
        <w:tabs>
          <w:tab w:val="left" w:pos="567"/>
          <w:tab w:val="left" w:pos="180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3.3.2</w:t>
      </w:r>
      <w:r>
        <w:rPr>
          <w:rFonts w:hint="default" w:ascii="宋体" w:hAnsi="宋体" w:eastAsia="宋体" w:cs="Times New Roman"/>
          <w:kern w:val="0"/>
          <w:sz w:val="24"/>
          <w:szCs w:val="24"/>
          <w:highlight w:val="none"/>
        </w:rPr>
        <w:t>.</w:t>
      </w:r>
      <w:r>
        <w:rPr>
          <w:rFonts w:hint="eastAsia" w:ascii="宋体" w:hAnsi="宋体" w:eastAsia="宋体" w:cs="Times New Roman"/>
          <w:kern w:val="0"/>
          <w:sz w:val="24"/>
          <w:szCs w:val="24"/>
          <w:highlight w:val="none"/>
        </w:rPr>
        <w:t>水</w:t>
      </w:r>
      <w:r>
        <w:rPr>
          <w:rFonts w:hint="default" w:ascii="宋体" w:hAnsi="宋体" w:eastAsia="宋体" w:cs="Times New Roman"/>
          <w:kern w:val="0"/>
          <w:sz w:val="24"/>
          <w:szCs w:val="24"/>
          <w:highlight w:val="none"/>
        </w:rPr>
        <w:t>站的日常质量管理。对水站仪表进行定期校准、核查、比对、性能测试。配合</w:t>
      </w:r>
      <w:r>
        <w:rPr>
          <w:rFonts w:hint="eastAsia" w:ascii="宋体" w:hAnsi="宋体" w:eastAsia="宋体" w:cs="宋体"/>
          <w:bCs/>
          <w:color w:val="000000"/>
          <w:kern w:val="0"/>
          <w:sz w:val="24"/>
          <w:szCs w:val="24"/>
          <w:highlight w:val="none"/>
        </w:rPr>
        <w:t>徐州市丰县生态环境局</w:t>
      </w:r>
      <w:r>
        <w:rPr>
          <w:rFonts w:hint="default" w:ascii="宋体" w:hAnsi="宋体" w:eastAsia="宋体" w:cs="Times New Roman"/>
          <w:kern w:val="0"/>
          <w:sz w:val="24"/>
          <w:szCs w:val="24"/>
          <w:highlight w:val="none"/>
        </w:rPr>
        <w:t>、驻市中心进行水站质量保证和质量质控工作。</w:t>
      </w:r>
    </w:p>
    <w:p w14:paraId="00EEC566">
      <w:pPr>
        <w:tabs>
          <w:tab w:val="left" w:pos="567"/>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3.3.3</w:t>
      </w:r>
      <w:r>
        <w:rPr>
          <w:rFonts w:hint="default" w:ascii="宋体" w:hAnsi="宋体" w:eastAsia="宋体" w:cs="Times New Roman"/>
          <w:kern w:val="0"/>
          <w:sz w:val="24"/>
          <w:szCs w:val="24"/>
          <w:highlight w:val="none"/>
        </w:rPr>
        <w:t>.</w:t>
      </w:r>
      <w:r>
        <w:rPr>
          <w:rFonts w:hint="eastAsia" w:ascii="宋体" w:hAnsi="宋体" w:eastAsia="宋体" w:cs="Times New Roman"/>
          <w:kern w:val="0"/>
          <w:sz w:val="24"/>
          <w:szCs w:val="24"/>
          <w:highlight w:val="none"/>
        </w:rPr>
        <w:t>水站</w:t>
      </w:r>
      <w:r>
        <w:rPr>
          <w:rFonts w:hint="default" w:ascii="宋体" w:hAnsi="宋体" w:eastAsia="宋体" w:cs="Times New Roman"/>
          <w:kern w:val="0"/>
          <w:sz w:val="24"/>
          <w:szCs w:val="24"/>
          <w:highlight w:val="none"/>
        </w:rPr>
        <w:t>的日常安全管理</w:t>
      </w:r>
      <w:r>
        <w:rPr>
          <w:rFonts w:hint="default" w:ascii="宋体" w:hAnsi="宋体" w:eastAsia="宋体" w:cs="Times New Roman"/>
          <w:kern w:val="0"/>
          <w:sz w:val="24"/>
          <w:szCs w:val="24"/>
          <w:highlight w:val="none"/>
        </w:rPr>
        <w:t>。运营维护期间所需水电、通讯费用由成交单位负责，委托运营维护及管理的全部资产（包括全部产权和建筑物、设备、软件、配套设施、水质自动站和配套监控系统产生的各类数据信息及相关文档资料）属业主方所有。成交人不得以任何方式对各类财产进行出售、抵押或转移；同时，在委托运营及管理期间，成交单位有责任保证上述全部资产的完整、安全并处于良好状态。未经业主允许，非水站运维人员不得擅自进入站房。</w:t>
      </w:r>
    </w:p>
    <w:p w14:paraId="7A855889">
      <w:pPr>
        <w:tabs>
          <w:tab w:val="left" w:pos="567"/>
          <w:tab w:val="left" w:pos="2280"/>
        </w:tabs>
        <w:spacing w:line="480" w:lineRule="exact"/>
        <w:ind w:firstLine="36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3.3.4</w:t>
      </w:r>
      <w:r>
        <w:rPr>
          <w:rFonts w:hint="default" w:ascii="宋体" w:hAnsi="宋体" w:eastAsia="宋体" w:cs="Times New Roman"/>
          <w:kern w:val="0"/>
          <w:sz w:val="24"/>
          <w:szCs w:val="24"/>
          <w:highlight w:val="none"/>
        </w:rPr>
        <w:t>.</w:t>
      </w:r>
      <w:r>
        <w:rPr>
          <w:rFonts w:hint="eastAsia" w:ascii="宋体" w:hAnsi="宋体" w:eastAsia="宋体" w:cs="Times New Roman"/>
          <w:kern w:val="0"/>
          <w:sz w:val="24"/>
          <w:szCs w:val="24"/>
          <w:highlight w:val="none"/>
        </w:rPr>
        <w:t>水</w:t>
      </w:r>
      <w:r>
        <w:rPr>
          <w:rFonts w:hint="default" w:ascii="宋体" w:hAnsi="宋体" w:eastAsia="宋体" w:cs="Times New Roman"/>
          <w:kern w:val="0"/>
          <w:sz w:val="24"/>
          <w:szCs w:val="24"/>
          <w:highlight w:val="none"/>
        </w:rPr>
        <w:t>站运维记录的规范、上报。认真、及时做好水站运行维护记录，汇总各水站每周维护记录，每月以书面形式报</w:t>
      </w:r>
      <w:r>
        <w:rPr>
          <w:rFonts w:hint="eastAsia" w:ascii="宋体" w:hAnsi="宋体" w:eastAsia="宋体" w:cs="宋体"/>
          <w:bCs/>
          <w:color w:val="000000"/>
          <w:kern w:val="0"/>
          <w:sz w:val="24"/>
          <w:szCs w:val="24"/>
          <w:highlight w:val="none"/>
        </w:rPr>
        <w:t>徐州市丰县生态环境局</w:t>
      </w:r>
      <w:r>
        <w:rPr>
          <w:rFonts w:hint="default" w:ascii="宋体" w:hAnsi="宋体" w:eastAsia="宋体" w:cs="Times New Roman"/>
          <w:kern w:val="0"/>
          <w:sz w:val="24"/>
          <w:szCs w:val="24"/>
          <w:highlight w:val="none"/>
        </w:rPr>
        <w:t>，书面报告作为运行维护考核依据之一，具体包括：</w:t>
      </w:r>
    </w:p>
    <w:p w14:paraId="5E29202C">
      <w:pPr>
        <w:tabs>
          <w:tab w:val="left" w:pos="567"/>
          <w:tab w:val="left" w:pos="993"/>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3.3.4.1</w:t>
      </w:r>
      <w:r>
        <w:rPr>
          <w:rFonts w:hint="default" w:ascii="宋体" w:hAnsi="宋体" w:eastAsia="宋体" w:cs="Times New Roman"/>
          <w:kern w:val="0"/>
          <w:sz w:val="24"/>
          <w:szCs w:val="24"/>
          <w:highlight w:val="none"/>
        </w:rPr>
        <w:t>自动站每日运行数据情况统计</w:t>
      </w:r>
    </w:p>
    <w:p w14:paraId="1A856F3B">
      <w:pPr>
        <w:tabs>
          <w:tab w:val="left" w:pos="567"/>
          <w:tab w:val="left" w:pos="993"/>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3.3.4.2</w:t>
      </w:r>
      <w:r>
        <w:rPr>
          <w:rFonts w:hint="default" w:ascii="宋体" w:hAnsi="宋体" w:eastAsia="宋体" w:cs="Times New Roman"/>
          <w:kern w:val="0"/>
          <w:sz w:val="24"/>
          <w:szCs w:val="24"/>
          <w:highlight w:val="none"/>
        </w:rPr>
        <w:t>自动站现场维护记录</w:t>
      </w:r>
    </w:p>
    <w:p w14:paraId="4B9F74B2">
      <w:pPr>
        <w:tabs>
          <w:tab w:val="left" w:pos="567"/>
          <w:tab w:val="left" w:pos="993"/>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3.3.4.3</w:t>
      </w:r>
      <w:r>
        <w:rPr>
          <w:rFonts w:hint="default" w:ascii="宋体" w:hAnsi="宋体" w:eastAsia="宋体" w:cs="Times New Roman"/>
          <w:kern w:val="0"/>
          <w:sz w:val="24"/>
          <w:szCs w:val="24"/>
          <w:highlight w:val="none"/>
        </w:rPr>
        <w:t>自动站仪器设备故障及排除情况登记表</w:t>
      </w:r>
    </w:p>
    <w:p w14:paraId="6902CFAF">
      <w:pPr>
        <w:tabs>
          <w:tab w:val="left" w:pos="567"/>
          <w:tab w:val="left" w:pos="993"/>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3.3.4.4</w:t>
      </w:r>
      <w:r>
        <w:rPr>
          <w:rFonts w:hint="default" w:ascii="宋体" w:hAnsi="宋体" w:eastAsia="宋体" w:cs="Times New Roman"/>
          <w:kern w:val="0"/>
          <w:sz w:val="24"/>
          <w:szCs w:val="24"/>
          <w:highlight w:val="none"/>
        </w:rPr>
        <w:t>自动站每月运行情况</w:t>
      </w:r>
    </w:p>
    <w:p w14:paraId="37302D14">
      <w:pPr>
        <w:tabs>
          <w:tab w:val="left" w:pos="567"/>
          <w:tab w:val="left" w:pos="993"/>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3.3.4.5</w:t>
      </w:r>
      <w:r>
        <w:rPr>
          <w:rFonts w:hint="default" w:ascii="宋体" w:hAnsi="宋体" w:eastAsia="宋体" w:cs="Times New Roman"/>
          <w:kern w:val="0"/>
          <w:sz w:val="24"/>
          <w:szCs w:val="24"/>
          <w:highlight w:val="none"/>
        </w:rPr>
        <w:t>自动站备品备件管理登记表</w:t>
      </w:r>
    </w:p>
    <w:p w14:paraId="314E5347">
      <w:pPr>
        <w:tabs>
          <w:tab w:val="left" w:pos="567"/>
          <w:tab w:val="left" w:pos="709"/>
          <w:tab w:val="left" w:pos="75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3.3.5</w:t>
      </w:r>
      <w:r>
        <w:rPr>
          <w:rFonts w:hint="default" w:ascii="宋体" w:hAnsi="宋体" w:eastAsia="宋体" w:cs="Times New Roman"/>
          <w:kern w:val="0"/>
          <w:sz w:val="24"/>
          <w:szCs w:val="24"/>
          <w:highlight w:val="none"/>
        </w:rPr>
        <w:t>.水站的仪器设备及其他相关辅助设备设施的维护保养及故障维修。成交单位须针对水站系统和仪表制定年度保养检修计划并按期进行。保养检修包括系统的清洗和检修、仪器管路清洗、主要备件的更换、仪器的性能测试检查等内容。按照《江苏省环境水质（地表水）自动监测预警系统运行管理办法（试行）》要求，及时排除水站系统和仪表出现的故障，并对各种原因造成的仪器故障进行维修（由于地震、洪水和战争等不可预防和不可抗拒因素造成的自动站系统及仪器损坏除外）。</w:t>
      </w:r>
    </w:p>
    <w:p w14:paraId="16A607E4">
      <w:pPr>
        <w:tabs>
          <w:tab w:val="left" w:pos="567"/>
          <w:tab w:val="left" w:pos="709"/>
          <w:tab w:val="left" w:pos="75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3.3.6</w:t>
      </w:r>
      <w:r>
        <w:rPr>
          <w:rFonts w:hint="default" w:ascii="宋体" w:hAnsi="宋体" w:eastAsia="宋体" w:cs="Times New Roman"/>
          <w:kern w:val="0"/>
          <w:sz w:val="24"/>
          <w:szCs w:val="24"/>
          <w:highlight w:val="none"/>
        </w:rPr>
        <w:t>.</w:t>
      </w:r>
      <w:r>
        <w:rPr>
          <w:rFonts w:hint="default" w:ascii="宋体" w:hAnsi="宋体" w:eastAsia="宋体" w:cs="Times New Roman"/>
          <w:kern w:val="0"/>
          <w:sz w:val="24"/>
          <w:szCs w:val="24"/>
          <w:highlight w:val="none"/>
        </w:rPr>
        <w:tab/>
      </w:r>
      <w:r>
        <w:rPr>
          <w:rFonts w:hint="default" w:ascii="宋体" w:hAnsi="宋体" w:eastAsia="宋体" w:cs="Times New Roman"/>
          <w:kern w:val="0"/>
          <w:sz w:val="24"/>
          <w:szCs w:val="24"/>
          <w:highlight w:val="none"/>
        </w:rPr>
        <w:t>水站数据采集及传输系统的维护及维修，保证通讯正常。</w:t>
      </w:r>
    </w:p>
    <w:p w14:paraId="5DC41073">
      <w:pPr>
        <w:tabs>
          <w:tab w:val="left" w:pos="567"/>
          <w:tab w:val="left" w:pos="709"/>
          <w:tab w:val="left" w:pos="75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3.3.7</w:t>
      </w:r>
      <w:r>
        <w:rPr>
          <w:rFonts w:hint="default" w:ascii="宋体" w:hAnsi="宋体" w:eastAsia="宋体" w:cs="Times New Roman"/>
          <w:kern w:val="0"/>
          <w:sz w:val="24"/>
          <w:szCs w:val="24"/>
          <w:highlight w:val="none"/>
        </w:rPr>
        <w:t>.</w:t>
      </w:r>
      <w:r>
        <w:rPr>
          <w:rFonts w:hint="default" w:ascii="宋体" w:hAnsi="宋体" w:eastAsia="宋体" w:cs="Times New Roman"/>
          <w:kern w:val="0"/>
          <w:sz w:val="24"/>
          <w:szCs w:val="24"/>
          <w:highlight w:val="none"/>
        </w:rPr>
        <w:tab/>
      </w:r>
      <w:r>
        <w:rPr>
          <w:rFonts w:hint="default" w:ascii="宋体" w:hAnsi="宋体" w:eastAsia="宋体" w:cs="Times New Roman"/>
          <w:kern w:val="0"/>
          <w:sz w:val="24"/>
          <w:szCs w:val="24"/>
          <w:highlight w:val="none"/>
        </w:rPr>
        <w:t>当仪器出现故障不能及时修复时，应在24小时之内使用备机开展监测；</w:t>
      </w:r>
    </w:p>
    <w:p w14:paraId="3FBF657A">
      <w:pPr>
        <w:tabs>
          <w:tab w:val="left" w:pos="567"/>
          <w:tab w:val="left" w:pos="709"/>
          <w:tab w:val="left" w:pos="750"/>
        </w:tabs>
        <w:spacing w:line="480" w:lineRule="exact"/>
        <w:ind w:right="45"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3.3.8</w:t>
      </w:r>
      <w:r>
        <w:rPr>
          <w:rFonts w:hint="default" w:ascii="宋体" w:hAnsi="宋体" w:eastAsia="宋体" w:cs="Times New Roman"/>
          <w:kern w:val="0"/>
          <w:sz w:val="24"/>
          <w:szCs w:val="24"/>
          <w:highlight w:val="none"/>
        </w:rPr>
        <w:t>.</w:t>
      </w:r>
      <w:r>
        <w:rPr>
          <w:rFonts w:hint="default" w:ascii="宋体" w:hAnsi="宋体" w:eastAsia="宋体" w:cs="Times New Roman"/>
          <w:kern w:val="0"/>
          <w:sz w:val="24"/>
          <w:szCs w:val="24"/>
          <w:highlight w:val="none"/>
        </w:rPr>
        <w:tab/>
      </w:r>
      <w:r>
        <w:rPr>
          <w:rFonts w:hint="default" w:ascii="宋体" w:hAnsi="宋体" w:eastAsia="宋体" w:cs="Times New Roman"/>
          <w:kern w:val="0"/>
          <w:sz w:val="24"/>
          <w:szCs w:val="24"/>
          <w:highlight w:val="none"/>
        </w:rPr>
        <w:t>仪器报废后（包括使用超过8年导致，或因洪水、地震、台风、站房外部火灾、爆炸、恐怖袭击、武装冲突、蓄意破坏等不可抗力导致），运维单位须先行及时使用备机开展监测，同时报告</w:t>
      </w:r>
      <w:r>
        <w:rPr>
          <w:rFonts w:hint="eastAsia" w:ascii="宋体" w:hAnsi="宋体" w:eastAsia="宋体" w:cs="宋体"/>
          <w:bCs/>
          <w:color w:val="000000"/>
          <w:kern w:val="0"/>
          <w:sz w:val="24"/>
          <w:szCs w:val="24"/>
          <w:highlight w:val="none"/>
        </w:rPr>
        <w:t>徐州市丰县生态环境局</w:t>
      </w:r>
      <w:r>
        <w:rPr>
          <w:rFonts w:hint="default" w:ascii="宋体" w:hAnsi="宋体" w:eastAsia="宋体" w:cs="Times New Roman"/>
          <w:kern w:val="0"/>
          <w:sz w:val="24"/>
          <w:szCs w:val="24"/>
          <w:highlight w:val="none"/>
        </w:rPr>
        <w:t>。</w:t>
      </w:r>
    </w:p>
    <w:p w14:paraId="4B51B7EC">
      <w:pPr>
        <w:tabs>
          <w:tab w:val="left" w:pos="567"/>
          <w:tab w:val="left" w:pos="709"/>
          <w:tab w:val="left" w:pos="993"/>
        </w:tabs>
        <w:spacing w:line="480" w:lineRule="exact"/>
        <w:ind w:right="45"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3.3.9</w:t>
      </w:r>
      <w:r>
        <w:rPr>
          <w:rFonts w:hint="default" w:ascii="宋体" w:hAnsi="宋体" w:eastAsia="宋体" w:cs="Times New Roman"/>
          <w:kern w:val="0"/>
          <w:sz w:val="24"/>
          <w:szCs w:val="24"/>
          <w:highlight w:val="none"/>
        </w:rPr>
        <w:t>.当点位需要新增、撤销、变更时，由所在地城市生态环境部门按照点位管理程序向省生态环境厅报批。涉及站点迁移的，运维单位应做好迁移前后监测仪器设备检查工作并做好相关记录。</w:t>
      </w:r>
    </w:p>
    <w:p w14:paraId="7B03E9C8">
      <w:pPr>
        <w:tabs>
          <w:tab w:val="left" w:pos="2280"/>
        </w:tabs>
        <w:spacing w:line="560" w:lineRule="exact"/>
        <w:ind w:firstLine="241"/>
        <w:contextualSpacing/>
        <w:jc w:val="both"/>
        <w:rPr>
          <w:rFonts w:hint="default" w:ascii="Times New Roman" w:hAnsi="Times New Roman" w:eastAsia="宋体" w:cs="Times New Roman"/>
          <w:b/>
          <w:kern w:val="0"/>
          <w:sz w:val="24"/>
          <w:szCs w:val="24"/>
          <w:highlight w:val="none"/>
        </w:rPr>
      </w:pPr>
      <w:r>
        <w:rPr>
          <w:rFonts w:hint="eastAsia" w:ascii="宋体" w:hAnsi="宋体" w:eastAsia="宋体" w:cs="Times New Roman"/>
          <w:b/>
          <w:kern w:val="0"/>
          <w:sz w:val="24"/>
          <w:szCs w:val="24"/>
          <w:highlight w:val="none"/>
          <w:lang w:val="en-US" w:eastAsia="zh-CN"/>
        </w:rPr>
        <w:t>3.4</w:t>
      </w:r>
      <w:r>
        <w:rPr>
          <w:rFonts w:hint="default" w:ascii="宋体" w:hAnsi="宋体" w:eastAsia="宋体" w:cs="Times New Roman"/>
          <w:b/>
          <w:kern w:val="0"/>
          <w:sz w:val="24"/>
          <w:szCs w:val="24"/>
          <w:highlight w:val="none"/>
        </w:rPr>
        <w:t>运维工作要求</w:t>
      </w:r>
    </w:p>
    <w:p w14:paraId="26728F66">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运维单位应遵守省国家、省关于水质自动站运行管理的各项规定，如运维期间出台新的运行管理规定，则运维工作按最新规定执行。</w:t>
      </w:r>
    </w:p>
    <w:p w14:paraId="318D6F2C">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3.4.1</w:t>
      </w:r>
      <w:r>
        <w:rPr>
          <w:rFonts w:hint="default" w:ascii="宋体" w:hAnsi="宋体" w:eastAsia="宋体" w:cs="Times New Roman"/>
          <w:kern w:val="0"/>
          <w:sz w:val="24"/>
          <w:szCs w:val="24"/>
          <w:highlight w:val="none"/>
        </w:rPr>
        <w:t>.运维工作一般要求如下：</w:t>
      </w:r>
    </w:p>
    <w:p w14:paraId="29CA5CE9">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3.4.1.1</w:t>
      </w:r>
      <w:r>
        <w:rPr>
          <w:rFonts w:hint="default" w:ascii="宋体" w:hAnsi="宋体" w:eastAsia="宋体" w:cs="Times New Roman"/>
          <w:kern w:val="0"/>
          <w:sz w:val="24"/>
          <w:szCs w:val="24"/>
          <w:highlight w:val="none"/>
        </w:rPr>
        <w:t>保持站房内部环境清洁，布置整齐，各仪器设备干净清洁，设备标识清楚；</w:t>
      </w:r>
    </w:p>
    <w:p w14:paraId="7711EF4C">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3.4.1.2</w:t>
      </w:r>
      <w:r>
        <w:rPr>
          <w:rFonts w:hint="default" w:ascii="宋体" w:hAnsi="宋体" w:eastAsia="宋体" w:cs="Times New Roman"/>
          <w:kern w:val="0"/>
          <w:sz w:val="24"/>
          <w:szCs w:val="24"/>
          <w:highlight w:val="none"/>
        </w:rPr>
        <w:t>保持站房外20m以内的环境清洁；</w:t>
      </w:r>
    </w:p>
    <w:p w14:paraId="185E0783">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3.4.1.3</w:t>
      </w:r>
      <w:r>
        <w:rPr>
          <w:rFonts w:hint="default" w:ascii="宋体" w:hAnsi="宋体" w:eastAsia="宋体" w:cs="Times New Roman"/>
          <w:kern w:val="0"/>
          <w:sz w:val="24"/>
          <w:szCs w:val="24"/>
          <w:highlight w:val="none"/>
        </w:rPr>
        <w:t>检查供电和网络通讯情况，保证系统的正常运行;</w:t>
      </w:r>
    </w:p>
    <w:p w14:paraId="1A79143E">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3.4.1.4</w:t>
      </w:r>
      <w:r>
        <w:rPr>
          <w:rFonts w:hint="default" w:ascii="宋体" w:hAnsi="宋体" w:eastAsia="宋体" w:cs="Times New Roman"/>
          <w:kern w:val="0"/>
          <w:sz w:val="24"/>
          <w:szCs w:val="24"/>
          <w:highlight w:val="none"/>
        </w:rPr>
        <w:t>保证空调正常工作，站房内温度、湿度满足仪器运行要求；</w:t>
      </w:r>
    </w:p>
    <w:p w14:paraId="65527BC8">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3.4.1.5</w:t>
      </w:r>
      <w:r>
        <w:rPr>
          <w:rFonts w:hint="default" w:ascii="宋体" w:hAnsi="宋体" w:eastAsia="宋体" w:cs="Times New Roman"/>
          <w:kern w:val="0"/>
          <w:sz w:val="24"/>
          <w:szCs w:val="24"/>
          <w:highlight w:val="none"/>
        </w:rPr>
        <w:t>指派专人维护，设备固定牢固，门窗关闭良好，人走关门，非工作人员未经许可不得入内；</w:t>
      </w:r>
    </w:p>
    <w:p w14:paraId="61DA8F56">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3.4.1.6</w:t>
      </w:r>
      <w:r>
        <w:rPr>
          <w:rFonts w:hint="default" w:ascii="宋体" w:hAnsi="宋体" w:eastAsia="宋体" w:cs="Times New Roman"/>
          <w:kern w:val="0"/>
          <w:sz w:val="24"/>
          <w:szCs w:val="24"/>
          <w:highlight w:val="none"/>
        </w:rPr>
        <w:t>定期检查消防和安全设施；</w:t>
      </w:r>
    </w:p>
    <w:p w14:paraId="2C6C2D84">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3.4.1.7</w:t>
      </w:r>
      <w:r>
        <w:rPr>
          <w:rFonts w:hint="default" w:ascii="宋体" w:hAnsi="宋体" w:eastAsia="宋体" w:cs="Times New Roman"/>
          <w:kern w:val="0"/>
          <w:sz w:val="24"/>
          <w:szCs w:val="24"/>
          <w:highlight w:val="none"/>
        </w:rPr>
        <w:t>每次维护后做好系统运行维护记录；</w:t>
      </w:r>
    </w:p>
    <w:p w14:paraId="5AE9F9FC">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3.4.1.8</w:t>
      </w:r>
      <w:r>
        <w:rPr>
          <w:rFonts w:hint="default" w:ascii="宋体" w:hAnsi="宋体" w:eastAsia="宋体" w:cs="Times New Roman"/>
          <w:kern w:val="0"/>
          <w:sz w:val="24"/>
          <w:szCs w:val="24"/>
          <w:highlight w:val="none"/>
        </w:rPr>
        <w:t>进行维护时，应规范操作，注意安全，防止意外发生。</w:t>
      </w:r>
    </w:p>
    <w:p w14:paraId="4DDD5C99">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3.4.2</w:t>
      </w:r>
      <w:r>
        <w:rPr>
          <w:rFonts w:hint="default" w:ascii="宋体" w:hAnsi="宋体" w:eastAsia="宋体" w:cs="Times New Roman"/>
          <w:kern w:val="0"/>
          <w:sz w:val="24"/>
          <w:szCs w:val="24"/>
          <w:highlight w:val="none"/>
        </w:rPr>
        <w:t>每日工作内容如下：</w:t>
      </w:r>
    </w:p>
    <w:p w14:paraId="39605DD4">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每天上午和下午两次远程查看省控站数据并形成记录，分析监测数据，对站点运行情况进行远程诊断和运行管理，内容包括：</w:t>
      </w:r>
    </w:p>
    <w:p w14:paraId="7540E777">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3.4.2.1</w:t>
      </w:r>
      <w:r>
        <w:rPr>
          <w:rFonts w:hint="default" w:ascii="宋体" w:hAnsi="宋体" w:eastAsia="宋体" w:cs="Times New Roman"/>
          <w:kern w:val="0"/>
          <w:sz w:val="24"/>
          <w:szCs w:val="24"/>
          <w:highlight w:val="none"/>
        </w:rPr>
        <w:t>判断系统数据采集与传输情况；</w:t>
      </w:r>
    </w:p>
    <w:p w14:paraId="4233A0E4">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3.4.2.2</w:t>
      </w:r>
      <w:r>
        <w:rPr>
          <w:rFonts w:hint="default" w:ascii="宋体" w:hAnsi="宋体" w:eastAsia="宋体" w:cs="Times New Roman"/>
          <w:kern w:val="0"/>
          <w:sz w:val="24"/>
          <w:szCs w:val="24"/>
          <w:highlight w:val="none"/>
        </w:rPr>
        <w:t>根据电源电压、站房温度、湿度数据判断站房内部情况；</w:t>
      </w:r>
    </w:p>
    <w:p w14:paraId="54A6EEF4">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3.4.2.3</w:t>
      </w:r>
      <w:r>
        <w:rPr>
          <w:rFonts w:hint="default" w:ascii="宋体" w:hAnsi="宋体" w:eastAsia="宋体" w:cs="Times New Roman"/>
          <w:kern w:val="0"/>
          <w:sz w:val="24"/>
          <w:szCs w:val="24"/>
          <w:highlight w:val="none"/>
        </w:rPr>
        <w:t>发现监测数据异常，应立即通知</w:t>
      </w:r>
      <w:r>
        <w:rPr>
          <w:rFonts w:hint="eastAsia" w:ascii="宋体" w:hAnsi="宋体" w:eastAsia="宋体" w:cs="宋体"/>
          <w:bCs/>
          <w:color w:val="000000"/>
          <w:kern w:val="0"/>
          <w:sz w:val="24"/>
          <w:szCs w:val="24"/>
          <w:highlight w:val="none"/>
        </w:rPr>
        <w:t>徐州市丰县生态环境局</w:t>
      </w:r>
      <w:r>
        <w:rPr>
          <w:rFonts w:hint="default" w:ascii="宋体" w:hAnsi="宋体" w:eastAsia="宋体" w:cs="Times New Roman"/>
          <w:kern w:val="0"/>
          <w:sz w:val="24"/>
          <w:szCs w:val="24"/>
          <w:highlight w:val="none"/>
        </w:rPr>
        <w:t>，在每日6时～23时出现的异常，应在4小时内解决（通信线路、电力线路故障除外，但应及时与相关部门联系积极解决），每日0～5时出现的异常，应在次日上午10时前解决；</w:t>
      </w:r>
    </w:p>
    <w:p w14:paraId="7E47BEC8">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3.4.2.4</w:t>
      </w:r>
      <w:r>
        <w:rPr>
          <w:rFonts w:hint="default" w:ascii="宋体" w:hAnsi="宋体" w:eastAsia="宋体" w:cs="Times New Roman"/>
          <w:kern w:val="0"/>
          <w:sz w:val="24"/>
          <w:szCs w:val="24"/>
          <w:highlight w:val="none"/>
        </w:rPr>
        <w:t>发生水质异常等特殊情况后，应在4小时内开展相应的运维工作，并将现场情况及时上报</w:t>
      </w:r>
      <w:r>
        <w:rPr>
          <w:rFonts w:hint="eastAsia" w:ascii="宋体" w:hAnsi="宋体" w:eastAsia="宋体" w:cs="宋体"/>
          <w:bCs/>
          <w:color w:val="000000"/>
          <w:kern w:val="0"/>
          <w:sz w:val="24"/>
          <w:szCs w:val="24"/>
          <w:highlight w:val="none"/>
        </w:rPr>
        <w:t>徐州市丰县生态环境局</w:t>
      </w:r>
      <w:r>
        <w:rPr>
          <w:rFonts w:hint="default" w:ascii="宋体" w:hAnsi="宋体" w:eastAsia="宋体" w:cs="Times New Roman"/>
          <w:kern w:val="0"/>
          <w:sz w:val="24"/>
          <w:szCs w:val="24"/>
          <w:highlight w:val="none"/>
        </w:rPr>
        <w:t>；</w:t>
      </w:r>
    </w:p>
    <w:p w14:paraId="603351FB">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3.4.2.5</w:t>
      </w:r>
      <w:r>
        <w:rPr>
          <w:rFonts w:hint="default" w:ascii="宋体" w:hAnsi="宋体" w:eastAsia="宋体" w:cs="Times New Roman"/>
          <w:kern w:val="0"/>
          <w:sz w:val="24"/>
          <w:szCs w:val="24"/>
          <w:highlight w:val="none"/>
        </w:rPr>
        <w:t>根据数据分析结果、设备状态参数和仪器故障报警信号，判断仪器运行情况和现场状况；</w:t>
      </w:r>
    </w:p>
    <w:p w14:paraId="65F4F76A">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3.4.2.6</w:t>
      </w:r>
      <w:r>
        <w:rPr>
          <w:rFonts w:hint="default" w:ascii="宋体" w:hAnsi="宋体" w:eastAsia="宋体" w:cs="Times New Roman"/>
          <w:kern w:val="0"/>
          <w:sz w:val="24"/>
          <w:szCs w:val="24"/>
          <w:highlight w:val="none"/>
        </w:rPr>
        <w:t>每日检查数据是否及时上传并正常发布，发现数据断网及时恢复。</w:t>
      </w:r>
    </w:p>
    <w:p w14:paraId="560E7AB2">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3.4.2.7</w:t>
      </w:r>
      <w:r>
        <w:rPr>
          <w:rFonts w:hint="default" w:ascii="宋体" w:hAnsi="宋体" w:eastAsia="宋体" w:cs="Times New Roman"/>
          <w:kern w:val="0"/>
          <w:sz w:val="24"/>
          <w:szCs w:val="24"/>
          <w:highlight w:val="none"/>
        </w:rPr>
        <w:t>运维单位对</w:t>
      </w:r>
      <w:r>
        <w:rPr>
          <w:rFonts w:hint="eastAsia" w:ascii="宋体" w:hAnsi="宋体" w:eastAsia="宋体" w:cs="Times New Roman"/>
          <w:kern w:val="0"/>
          <w:sz w:val="24"/>
          <w:szCs w:val="24"/>
          <w:highlight w:val="none"/>
        </w:rPr>
        <w:t>水</w:t>
      </w:r>
      <w:r>
        <w:rPr>
          <w:rFonts w:hint="default" w:ascii="宋体" w:hAnsi="宋体" w:eastAsia="宋体" w:cs="Times New Roman"/>
          <w:kern w:val="0"/>
          <w:sz w:val="24"/>
          <w:szCs w:val="24"/>
          <w:highlight w:val="none"/>
        </w:rPr>
        <w:t>站监测数据进行初审，并配合</w:t>
      </w:r>
      <w:r>
        <w:rPr>
          <w:rFonts w:hint="eastAsia" w:ascii="宋体" w:hAnsi="宋体" w:eastAsia="宋体" w:cs="宋体"/>
          <w:bCs/>
          <w:color w:val="000000"/>
          <w:kern w:val="0"/>
          <w:sz w:val="24"/>
          <w:szCs w:val="24"/>
          <w:highlight w:val="none"/>
        </w:rPr>
        <w:t>徐州市丰县生态环境局</w:t>
      </w:r>
      <w:r>
        <w:rPr>
          <w:rFonts w:hint="default" w:ascii="宋体" w:hAnsi="宋体" w:eastAsia="宋体" w:cs="Times New Roman"/>
          <w:kern w:val="0"/>
          <w:sz w:val="24"/>
          <w:szCs w:val="24"/>
          <w:highlight w:val="none"/>
        </w:rPr>
        <w:t>将审核数据按时提交</w:t>
      </w:r>
      <w:r>
        <w:rPr>
          <w:rFonts w:hint="eastAsia" w:ascii="宋体" w:hAnsi="宋体" w:eastAsia="宋体" w:cs="Times New Roman"/>
          <w:kern w:val="0"/>
          <w:sz w:val="24"/>
          <w:szCs w:val="24"/>
          <w:highlight w:val="none"/>
        </w:rPr>
        <w:t>驻市</w:t>
      </w:r>
      <w:r>
        <w:rPr>
          <w:rFonts w:hint="default" w:ascii="宋体" w:hAnsi="宋体" w:eastAsia="宋体" w:cs="Times New Roman"/>
          <w:kern w:val="0"/>
          <w:sz w:val="24"/>
          <w:szCs w:val="24"/>
          <w:highlight w:val="none"/>
        </w:rPr>
        <w:t>监测中心。</w:t>
      </w:r>
    </w:p>
    <w:p w14:paraId="6B2B8355">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每日10时前</w:t>
      </w:r>
      <w:r>
        <w:rPr>
          <w:rFonts w:hint="eastAsia" w:ascii="宋体" w:hAnsi="宋体" w:eastAsia="宋体" w:cs="Times New Roman"/>
          <w:kern w:val="0"/>
          <w:sz w:val="24"/>
          <w:szCs w:val="24"/>
          <w:highlight w:val="none"/>
        </w:rPr>
        <w:t>运维人</w:t>
      </w:r>
      <w:r>
        <w:rPr>
          <w:rFonts w:hint="default" w:ascii="宋体" w:hAnsi="宋体" w:eastAsia="宋体" w:cs="Times New Roman"/>
          <w:kern w:val="0"/>
          <w:sz w:val="24"/>
          <w:szCs w:val="24"/>
          <w:highlight w:val="none"/>
        </w:rPr>
        <w:t>员配合</w:t>
      </w:r>
      <w:r>
        <w:rPr>
          <w:rFonts w:hint="eastAsia" w:ascii="宋体" w:hAnsi="宋体" w:eastAsia="宋体" w:cs="宋体"/>
          <w:bCs/>
          <w:color w:val="000000"/>
          <w:kern w:val="0"/>
          <w:sz w:val="24"/>
          <w:szCs w:val="24"/>
          <w:highlight w:val="none"/>
        </w:rPr>
        <w:t>徐州市丰县生态环境局</w:t>
      </w:r>
      <w:r>
        <w:rPr>
          <w:rFonts w:hint="default" w:ascii="宋体" w:hAnsi="宋体" w:eastAsia="宋体" w:cs="Times New Roman"/>
          <w:kern w:val="0"/>
          <w:sz w:val="24"/>
          <w:szCs w:val="24"/>
          <w:highlight w:val="none"/>
        </w:rPr>
        <w:t>完成</w:t>
      </w:r>
      <w:r>
        <w:rPr>
          <w:rFonts w:hint="eastAsia" w:ascii="宋体" w:hAnsi="宋体" w:eastAsia="宋体" w:cs="Times New Roman"/>
          <w:kern w:val="0"/>
          <w:sz w:val="24"/>
          <w:szCs w:val="24"/>
          <w:highlight w:val="none"/>
        </w:rPr>
        <w:t>水站</w:t>
      </w:r>
      <w:r>
        <w:rPr>
          <w:rFonts w:hint="default" w:ascii="宋体" w:hAnsi="宋体" w:eastAsia="宋体" w:cs="Times New Roman"/>
          <w:kern w:val="0"/>
          <w:sz w:val="24"/>
          <w:szCs w:val="24"/>
          <w:highlight w:val="none"/>
        </w:rPr>
        <w:t>前日各站点原始数据的审核，上报复核。当天因网络故障等原因未能完成数据审核报送的，应于当日18时前审核报送。</w:t>
      </w:r>
    </w:p>
    <w:p w14:paraId="7B32D8A7">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w:t>
      </w:r>
      <w:r>
        <w:rPr>
          <w:rFonts w:hint="default" w:ascii="宋体" w:hAnsi="宋体" w:eastAsia="宋体" w:cs="Times New Roman"/>
          <w:kern w:val="0"/>
          <w:sz w:val="24"/>
          <w:szCs w:val="24"/>
          <w:highlight w:val="none"/>
        </w:rPr>
        <w:t>3.每周工作内容如下：</w:t>
      </w:r>
    </w:p>
    <w:p w14:paraId="3EECACA8">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每周至少巡检省控站1次，并做好巡查记录，巡检时需要完成的工作包括：</w:t>
      </w:r>
    </w:p>
    <w:p w14:paraId="0266F946">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3.4.3.1</w:t>
      </w:r>
      <w:r>
        <w:rPr>
          <w:rFonts w:hint="default" w:ascii="宋体" w:hAnsi="宋体" w:eastAsia="宋体" w:cs="Times New Roman"/>
          <w:kern w:val="0"/>
          <w:sz w:val="24"/>
          <w:szCs w:val="24"/>
          <w:highlight w:val="none"/>
        </w:rPr>
        <w:t>查看站房内设备是否齐备，有无丢失和损坏；检查工控机、数采仪、视频监控设备及其它辅助设施工作是否正常；检查电路系统，保证系统供电正常，电压稳定；检查站点的通讯系统，保证站点与相关数据监控平台的连接正常，数据传输正常。</w:t>
      </w:r>
    </w:p>
    <w:p w14:paraId="1098C0EB">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3.4.3.2</w:t>
      </w:r>
      <w:r>
        <w:rPr>
          <w:rFonts w:hint="default" w:ascii="宋体" w:hAnsi="宋体" w:eastAsia="宋体" w:cs="Times New Roman"/>
          <w:kern w:val="0"/>
          <w:sz w:val="24"/>
          <w:szCs w:val="24"/>
          <w:highlight w:val="none"/>
        </w:rPr>
        <w:t>检查各仪器管路、阀门是否正常，仪器电极有无沾污，检查试剂的消耗情况。</w:t>
      </w:r>
    </w:p>
    <w:p w14:paraId="04EF0F6B">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3.4.3.3</w:t>
      </w:r>
      <w:r>
        <w:rPr>
          <w:rFonts w:hint="default" w:ascii="宋体" w:hAnsi="宋体" w:eastAsia="宋体" w:cs="Times New Roman"/>
          <w:kern w:val="0"/>
          <w:sz w:val="24"/>
          <w:szCs w:val="24"/>
          <w:highlight w:val="none"/>
        </w:rPr>
        <w:t>检查各监测仪器的运行状况和工作参数，判断是否正常，如有异常情况及时处理，保证仪器运行正常。</w:t>
      </w:r>
      <w:r>
        <w:rPr>
          <w:rFonts w:hint="default" w:ascii="宋体" w:hAnsi="宋体" w:eastAsia="宋体" w:cs="Times New Roman"/>
          <w:kern w:val="0"/>
          <w:sz w:val="24"/>
          <w:szCs w:val="24"/>
          <w:highlight w:val="none"/>
        </w:rPr>
        <w:tab/>
      </w:r>
    </w:p>
    <w:p w14:paraId="5218DEB8">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3.4.3.4</w:t>
      </w:r>
      <w:r>
        <w:rPr>
          <w:rFonts w:hint="default" w:ascii="宋体" w:hAnsi="宋体" w:eastAsia="宋体" w:cs="Times New Roman"/>
          <w:kern w:val="0"/>
          <w:sz w:val="24"/>
          <w:szCs w:val="24"/>
          <w:highlight w:val="none"/>
        </w:rPr>
        <w:t>高锰酸盐指数、氨氮、总磷每周2次质控核查（零点核查及漂移、标点核查及漂移，间隔不超过4天，可以为自动或手工）。</w:t>
      </w:r>
    </w:p>
    <w:p w14:paraId="7DDDD9C7">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 xml:space="preserve">3.4.3.5 </w:t>
      </w:r>
      <w:r>
        <w:rPr>
          <w:rFonts w:hint="default" w:ascii="宋体" w:hAnsi="宋体" w:eastAsia="宋体" w:cs="Times New Roman"/>
          <w:kern w:val="0"/>
          <w:sz w:val="24"/>
          <w:szCs w:val="24"/>
          <w:highlight w:val="none"/>
        </w:rPr>
        <w:t>pH、溶解氧、电导率、浊度、水温每周至少进行一次水样比对。</w:t>
      </w:r>
    </w:p>
    <w:p w14:paraId="78295350">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3.4.3.6</w:t>
      </w:r>
      <w:r>
        <w:rPr>
          <w:rFonts w:hint="default" w:ascii="宋体" w:hAnsi="宋体" w:eastAsia="宋体" w:cs="Times New Roman"/>
          <w:kern w:val="0"/>
          <w:sz w:val="24"/>
          <w:szCs w:val="24"/>
          <w:highlight w:val="none"/>
        </w:rPr>
        <w:t>水站系统（以氨氮、高锰酸盐指数为代表指标）进行一次系统干预检查。</w:t>
      </w:r>
    </w:p>
    <w:p w14:paraId="36315245">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3.4.3.7</w:t>
      </w:r>
      <w:r>
        <w:rPr>
          <w:rFonts w:hint="default" w:ascii="宋体" w:hAnsi="宋体" w:eastAsia="宋体" w:cs="Times New Roman"/>
          <w:kern w:val="0"/>
          <w:sz w:val="24"/>
          <w:szCs w:val="24"/>
          <w:highlight w:val="none"/>
        </w:rPr>
        <w:t>对仪器显示数据、时间与数据采集仪之间的一致性进行检查和校准。</w:t>
      </w:r>
    </w:p>
    <w:p w14:paraId="38442B20">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3.4.3.8</w:t>
      </w:r>
      <w:r>
        <w:rPr>
          <w:rFonts w:hint="default" w:ascii="宋体" w:hAnsi="宋体" w:eastAsia="宋体" w:cs="Times New Roman"/>
          <w:kern w:val="0"/>
          <w:sz w:val="24"/>
          <w:szCs w:val="24"/>
          <w:highlight w:val="none"/>
        </w:rPr>
        <w:t>每周对站房内各仪器、内外环境卫生进行检查，及时保洁。及时清除站房周围的杂草、积水和取水口附近杂物。</w:t>
      </w:r>
    </w:p>
    <w:p w14:paraId="5661582D">
      <w:pPr>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3.4.3.9</w:t>
      </w:r>
      <w:r>
        <w:rPr>
          <w:rFonts w:hint="default" w:ascii="宋体" w:hAnsi="宋体" w:eastAsia="宋体" w:cs="Times New Roman"/>
          <w:kern w:val="0"/>
          <w:sz w:val="24"/>
          <w:szCs w:val="24"/>
          <w:highlight w:val="none"/>
        </w:rPr>
        <w:t>检查站房的安全设施，做好防火防盗工作。</w:t>
      </w:r>
    </w:p>
    <w:p w14:paraId="22785131">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具体要求见下表：</w:t>
      </w:r>
    </w:p>
    <w:tbl>
      <w:tblPr>
        <w:tblStyle w:val="6"/>
        <w:tblW w:w="91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10"/>
        <w:gridCol w:w="1498"/>
        <w:gridCol w:w="1255"/>
        <w:gridCol w:w="5691"/>
      </w:tblGrid>
      <w:tr w14:paraId="313847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10" w:type="dxa"/>
            <w:noWrap w:val="0"/>
            <w:vAlign w:val="center"/>
          </w:tcPr>
          <w:p w14:paraId="29694F36">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序号</w:t>
            </w:r>
          </w:p>
        </w:tc>
        <w:tc>
          <w:tcPr>
            <w:tcW w:w="1498" w:type="dxa"/>
            <w:noWrap w:val="0"/>
            <w:vAlign w:val="center"/>
          </w:tcPr>
          <w:p w14:paraId="5CE6DC69">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维护内容</w:t>
            </w:r>
          </w:p>
        </w:tc>
        <w:tc>
          <w:tcPr>
            <w:tcW w:w="1255" w:type="dxa"/>
            <w:noWrap w:val="0"/>
            <w:vAlign w:val="center"/>
          </w:tcPr>
          <w:p w14:paraId="53C1FBE3">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维护周期及目标</w:t>
            </w:r>
          </w:p>
        </w:tc>
        <w:tc>
          <w:tcPr>
            <w:tcW w:w="5691" w:type="dxa"/>
            <w:noWrap w:val="0"/>
            <w:vAlign w:val="center"/>
          </w:tcPr>
          <w:p w14:paraId="41D8448A">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维护要求</w:t>
            </w:r>
          </w:p>
        </w:tc>
      </w:tr>
      <w:tr w14:paraId="518591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710" w:type="dxa"/>
            <w:vMerge w:val="restart"/>
            <w:noWrap w:val="0"/>
            <w:vAlign w:val="center"/>
          </w:tcPr>
          <w:p w14:paraId="6A120010">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w:t>
            </w:r>
          </w:p>
        </w:tc>
        <w:tc>
          <w:tcPr>
            <w:tcW w:w="1498" w:type="dxa"/>
            <w:vMerge w:val="restart"/>
            <w:noWrap w:val="0"/>
            <w:vAlign w:val="center"/>
          </w:tcPr>
          <w:p w14:paraId="1807EF3E">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通讯检查</w:t>
            </w:r>
          </w:p>
        </w:tc>
        <w:tc>
          <w:tcPr>
            <w:tcW w:w="1255" w:type="dxa"/>
            <w:vMerge w:val="restart"/>
            <w:noWrap w:val="0"/>
            <w:vAlign w:val="center"/>
          </w:tcPr>
          <w:p w14:paraId="43B9E522">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1次/周，确保控制和数据上传通道畅通</w:t>
            </w:r>
          </w:p>
        </w:tc>
        <w:tc>
          <w:tcPr>
            <w:tcW w:w="5691" w:type="dxa"/>
            <w:noWrap w:val="0"/>
            <w:vAlign w:val="center"/>
          </w:tcPr>
          <w:p w14:paraId="0F68FD5B">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确保工控机各串口和PLC、数采仪、分析仪器连接一一对应正确且牢固</w:t>
            </w:r>
          </w:p>
        </w:tc>
      </w:tr>
      <w:tr w14:paraId="1E0692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710" w:type="dxa"/>
            <w:vMerge w:val="continue"/>
            <w:noWrap w:val="0"/>
            <w:vAlign w:val="center"/>
          </w:tcPr>
          <w:p w14:paraId="2B272F74">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0A215441">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3379A8B5">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3E7606C0">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通过现场监控软件测试工控与PLC及各仪器之间是否连接正确</w:t>
            </w:r>
          </w:p>
        </w:tc>
      </w:tr>
      <w:tr w14:paraId="44E734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710" w:type="dxa"/>
            <w:vMerge w:val="continue"/>
            <w:noWrap w:val="0"/>
            <w:vAlign w:val="center"/>
          </w:tcPr>
          <w:p w14:paraId="1E8DDFD4">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642CCC6D">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2B4A31AD">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0783532E">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VPN网络设备检查，保证通讯畅通</w:t>
            </w:r>
          </w:p>
        </w:tc>
      </w:tr>
      <w:tr w14:paraId="764F5D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10" w:type="dxa"/>
            <w:vMerge w:val="continue"/>
            <w:noWrap w:val="0"/>
            <w:vAlign w:val="center"/>
          </w:tcPr>
          <w:p w14:paraId="48C360DA">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449B3995">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3E1B1BDA">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6DAC6691">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视频监控设备检查，监控视角位置</w:t>
            </w:r>
          </w:p>
        </w:tc>
      </w:tr>
      <w:tr w14:paraId="0BAABA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710" w:type="dxa"/>
            <w:vMerge w:val="restart"/>
            <w:noWrap w:val="0"/>
            <w:vAlign w:val="center"/>
          </w:tcPr>
          <w:p w14:paraId="53F58BA7">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2</w:t>
            </w:r>
          </w:p>
        </w:tc>
        <w:tc>
          <w:tcPr>
            <w:tcW w:w="1498" w:type="dxa"/>
            <w:vMerge w:val="restart"/>
            <w:noWrap w:val="0"/>
            <w:vAlign w:val="center"/>
          </w:tcPr>
          <w:p w14:paraId="2356DF3A">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PLC检查</w:t>
            </w:r>
          </w:p>
        </w:tc>
        <w:tc>
          <w:tcPr>
            <w:tcW w:w="1255" w:type="dxa"/>
            <w:vMerge w:val="continue"/>
            <w:noWrap w:val="0"/>
            <w:vAlign w:val="center"/>
          </w:tcPr>
          <w:p w14:paraId="20395551">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6B5548E2">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检查PLC状态数据传输和报警灯，确保无数据传输和报警</w:t>
            </w:r>
          </w:p>
        </w:tc>
      </w:tr>
      <w:tr w14:paraId="7B5146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710" w:type="dxa"/>
            <w:vMerge w:val="continue"/>
            <w:noWrap w:val="0"/>
            <w:vAlign w:val="center"/>
          </w:tcPr>
          <w:p w14:paraId="46B9400F">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0E4F774F">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4B99B136">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2CCA425D">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确保取水过程中PLC上各点输入输出状态正确</w:t>
            </w:r>
          </w:p>
        </w:tc>
      </w:tr>
      <w:tr w14:paraId="293BED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710" w:type="dxa"/>
            <w:vMerge w:val="continue"/>
            <w:noWrap w:val="0"/>
            <w:vAlign w:val="center"/>
          </w:tcPr>
          <w:p w14:paraId="25B82D85">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3457BBCE">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5F8BE7CF">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0248AAF9">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测量并确保PLC时钟电池电压正常。必要的情况更换电池</w:t>
            </w:r>
          </w:p>
        </w:tc>
      </w:tr>
      <w:tr w14:paraId="2EE723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jc w:val="center"/>
        </w:trPr>
        <w:tc>
          <w:tcPr>
            <w:tcW w:w="710" w:type="dxa"/>
            <w:vMerge w:val="continue"/>
            <w:noWrap w:val="0"/>
            <w:vAlign w:val="center"/>
          </w:tcPr>
          <w:p w14:paraId="315633D9">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52C99713">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7E4A4F18">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2BCA09E6">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确保PLC串口模块连接牢固</w:t>
            </w:r>
          </w:p>
        </w:tc>
      </w:tr>
      <w:tr w14:paraId="494906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jc w:val="center"/>
        </w:trPr>
        <w:tc>
          <w:tcPr>
            <w:tcW w:w="710" w:type="dxa"/>
            <w:noWrap w:val="0"/>
            <w:vAlign w:val="center"/>
          </w:tcPr>
          <w:p w14:paraId="48CA6DE3">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3</w:t>
            </w:r>
          </w:p>
        </w:tc>
        <w:tc>
          <w:tcPr>
            <w:tcW w:w="1498" w:type="dxa"/>
            <w:noWrap w:val="0"/>
            <w:vAlign w:val="center"/>
          </w:tcPr>
          <w:p w14:paraId="0AA229FE">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面板开关检查</w:t>
            </w:r>
          </w:p>
        </w:tc>
        <w:tc>
          <w:tcPr>
            <w:tcW w:w="1255" w:type="dxa"/>
            <w:vMerge w:val="restart"/>
            <w:noWrap w:val="0"/>
            <w:vAlign w:val="center"/>
          </w:tcPr>
          <w:p w14:paraId="2F263AA6">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1次/周，确保各开关功能正常</w:t>
            </w:r>
          </w:p>
        </w:tc>
        <w:tc>
          <w:tcPr>
            <w:tcW w:w="5691" w:type="dxa"/>
            <w:noWrap w:val="0"/>
            <w:vAlign w:val="center"/>
          </w:tcPr>
          <w:p w14:paraId="094E72E3">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检查控制柜前面板开关和指示灯确保其工作正常</w:t>
            </w:r>
          </w:p>
        </w:tc>
      </w:tr>
      <w:tr w14:paraId="23D030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jc w:val="center"/>
        </w:trPr>
        <w:tc>
          <w:tcPr>
            <w:tcW w:w="710" w:type="dxa"/>
            <w:noWrap w:val="0"/>
            <w:vAlign w:val="center"/>
          </w:tcPr>
          <w:p w14:paraId="565F490F">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4</w:t>
            </w:r>
          </w:p>
        </w:tc>
        <w:tc>
          <w:tcPr>
            <w:tcW w:w="1498" w:type="dxa"/>
            <w:noWrap w:val="0"/>
            <w:vAlign w:val="center"/>
          </w:tcPr>
          <w:p w14:paraId="2F8BB349">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配电板清扫</w:t>
            </w:r>
          </w:p>
        </w:tc>
        <w:tc>
          <w:tcPr>
            <w:tcW w:w="1255" w:type="dxa"/>
            <w:vMerge w:val="continue"/>
            <w:noWrap w:val="0"/>
            <w:vAlign w:val="center"/>
          </w:tcPr>
          <w:p w14:paraId="40751084">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48B9BC77">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清扫配电板上各个元件上的灰尘</w:t>
            </w:r>
          </w:p>
        </w:tc>
      </w:tr>
      <w:tr w14:paraId="2E6C15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710" w:type="dxa"/>
            <w:noWrap w:val="0"/>
            <w:vAlign w:val="center"/>
          </w:tcPr>
          <w:p w14:paraId="555C4548">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5</w:t>
            </w:r>
          </w:p>
        </w:tc>
        <w:tc>
          <w:tcPr>
            <w:tcW w:w="1498" w:type="dxa"/>
            <w:noWrap w:val="0"/>
            <w:vAlign w:val="center"/>
          </w:tcPr>
          <w:p w14:paraId="292A0B09">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配电板状态检查</w:t>
            </w:r>
          </w:p>
        </w:tc>
        <w:tc>
          <w:tcPr>
            <w:tcW w:w="1255" w:type="dxa"/>
            <w:vMerge w:val="continue"/>
            <w:noWrap w:val="0"/>
            <w:vAlign w:val="center"/>
          </w:tcPr>
          <w:p w14:paraId="7CDF908C">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72C0EE1E">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检查确保配电板上各个接线接头不松动，并清除锈蚀接头。确保各个接触器和继电器工作正常</w:t>
            </w:r>
          </w:p>
        </w:tc>
      </w:tr>
      <w:tr w14:paraId="6765AD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jc w:val="center"/>
        </w:trPr>
        <w:tc>
          <w:tcPr>
            <w:tcW w:w="710" w:type="dxa"/>
            <w:noWrap w:val="0"/>
            <w:vAlign w:val="center"/>
          </w:tcPr>
          <w:p w14:paraId="00A86C07">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6</w:t>
            </w:r>
          </w:p>
        </w:tc>
        <w:tc>
          <w:tcPr>
            <w:tcW w:w="1498" w:type="dxa"/>
            <w:noWrap w:val="0"/>
            <w:vAlign w:val="center"/>
          </w:tcPr>
          <w:p w14:paraId="3BDC1D1A">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接地检查</w:t>
            </w:r>
          </w:p>
        </w:tc>
        <w:tc>
          <w:tcPr>
            <w:tcW w:w="1255" w:type="dxa"/>
            <w:vMerge w:val="continue"/>
            <w:noWrap w:val="0"/>
            <w:vAlign w:val="center"/>
          </w:tcPr>
          <w:p w14:paraId="79FB9FDC">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41CCCDDF">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确保各个机柜和用电器接地良好，尤其注意防雷保护器接地</w:t>
            </w:r>
          </w:p>
        </w:tc>
      </w:tr>
      <w:tr w14:paraId="2B5A8E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jc w:val="center"/>
        </w:trPr>
        <w:tc>
          <w:tcPr>
            <w:tcW w:w="710" w:type="dxa"/>
            <w:noWrap w:val="0"/>
            <w:vAlign w:val="center"/>
          </w:tcPr>
          <w:p w14:paraId="2380F84F">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7</w:t>
            </w:r>
          </w:p>
        </w:tc>
        <w:tc>
          <w:tcPr>
            <w:tcW w:w="1498" w:type="dxa"/>
            <w:noWrap w:val="0"/>
            <w:vAlign w:val="center"/>
          </w:tcPr>
          <w:p w14:paraId="27D44804">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温湿度仪检查</w:t>
            </w:r>
          </w:p>
        </w:tc>
        <w:tc>
          <w:tcPr>
            <w:tcW w:w="1255" w:type="dxa"/>
            <w:vMerge w:val="continue"/>
            <w:noWrap w:val="0"/>
            <w:vAlign w:val="center"/>
          </w:tcPr>
          <w:p w14:paraId="17533B08">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5C25AF00">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检查温、湿度仪是否显示合理，保证温度探头反应灵敏</w:t>
            </w:r>
          </w:p>
        </w:tc>
      </w:tr>
      <w:tr w14:paraId="516F94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10" w:type="dxa"/>
            <w:vMerge w:val="restart"/>
            <w:noWrap w:val="0"/>
            <w:vAlign w:val="center"/>
          </w:tcPr>
          <w:p w14:paraId="6BE9EA77">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8</w:t>
            </w:r>
          </w:p>
        </w:tc>
        <w:tc>
          <w:tcPr>
            <w:tcW w:w="1498" w:type="dxa"/>
            <w:vMerge w:val="restart"/>
            <w:noWrap w:val="0"/>
            <w:vAlign w:val="center"/>
          </w:tcPr>
          <w:p w14:paraId="79B8198B">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稳压电源清扫</w:t>
            </w:r>
          </w:p>
        </w:tc>
        <w:tc>
          <w:tcPr>
            <w:tcW w:w="1255" w:type="dxa"/>
            <w:vMerge w:val="continue"/>
            <w:noWrap w:val="0"/>
            <w:vAlign w:val="center"/>
          </w:tcPr>
          <w:p w14:paraId="481777B3">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0871B346">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断电情况下清扫稳压电源内的灰尘</w:t>
            </w:r>
          </w:p>
        </w:tc>
      </w:tr>
      <w:tr w14:paraId="335A78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10" w:type="dxa"/>
            <w:vMerge w:val="continue"/>
            <w:noWrap w:val="0"/>
            <w:vAlign w:val="center"/>
          </w:tcPr>
          <w:p w14:paraId="1A739B1C">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5B7E54A8">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7FE75467">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5762A57E">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检查碳刷是否正常，磨损较多情况必须更换</w:t>
            </w:r>
          </w:p>
        </w:tc>
      </w:tr>
      <w:tr w14:paraId="64E9D5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10" w:type="dxa"/>
            <w:vMerge w:val="continue"/>
            <w:noWrap w:val="0"/>
            <w:vAlign w:val="center"/>
          </w:tcPr>
          <w:p w14:paraId="46F95058">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19AD96F6">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004D2A20">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488296B5">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上电测试，确保稳压源工作正常</w:t>
            </w:r>
          </w:p>
        </w:tc>
      </w:tr>
      <w:tr w14:paraId="3512BF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710" w:type="dxa"/>
            <w:vMerge w:val="restart"/>
            <w:noWrap w:val="0"/>
            <w:vAlign w:val="center"/>
          </w:tcPr>
          <w:p w14:paraId="3C2CA86C">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9</w:t>
            </w:r>
          </w:p>
        </w:tc>
        <w:tc>
          <w:tcPr>
            <w:tcW w:w="1498" w:type="dxa"/>
            <w:vMerge w:val="restart"/>
            <w:noWrap w:val="0"/>
            <w:vAlign w:val="center"/>
          </w:tcPr>
          <w:p w14:paraId="2E2ACCC7">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UPS检查清扫</w:t>
            </w:r>
          </w:p>
        </w:tc>
        <w:tc>
          <w:tcPr>
            <w:tcW w:w="1255" w:type="dxa"/>
            <w:vMerge w:val="continue"/>
            <w:noWrap w:val="0"/>
            <w:vAlign w:val="center"/>
          </w:tcPr>
          <w:p w14:paraId="71A0CC1A">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5988025C">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断电情况下清扫UPS各个散热孔上的灰尘</w:t>
            </w:r>
          </w:p>
        </w:tc>
      </w:tr>
      <w:tr w14:paraId="38D9B4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jc w:val="center"/>
        </w:trPr>
        <w:tc>
          <w:tcPr>
            <w:tcW w:w="710" w:type="dxa"/>
            <w:vMerge w:val="continue"/>
            <w:noWrap w:val="0"/>
            <w:vAlign w:val="center"/>
          </w:tcPr>
          <w:p w14:paraId="0A92F182">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0E6CDE66">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4668B875">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7715E596">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检查确保UPS充放电正常</w:t>
            </w:r>
          </w:p>
        </w:tc>
      </w:tr>
      <w:tr w14:paraId="76D02A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710" w:type="dxa"/>
            <w:vMerge w:val="restart"/>
            <w:noWrap w:val="0"/>
            <w:vAlign w:val="center"/>
          </w:tcPr>
          <w:p w14:paraId="7F5892D7">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10</w:t>
            </w:r>
          </w:p>
        </w:tc>
        <w:tc>
          <w:tcPr>
            <w:tcW w:w="1498" w:type="dxa"/>
            <w:vMerge w:val="restart"/>
            <w:noWrap w:val="0"/>
            <w:vAlign w:val="center"/>
          </w:tcPr>
          <w:p w14:paraId="70200179">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UPS电池箱清扫</w:t>
            </w:r>
          </w:p>
        </w:tc>
        <w:tc>
          <w:tcPr>
            <w:tcW w:w="1255" w:type="dxa"/>
            <w:vMerge w:val="continue"/>
            <w:noWrap w:val="0"/>
            <w:vAlign w:val="center"/>
          </w:tcPr>
          <w:p w14:paraId="4B6C7E6A">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2BF138D0">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做好绝缘措施情况下清扫UPS电池箱内的灰尘</w:t>
            </w:r>
          </w:p>
        </w:tc>
      </w:tr>
      <w:tr w14:paraId="634579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10" w:type="dxa"/>
            <w:vMerge w:val="continue"/>
            <w:noWrap w:val="0"/>
            <w:vAlign w:val="center"/>
          </w:tcPr>
          <w:p w14:paraId="6AA1D474">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5145FCA7">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630EDFC0">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1D2C03FC">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确保箱内各个电池联线接触良好牢固</w:t>
            </w:r>
          </w:p>
        </w:tc>
      </w:tr>
      <w:tr w14:paraId="25DC06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10" w:type="dxa"/>
            <w:vMerge w:val="continue"/>
            <w:noWrap w:val="0"/>
            <w:vAlign w:val="center"/>
          </w:tcPr>
          <w:p w14:paraId="72C2425E">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22BBA865">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69F8A136">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33446E3F">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确保各个电池无漏液，外观正常</w:t>
            </w:r>
          </w:p>
        </w:tc>
      </w:tr>
      <w:tr w14:paraId="45C240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10" w:type="dxa"/>
            <w:vMerge w:val="restart"/>
            <w:noWrap w:val="0"/>
            <w:vAlign w:val="center"/>
          </w:tcPr>
          <w:p w14:paraId="695FF03B">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11</w:t>
            </w:r>
          </w:p>
        </w:tc>
        <w:tc>
          <w:tcPr>
            <w:tcW w:w="1498" w:type="dxa"/>
            <w:vMerge w:val="restart"/>
            <w:noWrap w:val="0"/>
            <w:vAlign w:val="center"/>
          </w:tcPr>
          <w:p w14:paraId="7037BDF4">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机柜台面清扫及检查</w:t>
            </w:r>
          </w:p>
        </w:tc>
        <w:tc>
          <w:tcPr>
            <w:tcW w:w="1255" w:type="dxa"/>
            <w:vMerge w:val="continue"/>
            <w:noWrap w:val="0"/>
            <w:vAlign w:val="center"/>
          </w:tcPr>
          <w:p w14:paraId="35A567A6">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431BE56B">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检查机柜台面及玻璃是否清洁</w:t>
            </w:r>
          </w:p>
        </w:tc>
      </w:tr>
      <w:tr w14:paraId="108DC7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jc w:val="center"/>
        </w:trPr>
        <w:tc>
          <w:tcPr>
            <w:tcW w:w="710" w:type="dxa"/>
            <w:vMerge w:val="continue"/>
            <w:noWrap w:val="0"/>
            <w:vAlign w:val="center"/>
          </w:tcPr>
          <w:p w14:paraId="0A9EBA15">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12376AAF">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636406A1">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5CC22000">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检查机柜各门是否关于完好</w:t>
            </w:r>
          </w:p>
        </w:tc>
      </w:tr>
      <w:tr w14:paraId="3DD096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10" w:type="dxa"/>
            <w:vMerge w:val="restart"/>
            <w:noWrap w:val="0"/>
            <w:vAlign w:val="center"/>
          </w:tcPr>
          <w:p w14:paraId="1AEFB4E4">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12</w:t>
            </w:r>
          </w:p>
        </w:tc>
        <w:tc>
          <w:tcPr>
            <w:tcW w:w="1498" w:type="dxa"/>
            <w:vMerge w:val="restart"/>
            <w:noWrap w:val="0"/>
            <w:vAlign w:val="center"/>
          </w:tcPr>
          <w:p w14:paraId="48ECE7B4">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实验区清扫</w:t>
            </w:r>
          </w:p>
        </w:tc>
        <w:tc>
          <w:tcPr>
            <w:tcW w:w="1255" w:type="dxa"/>
            <w:vMerge w:val="restart"/>
            <w:noWrap w:val="0"/>
            <w:vAlign w:val="center"/>
          </w:tcPr>
          <w:p w14:paraId="31AE0843">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1次/周，确保整齐清洁</w:t>
            </w:r>
          </w:p>
        </w:tc>
        <w:tc>
          <w:tcPr>
            <w:tcW w:w="5691" w:type="dxa"/>
            <w:noWrap w:val="0"/>
            <w:vAlign w:val="center"/>
          </w:tcPr>
          <w:p w14:paraId="11FA0B8B">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1）保持实验区台面清洁</w:t>
            </w:r>
          </w:p>
        </w:tc>
      </w:tr>
      <w:tr w14:paraId="043913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10" w:type="dxa"/>
            <w:vMerge w:val="continue"/>
            <w:noWrap w:val="0"/>
            <w:vAlign w:val="center"/>
          </w:tcPr>
          <w:p w14:paraId="2D5BDAD7">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4C078CC9">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129F11AE">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5A961B4C">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2）保持仪器设备摆放征集</w:t>
            </w:r>
          </w:p>
        </w:tc>
      </w:tr>
      <w:tr w14:paraId="0A698E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10" w:type="dxa"/>
            <w:vMerge w:val="continue"/>
            <w:noWrap w:val="0"/>
            <w:vAlign w:val="center"/>
          </w:tcPr>
          <w:p w14:paraId="212CF36B">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530EA3A4">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2A54962D">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1ED577DD">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3）按要求存储试剂</w:t>
            </w:r>
          </w:p>
        </w:tc>
      </w:tr>
      <w:tr w14:paraId="16BFE6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jc w:val="center"/>
        </w:trPr>
        <w:tc>
          <w:tcPr>
            <w:tcW w:w="710" w:type="dxa"/>
            <w:vMerge w:val="continue"/>
            <w:noWrap w:val="0"/>
            <w:vAlign w:val="center"/>
          </w:tcPr>
          <w:p w14:paraId="226766C1">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6EB8242D">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0951B60B">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1C3D52A8">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4）按要求处置废液</w:t>
            </w:r>
          </w:p>
        </w:tc>
      </w:tr>
      <w:tr w14:paraId="65C26F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1" w:hRule="atLeast"/>
          <w:jc w:val="center"/>
        </w:trPr>
        <w:tc>
          <w:tcPr>
            <w:tcW w:w="710" w:type="dxa"/>
            <w:vMerge w:val="restart"/>
            <w:noWrap w:val="0"/>
            <w:vAlign w:val="center"/>
          </w:tcPr>
          <w:p w14:paraId="28E161C9">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13</w:t>
            </w:r>
          </w:p>
        </w:tc>
        <w:tc>
          <w:tcPr>
            <w:tcW w:w="1498" w:type="dxa"/>
            <w:vMerge w:val="restart"/>
            <w:noWrap w:val="0"/>
            <w:vAlign w:val="center"/>
          </w:tcPr>
          <w:p w14:paraId="2F93CDD7">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高锰酸盐指数分析仪维护</w:t>
            </w:r>
          </w:p>
        </w:tc>
        <w:tc>
          <w:tcPr>
            <w:tcW w:w="1255" w:type="dxa"/>
            <w:vMerge w:val="restart"/>
            <w:noWrap w:val="0"/>
            <w:vAlign w:val="center"/>
          </w:tcPr>
          <w:p w14:paraId="55ED922B">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1次/周，确保监测仪器所需试剂充足，管路、阀门处于正常状态，仪器电极无沾污，运行稳定，比对数据合格</w:t>
            </w:r>
          </w:p>
        </w:tc>
        <w:tc>
          <w:tcPr>
            <w:tcW w:w="5691" w:type="dxa"/>
            <w:noWrap w:val="0"/>
            <w:vAlign w:val="center"/>
          </w:tcPr>
          <w:p w14:paraId="776C3DA7">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1）检查数据传输和报警模块是否正常</w:t>
            </w:r>
          </w:p>
        </w:tc>
      </w:tr>
      <w:tr w14:paraId="07C02D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10" w:type="dxa"/>
            <w:vMerge w:val="continue"/>
            <w:noWrap w:val="0"/>
            <w:vAlign w:val="center"/>
          </w:tcPr>
          <w:p w14:paraId="0548FE8D">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288EDE38">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09EA4913">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4A45CD37">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2）确保冷却水供应正常</w:t>
            </w:r>
          </w:p>
        </w:tc>
      </w:tr>
      <w:tr w14:paraId="41EBA1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10" w:type="dxa"/>
            <w:vMerge w:val="continue"/>
            <w:noWrap w:val="0"/>
            <w:vAlign w:val="center"/>
          </w:tcPr>
          <w:p w14:paraId="08E3EF7D">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5BC9F2B4">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6B4189CB">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6BA511E6">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3）清除水浴锅内水垢，疏通管道</w:t>
            </w:r>
          </w:p>
        </w:tc>
      </w:tr>
      <w:tr w14:paraId="17F3FE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10" w:type="dxa"/>
            <w:vMerge w:val="continue"/>
            <w:noWrap w:val="0"/>
            <w:vAlign w:val="center"/>
          </w:tcPr>
          <w:p w14:paraId="58F0FF27">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3121A2EF">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5CC28DE1">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526BA0AE">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4）确保各个阀门正常</w:t>
            </w:r>
          </w:p>
        </w:tc>
      </w:tr>
      <w:tr w14:paraId="39FBAF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10" w:type="dxa"/>
            <w:vMerge w:val="continue"/>
            <w:noWrap w:val="0"/>
            <w:vAlign w:val="center"/>
          </w:tcPr>
          <w:p w14:paraId="13AA446D">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6137FC49">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535913A9">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0E1A6774">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5）检查并更换老化的输送硫酸软管</w:t>
            </w:r>
          </w:p>
        </w:tc>
      </w:tr>
      <w:tr w14:paraId="365AF1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10" w:type="dxa"/>
            <w:vMerge w:val="continue"/>
            <w:noWrap w:val="0"/>
            <w:vAlign w:val="center"/>
          </w:tcPr>
          <w:p w14:paraId="42832392">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6A1588A7">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134436E7">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03FC8557">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6）添加参比电极电解液</w:t>
            </w:r>
          </w:p>
        </w:tc>
      </w:tr>
      <w:tr w14:paraId="407570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10" w:type="dxa"/>
            <w:vMerge w:val="continue"/>
            <w:noWrap w:val="0"/>
            <w:vAlign w:val="center"/>
          </w:tcPr>
          <w:p w14:paraId="3316C88C">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345020CC">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5F52897E">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3FA8C1E4">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7）清除ORP电极上污垢</w:t>
            </w:r>
          </w:p>
        </w:tc>
      </w:tr>
      <w:tr w14:paraId="7FB279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jc w:val="center"/>
        </w:trPr>
        <w:tc>
          <w:tcPr>
            <w:tcW w:w="710" w:type="dxa"/>
            <w:vMerge w:val="continue"/>
            <w:noWrap w:val="0"/>
            <w:vAlign w:val="center"/>
          </w:tcPr>
          <w:p w14:paraId="375EA7C4">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7C836A9D">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1F6F478C">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7BB7B717">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8）检查并更换老化的ORP电极</w:t>
            </w:r>
          </w:p>
        </w:tc>
      </w:tr>
      <w:tr w14:paraId="06BFCE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710" w:type="dxa"/>
            <w:vMerge w:val="restart"/>
            <w:noWrap w:val="0"/>
            <w:vAlign w:val="center"/>
          </w:tcPr>
          <w:p w14:paraId="6836F5B3">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14</w:t>
            </w:r>
          </w:p>
        </w:tc>
        <w:tc>
          <w:tcPr>
            <w:tcW w:w="1498" w:type="dxa"/>
            <w:vMerge w:val="restart"/>
            <w:noWrap w:val="0"/>
            <w:vAlign w:val="center"/>
          </w:tcPr>
          <w:p w14:paraId="04F77015">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氨氮分析仪维护</w:t>
            </w:r>
          </w:p>
        </w:tc>
        <w:tc>
          <w:tcPr>
            <w:tcW w:w="1255" w:type="dxa"/>
            <w:vMerge w:val="continue"/>
            <w:noWrap w:val="0"/>
            <w:vAlign w:val="center"/>
          </w:tcPr>
          <w:p w14:paraId="5FE6C1F0">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06B96BB7">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1）检查氨氮分析仪加热模块是否正常，是否维持在40℃</w:t>
            </w:r>
          </w:p>
        </w:tc>
      </w:tr>
      <w:tr w14:paraId="07F70B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10" w:type="dxa"/>
            <w:vMerge w:val="continue"/>
            <w:noWrap w:val="0"/>
            <w:vAlign w:val="center"/>
          </w:tcPr>
          <w:p w14:paraId="62EBF694">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72E2BD83">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38CACD27">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6952271F">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2）检查气敏膜，添加电解液</w:t>
            </w:r>
          </w:p>
        </w:tc>
      </w:tr>
      <w:tr w14:paraId="3BE24F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10" w:type="dxa"/>
            <w:vMerge w:val="continue"/>
            <w:noWrap w:val="0"/>
            <w:vAlign w:val="center"/>
          </w:tcPr>
          <w:p w14:paraId="08CCBB96">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1AB670CE">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03E4CB4A">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3A49EAE9">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3）检查并更换老化的氨氮管路系统</w:t>
            </w:r>
          </w:p>
        </w:tc>
      </w:tr>
      <w:tr w14:paraId="7F649D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10" w:type="dxa"/>
            <w:vMerge w:val="continue"/>
            <w:noWrap w:val="0"/>
            <w:vAlign w:val="center"/>
          </w:tcPr>
          <w:p w14:paraId="66DAD20A">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72EB6022">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3C3135C4">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690A15FF">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4）检查并更换老化的氨氮蠕动泵管</w:t>
            </w:r>
          </w:p>
        </w:tc>
      </w:tr>
      <w:tr w14:paraId="4BAEB7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10" w:type="dxa"/>
            <w:vMerge w:val="continue"/>
            <w:noWrap w:val="0"/>
            <w:vAlign w:val="center"/>
          </w:tcPr>
          <w:p w14:paraId="6803473E">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0AF18708">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6B8F8741">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6FD76FD0">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5）检查并更换老化的加热迂回管路</w:t>
            </w:r>
          </w:p>
        </w:tc>
      </w:tr>
      <w:tr w14:paraId="31B589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10" w:type="dxa"/>
            <w:vMerge w:val="continue"/>
            <w:noWrap w:val="0"/>
            <w:vAlign w:val="center"/>
          </w:tcPr>
          <w:p w14:paraId="1D4B3A3A">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0890F32C">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5EBA9943">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1DEABC02">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6）检查并更换老化的电极</w:t>
            </w:r>
          </w:p>
        </w:tc>
      </w:tr>
      <w:tr w14:paraId="5B2962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jc w:val="center"/>
        </w:trPr>
        <w:tc>
          <w:tcPr>
            <w:tcW w:w="710" w:type="dxa"/>
            <w:vMerge w:val="continue"/>
            <w:noWrap w:val="0"/>
            <w:vAlign w:val="center"/>
          </w:tcPr>
          <w:p w14:paraId="5DBD392B">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2189626E">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27F16656">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7AFEF850">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7）修正液位压力传感器参数</w:t>
            </w:r>
          </w:p>
        </w:tc>
      </w:tr>
      <w:tr w14:paraId="43290B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710" w:type="dxa"/>
            <w:vMerge w:val="restart"/>
            <w:noWrap w:val="0"/>
            <w:vAlign w:val="center"/>
          </w:tcPr>
          <w:p w14:paraId="666ECCA1">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15</w:t>
            </w:r>
          </w:p>
        </w:tc>
        <w:tc>
          <w:tcPr>
            <w:tcW w:w="1498" w:type="dxa"/>
            <w:vMerge w:val="restart"/>
            <w:noWrap w:val="0"/>
            <w:vAlign w:val="center"/>
          </w:tcPr>
          <w:p w14:paraId="295CACD4">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总磷分析仪维护</w:t>
            </w:r>
          </w:p>
        </w:tc>
        <w:tc>
          <w:tcPr>
            <w:tcW w:w="1255" w:type="dxa"/>
            <w:vMerge w:val="continue"/>
            <w:noWrap w:val="0"/>
            <w:vAlign w:val="center"/>
          </w:tcPr>
          <w:p w14:paraId="36E654FD">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47C779EA">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1）检查数据传输和报警模块是否正常</w:t>
            </w:r>
          </w:p>
        </w:tc>
      </w:tr>
      <w:tr w14:paraId="48934E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710" w:type="dxa"/>
            <w:vMerge w:val="continue"/>
            <w:noWrap w:val="0"/>
            <w:vAlign w:val="center"/>
          </w:tcPr>
          <w:p w14:paraId="5DEFF2B1">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7F11B54C">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64C56803">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6596E138">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2）更换试剂</w:t>
            </w:r>
          </w:p>
        </w:tc>
      </w:tr>
      <w:tr w14:paraId="52069A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710" w:type="dxa"/>
            <w:vMerge w:val="continue"/>
            <w:noWrap w:val="0"/>
            <w:vAlign w:val="center"/>
          </w:tcPr>
          <w:p w14:paraId="3D72B2F4">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56C9EED3">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02BD8843">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6F7A3A34">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3）确保冷却水供应正常</w:t>
            </w:r>
          </w:p>
        </w:tc>
      </w:tr>
      <w:tr w14:paraId="1AACFD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710" w:type="dxa"/>
            <w:vMerge w:val="continue"/>
            <w:noWrap w:val="0"/>
            <w:vAlign w:val="center"/>
          </w:tcPr>
          <w:p w14:paraId="0606FC92">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010CFB3F">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15FCEB02">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54EC9158">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4）清除水浴锅内水垢，疏通管道</w:t>
            </w:r>
          </w:p>
        </w:tc>
      </w:tr>
      <w:tr w14:paraId="65782E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710" w:type="dxa"/>
            <w:vMerge w:val="continue"/>
            <w:noWrap w:val="0"/>
            <w:vAlign w:val="center"/>
          </w:tcPr>
          <w:p w14:paraId="49CC76D0">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523B75E5">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2177FB23">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6E1A1068">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5）检查并更换老化的UV灯</w:t>
            </w:r>
          </w:p>
        </w:tc>
      </w:tr>
      <w:tr w14:paraId="06D9EC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710" w:type="dxa"/>
            <w:vMerge w:val="continue"/>
            <w:noWrap w:val="0"/>
            <w:vAlign w:val="center"/>
          </w:tcPr>
          <w:p w14:paraId="0867F186">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12D52B8C">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3AC14887">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31AB822E">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6）确保各个阀门正常</w:t>
            </w:r>
          </w:p>
        </w:tc>
      </w:tr>
      <w:tr w14:paraId="233FE7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710" w:type="dxa"/>
            <w:vMerge w:val="restart"/>
            <w:noWrap w:val="0"/>
            <w:vAlign w:val="center"/>
          </w:tcPr>
          <w:p w14:paraId="7500CF0A">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17</w:t>
            </w:r>
          </w:p>
        </w:tc>
        <w:tc>
          <w:tcPr>
            <w:tcW w:w="1498" w:type="dxa"/>
            <w:vMerge w:val="restart"/>
            <w:noWrap w:val="0"/>
            <w:vAlign w:val="center"/>
          </w:tcPr>
          <w:p w14:paraId="20E3DA66">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五参数分析仪</w:t>
            </w:r>
          </w:p>
        </w:tc>
        <w:tc>
          <w:tcPr>
            <w:tcW w:w="1255" w:type="dxa"/>
            <w:vMerge w:val="continue"/>
            <w:noWrap w:val="0"/>
            <w:vAlign w:val="center"/>
          </w:tcPr>
          <w:p w14:paraId="1F13B989">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4C2C1749">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1）检查数据传输和报警模块是否正常</w:t>
            </w:r>
          </w:p>
        </w:tc>
      </w:tr>
      <w:tr w14:paraId="4A24F1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710" w:type="dxa"/>
            <w:vMerge w:val="continue"/>
            <w:noWrap w:val="0"/>
            <w:vAlign w:val="center"/>
          </w:tcPr>
          <w:p w14:paraId="33DDD4F2">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6ECE4232">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4FC315AC">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3D31B090">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2）检查电极是否被泥沙和藻类沾污</w:t>
            </w:r>
          </w:p>
        </w:tc>
      </w:tr>
      <w:tr w14:paraId="50B4FD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710" w:type="dxa"/>
            <w:vMerge w:val="continue"/>
            <w:noWrap w:val="0"/>
            <w:vAlign w:val="center"/>
          </w:tcPr>
          <w:p w14:paraId="279F0BAE">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7A535819">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60CF372D">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6859F5CF">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3）清洗电极更换电极液</w:t>
            </w:r>
          </w:p>
        </w:tc>
      </w:tr>
      <w:tr w14:paraId="10B649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710" w:type="dxa"/>
            <w:vMerge w:val="continue"/>
            <w:noWrap w:val="0"/>
            <w:vAlign w:val="center"/>
          </w:tcPr>
          <w:p w14:paraId="3C509972">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7E3B9F9A">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5FA3CA5D">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12DB62D4">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4）检查并更换老化的电极</w:t>
            </w:r>
          </w:p>
        </w:tc>
      </w:tr>
      <w:tr w14:paraId="7FD12B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jc w:val="center"/>
        </w:trPr>
        <w:tc>
          <w:tcPr>
            <w:tcW w:w="710" w:type="dxa"/>
            <w:vMerge w:val="continue"/>
            <w:noWrap w:val="0"/>
            <w:vAlign w:val="center"/>
          </w:tcPr>
          <w:p w14:paraId="3C208F16">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2D560DAB">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5CE4AD0A">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34B1841D">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5）确保清洗水供应正常</w:t>
            </w:r>
          </w:p>
        </w:tc>
      </w:tr>
      <w:tr w14:paraId="6F0FBA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10" w:type="dxa"/>
            <w:vMerge w:val="restart"/>
            <w:noWrap w:val="0"/>
            <w:vAlign w:val="center"/>
          </w:tcPr>
          <w:p w14:paraId="2AB4910C">
            <w:pPr>
              <w:jc w:val="center"/>
              <w:rPr>
                <w:rFonts w:hint="default" w:ascii="Times New Roman" w:hAnsi="Times New Roman" w:eastAsia="宋体" w:cs="Times New Roman"/>
                <w:kern w:val="0"/>
                <w:sz w:val="21"/>
                <w:szCs w:val="24"/>
                <w:highlight w:val="none"/>
              </w:rPr>
            </w:pPr>
            <w:r>
              <w:rPr>
                <w:rFonts w:hint="eastAsia" w:ascii="Times New Roman" w:hAnsi="Times New Roman" w:eastAsia="宋体" w:cs="Times New Roman"/>
                <w:kern w:val="0"/>
                <w:sz w:val="21"/>
                <w:szCs w:val="24"/>
                <w:highlight w:val="none"/>
              </w:rPr>
              <w:t>18</w:t>
            </w:r>
          </w:p>
        </w:tc>
        <w:tc>
          <w:tcPr>
            <w:tcW w:w="1498" w:type="dxa"/>
            <w:vMerge w:val="restart"/>
            <w:noWrap w:val="0"/>
            <w:vAlign w:val="center"/>
          </w:tcPr>
          <w:p w14:paraId="2E58B09A">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采样器维护</w:t>
            </w:r>
          </w:p>
        </w:tc>
        <w:tc>
          <w:tcPr>
            <w:tcW w:w="1255" w:type="dxa"/>
            <w:vMerge w:val="restart"/>
            <w:noWrap w:val="0"/>
            <w:vAlign w:val="center"/>
          </w:tcPr>
          <w:p w14:paraId="3131EF7D">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1次/周，保证采样瓶清洁</w:t>
            </w:r>
          </w:p>
        </w:tc>
        <w:tc>
          <w:tcPr>
            <w:tcW w:w="5691" w:type="dxa"/>
            <w:noWrap w:val="0"/>
            <w:vAlign w:val="center"/>
          </w:tcPr>
          <w:p w14:paraId="17A56222">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1）检查并更换老化的蠕动泵软管</w:t>
            </w:r>
          </w:p>
        </w:tc>
      </w:tr>
      <w:tr w14:paraId="3D199C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10" w:type="dxa"/>
            <w:vMerge w:val="continue"/>
            <w:noWrap w:val="0"/>
            <w:vAlign w:val="center"/>
          </w:tcPr>
          <w:p w14:paraId="3C1A0259">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3E204274">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08B2298A">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67EC95AD">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2）检查并更换老化的分配臂软管</w:t>
            </w:r>
          </w:p>
        </w:tc>
      </w:tr>
      <w:tr w14:paraId="23C04A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10" w:type="dxa"/>
            <w:vMerge w:val="continue"/>
            <w:noWrap w:val="0"/>
            <w:vAlign w:val="center"/>
          </w:tcPr>
          <w:p w14:paraId="0EAEBAAE">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6F9C6A55">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7CCF8CA6">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5CFE4B92">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3）检查并更换老化的采样管</w:t>
            </w:r>
          </w:p>
        </w:tc>
      </w:tr>
      <w:tr w14:paraId="00F927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10" w:type="dxa"/>
            <w:vMerge w:val="continue"/>
            <w:noWrap w:val="0"/>
            <w:vAlign w:val="center"/>
          </w:tcPr>
          <w:p w14:paraId="133C0B74">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263A12A1">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1E90EA45">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2E5B2F72">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4）清洗采样切换阀</w:t>
            </w:r>
          </w:p>
        </w:tc>
      </w:tr>
      <w:tr w14:paraId="092E70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10" w:type="dxa"/>
            <w:vMerge w:val="continue"/>
            <w:noWrap w:val="0"/>
            <w:vAlign w:val="center"/>
          </w:tcPr>
          <w:p w14:paraId="06A730C7">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3DB15E52">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1C03A1F0">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449BD497">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5）重新调整采样参数，确认自动留样器工作正常。</w:t>
            </w:r>
          </w:p>
        </w:tc>
      </w:tr>
      <w:tr w14:paraId="6047B8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10" w:type="dxa"/>
            <w:vMerge w:val="continue"/>
            <w:noWrap w:val="0"/>
            <w:vAlign w:val="center"/>
          </w:tcPr>
          <w:p w14:paraId="67B984BD">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3AF41C41">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34D2A877">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534752A5">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6）检查样品储藏室温度</w:t>
            </w:r>
          </w:p>
        </w:tc>
      </w:tr>
      <w:tr w14:paraId="431AA8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jc w:val="center"/>
        </w:trPr>
        <w:tc>
          <w:tcPr>
            <w:tcW w:w="710" w:type="dxa"/>
            <w:vMerge w:val="continue"/>
            <w:noWrap w:val="0"/>
            <w:vAlign w:val="center"/>
          </w:tcPr>
          <w:p w14:paraId="6268D46F">
            <w:pPr>
              <w:jc w:val="center"/>
              <w:rPr>
                <w:rFonts w:hint="default" w:ascii="Times New Roman" w:hAnsi="Times New Roman" w:eastAsia="宋体" w:cs="Times New Roman"/>
                <w:kern w:val="0"/>
                <w:sz w:val="21"/>
                <w:szCs w:val="24"/>
                <w:highlight w:val="none"/>
              </w:rPr>
            </w:pPr>
          </w:p>
        </w:tc>
        <w:tc>
          <w:tcPr>
            <w:tcW w:w="1498" w:type="dxa"/>
            <w:vMerge w:val="continue"/>
            <w:noWrap w:val="0"/>
            <w:vAlign w:val="center"/>
          </w:tcPr>
          <w:p w14:paraId="3209CA1E">
            <w:pPr>
              <w:jc w:val="center"/>
              <w:rPr>
                <w:rFonts w:hint="default" w:ascii="Times New Roman" w:hAnsi="Times New Roman" w:eastAsia="宋体" w:cs="Times New Roman"/>
                <w:kern w:val="0"/>
                <w:sz w:val="21"/>
                <w:szCs w:val="24"/>
                <w:highlight w:val="none"/>
              </w:rPr>
            </w:pPr>
          </w:p>
        </w:tc>
        <w:tc>
          <w:tcPr>
            <w:tcW w:w="1255" w:type="dxa"/>
            <w:vMerge w:val="continue"/>
            <w:noWrap w:val="0"/>
            <w:vAlign w:val="center"/>
          </w:tcPr>
          <w:p w14:paraId="4263AC5B">
            <w:pPr>
              <w:jc w:val="center"/>
              <w:rPr>
                <w:rFonts w:hint="default" w:ascii="Times New Roman" w:hAnsi="Times New Roman" w:eastAsia="宋体" w:cs="Times New Roman"/>
                <w:kern w:val="0"/>
                <w:sz w:val="21"/>
                <w:szCs w:val="24"/>
                <w:highlight w:val="none"/>
              </w:rPr>
            </w:pPr>
          </w:p>
        </w:tc>
        <w:tc>
          <w:tcPr>
            <w:tcW w:w="5691" w:type="dxa"/>
            <w:noWrap w:val="0"/>
            <w:vAlign w:val="center"/>
          </w:tcPr>
          <w:p w14:paraId="7B9E8351">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7）清洗样品储藏室</w:t>
            </w:r>
          </w:p>
        </w:tc>
      </w:tr>
    </w:tbl>
    <w:p w14:paraId="20C62301">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3.4.4</w:t>
      </w:r>
      <w:r>
        <w:rPr>
          <w:rFonts w:hint="default" w:ascii="宋体" w:hAnsi="宋体" w:eastAsia="宋体" w:cs="Times New Roman"/>
          <w:kern w:val="0"/>
          <w:sz w:val="24"/>
          <w:szCs w:val="24"/>
          <w:highlight w:val="none"/>
        </w:rPr>
        <w:t>.每月工作内容如下：</w:t>
      </w:r>
    </w:p>
    <w:p w14:paraId="7B283ADA">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3.4.4.1</w:t>
      </w:r>
      <w:r>
        <w:rPr>
          <w:rFonts w:hint="default" w:ascii="宋体" w:hAnsi="宋体" w:eastAsia="宋体" w:cs="Times New Roman"/>
          <w:kern w:val="0"/>
          <w:sz w:val="24"/>
          <w:szCs w:val="24"/>
          <w:highlight w:val="none"/>
        </w:rPr>
        <w:t>室内外取水管路清洗、清淤，清洗液位计、液位观察管、样水杯喷头等部件。检查蠕动泵是否有堵塞和渗漏，采水系统综合测试。</w:t>
      </w:r>
    </w:p>
    <w:p w14:paraId="7637EC84">
      <w:pPr>
        <w:tabs>
          <w:tab w:val="left" w:pos="993"/>
        </w:tabs>
        <w:spacing w:line="360" w:lineRule="auto"/>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3.4.4.2</w:t>
      </w:r>
      <w:r>
        <w:rPr>
          <w:rFonts w:hint="default" w:ascii="宋体" w:hAnsi="宋体" w:eastAsia="宋体" w:cs="Times New Roman"/>
          <w:kern w:val="0"/>
          <w:sz w:val="24"/>
          <w:szCs w:val="24"/>
          <w:highlight w:val="none"/>
        </w:rPr>
        <w:t>校正pH、溶解氧电极，更换高锰酸盐指数、氨氮、总磷等仪器相关分析试剂并校正。</w:t>
      </w:r>
    </w:p>
    <w:p w14:paraId="2392E0EE">
      <w:pPr>
        <w:tabs>
          <w:tab w:val="left" w:pos="993"/>
        </w:tabs>
        <w:spacing w:line="360" w:lineRule="auto"/>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3.4.4.3</w:t>
      </w:r>
      <w:r>
        <w:rPr>
          <w:rFonts w:hint="default" w:ascii="宋体" w:hAnsi="宋体" w:eastAsia="宋体" w:cs="Times New Roman"/>
          <w:kern w:val="0"/>
          <w:sz w:val="24"/>
          <w:szCs w:val="24"/>
          <w:highlight w:val="none"/>
        </w:rPr>
        <w:t>高锰酸盐指数、氨氮、总磷仪器线性检查。</w:t>
      </w:r>
    </w:p>
    <w:p w14:paraId="1F3A9C6A">
      <w:pPr>
        <w:tabs>
          <w:tab w:val="left" w:pos="993"/>
        </w:tabs>
        <w:spacing w:line="360" w:lineRule="auto"/>
        <w:ind w:firstLine="480"/>
        <w:contextualSpacing/>
        <w:jc w:val="both"/>
        <w:rPr>
          <w:rFonts w:hint="default" w:ascii="宋体" w:hAnsi="宋体"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3.4.4.4</w:t>
      </w:r>
      <w:r>
        <w:rPr>
          <w:rFonts w:hint="default" w:ascii="宋体" w:hAnsi="宋体" w:eastAsia="宋体" w:cs="Times New Roman"/>
          <w:kern w:val="0"/>
          <w:sz w:val="24"/>
          <w:szCs w:val="24"/>
          <w:highlight w:val="none"/>
        </w:rPr>
        <w:t>每月对数据和运维记录进行备份。</w:t>
      </w:r>
    </w:p>
    <w:p w14:paraId="465709DF">
      <w:pPr>
        <w:tabs>
          <w:tab w:val="left" w:pos="993"/>
        </w:tabs>
        <w:spacing w:line="360" w:lineRule="auto"/>
        <w:ind w:firstLine="480"/>
        <w:contextualSpacing/>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具体要求见下表：</w:t>
      </w:r>
    </w:p>
    <w:tbl>
      <w:tblPr>
        <w:tblStyle w:val="6"/>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42"/>
        <w:gridCol w:w="1245"/>
        <w:gridCol w:w="1920"/>
        <w:gridCol w:w="5408"/>
      </w:tblGrid>
      <w:tr w14:paraId="586146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42" w:type="dxa"/>
            <w:noWrap w:val="0"/>
            <w:vAlign w:val="center"/>
          </w:tcPr>
          <w:p w14:paraId="3ADC690D">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序号</w:t>
            </w:r>
          </w:p>
        </w:tc>
        <w:tc>
          <w:tcPr>
            <w:tcW w:w="1245" w:type="dxa"/>
            <w:noWrap w:val="0"/>
            <w:vAlign w:val="center"/>
          </w:tcPr>
          <w:p w14:paraId="5D1A7C8D">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维护内容</w:t>
            </w:r>
          </w:p>
        </w:tc>
        <w:tc>
          <w:tcPr>
            <w:tcW w:w="1920" w:type="dxa"/>
            <w:noWrap w:val="0"/>
            <w:vAlign w:val="center"/>
          </w:tcPr>
          <w:p w14:paraId="22DDDB1A">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维护周期及目标</w:t>
            </w:r>
          </w:p>
        </w:tc>
        <w:tc>
          <w:tcPr>
            <w:tcW w:w="5408" w:type="dxa"/>
            <w:noWrap w:val="0"/>
            <w:vAlign w:val="center"/>
          </w:tcPr>
          <w:p w14:paraId="12E0C3C9">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维护要求</w:t>
            </w:r>
          </w:p>
        </w:tc>
      </w:tr>
      <w:tr w14:paraId="1741DB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642" w:type="dxa"/>
            <w:vMerge w:val="restart"/>
            <w:noWrap w:val="0"/>
            <w:vAlign w:val="center"/>
          </w:tcPr>
          <w:p w14:paraId="077EAFC0">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w:t>
            </w:r>
          </w:p>
        </w:tc>
        <w:tc>
          <w:tcPr>
            <w:tcW w:w="1245" w:type="dxa"/>
            <w:vMerge w:val="restart"/>
            <w:noWrap w:val="0"/>
            <w:vAlign w:val="center"/>
          </w:tcPr>
          <w:p w14:paraId="55FAAAAE">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室外取水管路清洗清淤</w:t>
            </w:r>
          </w:p>
        </w:tc>
        <w:tc>
          <w:tcPr>
            <w:tcW w:w="1920" w:type="dxa"/>
            <w:vMerge w:val="restart"/>
            <w:noWrap w:val="0"/>
            <w:vAlign w:val="center"/>
          </w:tcPr>
          <w:p w14:paraId="23C3FC0C">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1次/月，确保管路无泥沙附着</w:t>
            </w:r>
          </w:p>
        </w:tc>
        <w:tc>
          <w:tcPr>
            <w:tcW w:w="5408" w:type="dxa"/>
            <w:noWrap w:val="0"/>
            <w:vAlign w:val="center"/>
          </w:tcPr>
          <w:p w14:paraId="1AA58C70">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将室外取水管路淤泥吹出，至少三次空气吹洗，以便达到良好清淤效果</w:t>
            </w:r>
          </w:p>
        </w:tc>
      </w:tr>
      <w:tr w14:paraId="3308B5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642" w:type="dxa"/>
            <w:vMerge w:val="continue"/>
            <w:noWrap w:val="0"/>
            <w:vAlign w:val="center"/>
          </w:tcPr>
          <w:p w14:paraId="1D6DBA00">
            <w:pPr>
              <w:jc w:val="center"/>
              <w:rPr>
                <w:rFonts w:hint="default" w:ascii="Times New Roman" w:hAnsi="Times New Roman" w:eastAsia="宋体" w:cs="Times New Roman"/>
                <w:kern w:val="0"/>
                <w:sz w:val="21"/>
                <w:szCs w:val="24"/>
                <w:highlight w:val="none"/>
              </w:rPr>
            </w:pPr>
          </w:p>
        </w:tc>
        <w:tc>
          <w:tcPr>
            <w:tcW w:w="1245" w:type="dxa"/>
            <w:vMerge w:val="continue"/>
            <w:noWrap w:val="0"/>
            <w:vAlign w:val="center"/>
          </w:tcPr>
          <w:p w14:paraId="4B6724B2">
            <w:pPr>
              <w:jc w:val="center"/>
              <w:rPr>
                <w:rFonts w:hint="default" w:ascii="Times New Roman" w:hAnsi="Times New Roman" w:eastAsia="宋体" w:cs="Times New Roman"/>
                <w:kern w:val="0"/>
                <w:sz w:val="21"/>
                <w:szCs w:val="24"/>
                <w:highlight w:val="none"/>
              </w:rPr>
            </w:pPr>
          </w:p>
        </w:tc>
        <w:tc>
          <w:tcPr>
            <w:tcW w:w="1920" w:type="dxa"/>
            <w:vMerge w:val="continue"/>
            <w:noWrap w:val="0"/>
            <w:vAlign w:val="center"/>
          </w:tcPr>
          <w:p w14:paraId="4BE9958B">
            <w:pPr>
              <w:jc w:val="center"/>
              <w:rPr>
                <w:rFonts w:hint="default" w:ascii="Times New Roman" w:hAnsi="Times New Roman" w:eastAsia="宋体" w:cs="Times New Roman"/>
                <w:kern w:val="0"/>
                <w:sz w:val="21"/>
                <w:szCs w:val="24"/>
                <w:highlight w:val="none"/>
              </w:rPr>
            </w:pPr>
          </w:p>
        </w:tc>
        <w:tc>
          <w:tcPr>
            <w:tcW w:w="5408" w:type="dxa"/>
            <w:noWrap w:val="0"/>
            <w:vAlign w:val="center"/>
          </w:tcPr>
          <w:p w14:paraId="7BD50AF6">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采用3%稀盐酸，对取水管路进行清洗。清洗完毕后15分钟手动运行一次采水流程，以便将管路中残余药剂清洗掉</w:t>
            </w:r>
          </w:p>
        </w:tc>
      </w:tr>
      <w:tr w14:paraId="52D5E6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42" w:type="dxa"/>
            <w:vMerge w:val="continue"/>
            <w:noWrap w:val="0"/>
            <w:vAlign w:val="center"/>
          </w:tcPr>
          <w:p w14:paraId="0BAA98B8">
            <w:pPr>
              <w:jc w:val="center"/>
              <w:rPr>
                <w:rFonts w:hint="default" w:ascii="Times New Roman" w:hAnsi="Times New Roman" w:eastAsia="宋体" w:cs="Times New Roman"/>
                <w:kern w:val="0"/>
                <w:sz w:val="21"/>
                <w:szCs w:val="24"/>
                <w:highlight w:val="none"/>
              </w:rPr>
            </w:pPr>
          </w:p>
        </w:tc>
        <w:tc>
          <w:tcPr>
            <w:tcW w:w="1245" w:type="dxa"/>
            <w:vMerge w:val="continue"/>
            <w:noWrap w:val="0"/>
            <w:vAlign w:val="center"/>
          </w:tcPr>
          <w:p w14:paraId="3FBA45FD">
            <w:pPr>
              <w:jc w:val="center"/>
              <w:rPr>
                <w:rFonts w:hint="default" w:ascii="Times New Roman" w:hAnsi="Times New Roman" w:eastAsia="宋体" w:cs="Times New Roman"/>
                <w:kern w:val="0"/>
                <w:sz w:val="21"/>
                <w:szCs w:val="24"/>
                <w:highlight w:val="none"/>
              </w:rPr>
            </w:pPr>
          </w:p>
        </w:tc>
        <w:tc>
          <w:tcPr>
            <w:tcW w:w="1920" w:type="dxa"/>
            <w:vMerge w:val="continue"/>
            <w:noWrap w:val="0"/>
            <w:vAlign w:val="center"/>
          </w:tcPr>
          <w:p w14:paraId="7A35340F">
            <w:pPr>
              <w:jc w:val="center"/>
              <w:rPr>
                <w:rFonts w:hint="default" w:ascii="Times New Roman" w:hAnsi="Times New Roman" w:eastAsia="宋体" w:cs="Times New Roman"/>
                <w:kern w:val="0"/>
                <w:sz w:val="21"/>
                <w:szCs w:val="24"/>
                <w:highlight w:val="none"/>
              </w:rPr>
            </w:pPr>
          </w:p>
        </w:tc>
        <w:tc>
          <w:tcPr>
            <w:tcW w:w="5408" w:type="dxa"/>
            <w:noWrap w:val="0"/>
            <w:vAlign w:val="center"/>
          </w:tcPr>
          <w:p w14:paraId="4393D9E2">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恢复取水管路原状</w:t>
            </w:r>
          </w:p>
        </w:tc>
      </w:tr>
      <w:tr w14:paraId="410AD8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642" w:type="dxa"/>
            <w:vMerge w:val="restart"/>
            <w:noWrap w:val="0"/>
            <w:vAlign w:val="center"/>
          </w:tcPr>
          <w:p w14:paraId="5A3DC714">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2</w:t>
            </w:r>
          </w:p>
        </w:tc>
        <w:tc>
          <w:tcPr>
            <w:tcW w:w="1245" w:type="dxa"/>
            <w:vMerge w:val="restart"/>
            <w:noWrap w:val="0"/>
            <w:vAlign w:val="center"/>
          </w:tcPr>
          <w:p w14:paraId="6B56E966">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室内管路清洗</w:t>
            </w:r>
          </w:p>
        </w:tc>
        <w:tc>
          <w:tcPr>
            <w:tcW w:w="1920" w:type="dxa"/>
            <w:vMerge w:val="restart"/>
            <w:noWrap w:val="0"/>
            <w:vAlign w:val="center"/>
          </w:tcPr>
          <w:p w14:paraId="2E9A3BA1">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2次/月，确保管路透明，无泥沙藻类附着</w:t>
            </w:r>
          </w:p>
        </w:tc>
        <w:tc>
          <w:tcPr>
            <w:tcW w:w="5408" w:type="dxa"/>
            <w:noWrap w:val="0"/>
            <w:vAlign w:val="center"/>
          </w:tcPr>
          <w:p w14:paraId="6E67E767">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手动拆卸阀门、弯头、过滤网和样水杯等部件，用试管刷清洗，清洗后原样装回</w:t>
            </w:r>
          </w:p>
        </w:tc>
      </w:tr>
      <w:tr w14:paraId="108E44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42" w:type="dxa"/>
            <w:vMerge w:val="continue"/>
            <w:noWrap w:val="0"/>
            <w:vAlign w:val="center"/>
          </w:tcPr>
          <w:p w14:paraId="572CB3F1">
            <w:pPr>
              <w:jc w:val="center"/>
              <w:rPr>
                <w:rFonts w:hint="default" w:ascii="Times New Roman" w:hAnsi="Times New Roman" w:eastAsia="宋体" w:cs="Times New Roman"/>
                <w:kern w:val="0"/>
                <w:sz w:val="21"/>
                <w:szCs w:val="24"/>
                <w:highlight w:val="none"/>
              </w:rPr>
            </w:pPr>
          </w:p>
        </w:tc>
        <w:tc>
          <w:tcPr>
            <w:tcW w:w="1245" w:type="dxa"/>
            <w:vMerge w:val="continue"/>
            <w:noWrap w:val="0"/>
            <w:vAlign w:val="center"/>
          </w:tcPr>
          <w:p w14:paraId="14929714">
            <w:pPr>
              <w:jc w:val="center"/>
              <w:rPr>
                <w:rFonts w:hint="default" w:ascii="Times New Roman" w:hAnsi="Times New Roman" w:eastAsia="宋体" w:cs="Times New Roman"/>
                <w:kern w:val="0"/>
                <w:sz w:val="21"/>
                <w:szCs w:val="24"/>
                <w:highlight w:val="none"/>
              </w:rPr>
            </w:pPr>
          </w:p>
        </w:tc>
        <w:tc>
          <w:tcPr>
            <w:tcW w:w="1920" w:type="dxa"/>
            <w:vMerge w:val="continue"/>
            <w:noWrap w:val="0"/>
            <w:vAlign w:val="center"/>
          </w:tcPr>
          <w:p w14:paraId="5E63C06A">
            <w:pPr>
              <w:jc w:val="center"/>
              <w:rPr>
                <w:rFonts w:hint="default" w:ascii="Times New Roman" w:hAnsi="Times New Roman" w:eastAsia="宋体" w:cs="Times New Roman"/>
                <w:kern w:val="0"/>
                <w:sz w:val="21"/>
                <w:szCs w:val="24"/>
                <w:highlight w:val="none"/>
              </w:rPr>
            </w:pPr>
          </w:p>
        </w:tc>
        <w:tc>
          <w:tcPr>
            <w:tcW w:w="5408" w:type="dxa"/>
            <w:noWrap w:val="0"/>
            <w:vAlign w:val="center"/>
          </w:tcPr>
          <w:p w14:paraId="6EDCF5C2">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检查蠕动泵进水塑胶软管脏污情况，必要的情况更换</w:t>
            </w:r>
          </w:p>
        </w:tc>
      </w:tr>
      <w:tr w14:paraId="51A8FA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642" w:type="dxa"/>
            <w:vMerge w:val="restart"/>
            <w:noWrap w:val="0"/>
            <w:vAlign w:val="center"/>
          </w:tcPr>
          <w:p w14:paraId="4473F444">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3</w:t>
            </w:r>
          </w:p>
        </w:tc>
        <w:tc>
          <w:tcPr>
            <w:tcW w:w="1245" w:type="dxa"/>
            <w:vMerge w:val="restart"/>
            <w:noWrap w:val="0"/>
            <w:vAlign w:val="center"/>
          </w:tcPr>
          <w:p w14:paraId="3F3FDD15">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清洗液位计</w:t>
            </w:r>
          </w:p>
        </w:tc>
        <w:tc>
          <w:tcPr>
            <w:tcW w:w="1920" w:type="dxa"/>
            <w:vMerge w:val="restart"/>
            <w:noWrap w:val="0"/>
            <w:vAlign w:val="center"/>
          </w:tcPr>
          <w:p w14:paraId="603A7D30">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1次/月，确保液位计工作正常</w:t>
            </w:r>
          </w:p>
        </w:tc>
        <w:tc>
          <w:tcPr>
            <w:tcW w:w="5408" w:type="dxa"/>
            <w:noWrap w:val="0"/>
            <w:vAlign w:val="center"/>
          </w:tcPr>
          <w:p w14:paraId="668594F9">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将液位计拆下，用3%盐酸擦洗浮球和导杆，清除表面钙化物和污物</w:t>
            </w:r>
          </w:p>
        </w:tc>
      </w:tr>
      <w:tr w14:paraId="390A2B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642" w:type="dxa"/>
            <w:vMerge w:val="continue"/>
            <w:noWrap w:val="0"/>
            <w:vAlign w:val="center"/>
          </w:tcPr>
          <w:p w14:paraId="6FB2A927">
            <w:pPr>
              <w:jc w:val="center"/>
              <w:rPr>
                <w:rFonts w:hint="default" w:ascii="Times New Roman" w:hAnsi="Times New Roman" w:eastAsia="宋体" w:cs="Times New Roman"/>
                <w:kern w:val="0"/>
                <w:sz w:val="21"/>
                <w:szCs w:val="24"/>
                <w:highlight w:val="none"/>
              </w:rPr>
            </w:pPr>
          </w:p>
        </w:tc>
        <w:tc>
          <w:tcPr>
            <w:tcW w:w="1245" w:type="dxa"/>
            <w:vMerge w:val="continue"/>
            <w:noWrap w:val="0"/>
            <w:vAlign w:val="center"/>
          </w:tcPr>
          <w:p w14:paraId="7A376DB8">
            <w:pPr>
              <w:jc w:val="center"/>
              <w:rPr>
                <w:rFonts w:hint="default" w:ascii="Times New Roman" w:hAnsi="Times New Roman" w:eastAsia="宋体" w:cs="Times New Roman"/>
                <w:kern w:val="0"/>
                <w:sz w:val="21"/>
                <w:szCs w:val="24"/>
                <w:highlight w:val="none"/>
              </w:rPr>
            </w:pPr>
          </w:p>
        </w:tc>
        <w:tc>
          <w:tcPr>
            <w:tcW w:w="1920" w:type="dxa"/>
            <w:vMerge w:val="continue"/>
            <w:noWrap w:val="0"/>
            <w:vAlign w:val="center"/>
          </w:tcPr>
          <w:p w14:paraId="0F910137">
            <w:pPr>
              <w:jc w:val="center"/>
              <w:rPr>
                <w:rFonts w:hint="default" w:ascii="Times New Roman" w:hAnsi="Times New Roman" w:eastAsia="宋体" w:cs="Times New Roman"/>
                <w:kern w:val="0"/>
                <w:sz w:val="21"/>
                <w:szCs w:val="24"/>
                <w:highlight w:val="none"/>
              </w:rPr>
            </w:pPr>
          </w:p>
        </w:tc>
        <w:tc>
          <w:tcPr>
            <w:tcW w:w="5408" w:type="dxa"/>
            <w:noWrap w:val="0"/>
            <w:vAlign w:val="center"/>
          </w:tcPr>
          <w:p w14:paraId="32F3BBA4">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测量浮球导通电阻，导通电阻必须小于20欧姆，且反应灵敏</w:t>
            </w:r>
          </w:p>
        </w:tc>
      </w:tr>
      <w:tr w14:paraId="052DDE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642" w:type="dxa"/>
            <w:vMerge w:val="continue"/>
            <w:noWrap w:val="0"/>
            <w:vAlign w:val="center"/>
          </w:tcPr>
          <w:p w14:paraId="4F286BE6">
            <w:pPr>
              <w:jc w:val="center"/>
              <w:rPr>
                <w:rFonts w:hint="default" w:ascii="Times New Roman" w:hAnsi="Times New Roman" w:eastAsia="宋体" w:cs="Times New Roman"/>
                <w:kern w:val="0"/>
                <w:sz w:val="21"/>
                <w:szCs w:val="24"/>
                <w:highlight w:val="none"/>
              </w:rPr>
            </w:pPr>
          </w:p>
        </w:tc>
        <w:tc>
          <w:tcPr>
            <w:tcW w:w="1245" w:type="dxa"/>
            <w:vMerge w:val="continue"/>
            <w:noWrap w:val="0"/>
            <w:vAlign w:val="center"/>
          </w:tcPr>
          <w:p w14:paraId="47187E0F">
            <w:pPr>
              <w:jc w:val="center"/>
              <w:rPr>
                <w:rFonts w:hint="default" w:ascii="Times New Roman" w:hAnsi="Times New Roman" w:eastAsia="宋体" w:cs="Times New Roman"/>
                <w:kern w:val="0"/>
                <w:sz w:val="21"/>
                <w:szCs w:val="24"/>
                <w:highlight w:val="none"/>
              </w:rPr>
            </w:pPr>
          </w:p>
        </w:tc>
        <w:tc>
          <w:tcPr>
            <w:tcW w:w="1920" w:type="dxa"/>
            <w:vMerge w:val="continue"/>
            <w:noWrap w:val="0"/>
            <w:vAlign w:val="center"/>
          </w:tcPr>
          <w:p w14:paraId="16D068BD">
            <w:pPr>
              <w:jc w:val="center"/>
              <w:rPr>
                <w:rFonts w:hint="default" w:ascii="Times New Roman" w:hAnsi="Times New Roman" w:eastAsia="宋体" w:cs="Times New Roman"/>
                <w:kern w:val="0"/>
                <w:sz w:val="21"/>
                <w:szCs w:val="24"/>
                <w:highlight w:val="none"/>
              </w:rPr>
            </w:pPr>
          </w:p>
        </w:tc>
        <w:tc>
          <w:tcPr>
            <w:tcW w:w="5408" w:type="dxa"/>
            <w:noWrap w:val="0"/>
            <w:vAlign w:val="center"/>
          </w:tcPr>
          <w:p w14:paraId="762829B8">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原样装回液位计</w:t>
            </w:r>
          </w:p>
        </w:tc>
      </w:tr>
      <w:tr w14:paraId="493901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42" w:type="dxa"/>
            <w:vMerge w:val="continue"/>
            <w:noWrap w:val="0"/>
            <w:vAlign w:val="center"/>
          </w:tcPr>
          <w:p w14:paraId="4568F9B2">
            <w:pPr>
              <w:jc w:val="center"/>
              <w:rPr>
                <w:rFonts w:hint="default" w:ascii="Times New Roman" w:hAnsi="Times New Roman" w:eastAsia="宋体" w:cs="Times New Roman"/>
                <w:kern w:val="0"/>
                <w:sz w:val="21"/>
                <w:szCs w:val="24"/>
                <w:highlight w:val="none"/>
              </w:rPr>
            </w:pPr>
          </w:p>
        </w:tc>
        <w:tc>
          <w:tcPr>
            <w:tcW w:w="1245" w:type="dxa"/>
            <w:vMerge w:val="continue"/>
            <w:noWrap w:val="0"/>
            <w:vAlign w:val="center"/>
          </w:tcPr>
          <w:p w14:paraId="3AB64B68">
            <w:pPr>
              <w:jc w:val="center"/>
              <w:rPr>
                <w:rFonts w:hint="default" w:ascii="Times New Roman" w:hAnsi="Times New Roman" w:eastAsia="宋体" w:cs="Times New Roman"/>
                <w:kern w:val="0"/>
                <w:sz w:val="21"/>
                <w:szCs w:val="24"/>
                <w:highlight w:val="none"/>
              </w:rPr>
            </w:pPr>
          </w:p>
        </w:tc>
        <w:tc>
          <w:tcPr>
            <w:tcW w:w="1920" w:type="dxa"/>
            <w:vMerge w:val="continue"/>
            <w:noWrap w:val="0"/>
            <w:vAlign w:val="center"/>
          </w:tcPr>
          <w:p w14:paraId="7457E616">
            <w:pPr>
              <w:jc w:val="center"/>
              <w:rPr>
                <w:rFonts w:hint="default" w:ascii="Times New Roman" w:hAnsi="Times New Roman" w:eastAsia="宋体" w:cs="Times New Roman"/>
                <w:kern w:val="0"/>
                <w:sz w:val="21"/>
                <w:szCs w:val="24"/>
                <w:highlight w:val="none"/>
              </w:rPr>
            </w:pPr>
          </w:p>
        </w:tc>
        <w:tc>
          <w:tcPr>
            <w:tcW w:w="5408" w:type="dxa"/>
            <w:noWrap w:val="0"/>
            <w:vAlign w:val="center"/>
          </w:tcPr>
          <w:p w14:paraId="481773ED">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必要的情况更换新液位计</w:t>
            </w:r>
          </w:p>
        </w:tc>
      </w:tr>
      <w:tr w14:paraId="7591C8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642" w:type="dxa"/>
            <w:vMerge w:val="restart"/>
            <w:noWrap w:val="0"/>
            <w:vAlign w:val="center"/>
          </w:tcPr>
          <w:p w14:paraId="461144A5">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4</w:t>
            </w:r>
          </w:p>
        </w:tc>
        <w:tc>
          <w:tcPr>
            <w:tcW w:w="1245" w:type="dxa"/>
            <w:vMerge w:val="restart"/>
            <w:noWrap w:val="0"/>
            <w:vAlign w:val="center"/>
          </w:tcPr>
          <w:p w14:paraId="4F0F5165">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清洗样水杯喷头</w:t>
            </w:r>
          </w:p>
        </w:tc>
        <w:tc>
          <w:tcPr>
            <w:tcW w:w="1920" w:type="dxa"/>
            <w:vMerge w:val="restart"/>
            <w:noWrap w:val="0"/>
            <w:vAlign w:val="center"/>
          </w:tcPr>
          <w:p w14:paraId="093B3568">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1次/月，确保喷头工作正常</w:t>
            </w:r>
          </w:p>
        </w:tc>
        <w:tc>
          <w:tcPr>
            <w:tcW w:w="5408" w:type="dxa"/>
            <w:noWrap w:val="0"/>
            <w:vAlign w:val="center"/>
          </w:tcPr>
          <w:p w14:paraId="7C5D3B90">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将样水杯清洗喷头拆下，检查是否有锈蚀状况，轻微锈蚀可采用3%稀盐酸浸泡方法清除锈蚀，严重锈蚀状况直接换新</w:t>
            </w:r>
          </w:p>
        </w:tc>
      </w:tr>
      <w:tr w14:paraId="60DD6F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42" w:type="dxa"/>
            <w:vMerge w:val="continue"/>
            <w:noWrap w:val="0"/>
            <w:vAlign w:val="center"/>
          </w:tcPr>
          <w:p w14:paraId="0327D9D4">
            <w:pPr>
              <w:jc w:val="center"/>
              <w:rPr>
                <w:rFonts w:hint="default" w:ascii="Times New Roman" w:hAnsi="Times New Roman" w:eastAsia="宋体" w:cs="Times New Roman"/>
                <w:kern w:val="0"/>
                <w:sz w:val="21"/>
                <w:szCs w:val="24"/>
                <w:highlight w:val="none"/>
              </w:rPr>
            </w:pPr>
          </w:p>
        </w:tc>
        <w:tc>
          <w:tcPr>
            <w:tcW w:w="1245" w:type="dxa"/>
            <w:vMerge w:val="continue"/>
            <w:noWrap w:val="0"/>
            <w:vAlign w:val="center"/>
          </w:tcPr>
          <w:p w14:paraId="635D3FD2">
            <w:pPr>
              <w:jc w:val="center"/>
              <w:rPr>
                <w:rFonts w:hint="default" w:ascii="Times New Roman" w:hAnsi="Times New Roman" w:eastAsia="宋体" w:cs="Times New Roman"/>
                <w:kern w:val="0"/>
                <w:sz w:val="21"/>
                <w:szCs w:val="24"/>
                <w:highlight w:val="none"/>
              </w:rPr>
            </w:pPr>
          </w:p>
        </w:tc>
        <w:tc>
          <w:tcPr>
            <w:tcW w:w="1920" w:type="dxa"/>
            <w:vMerge w:val="continue"/>
            <w:noWrap w:val="0"/>
            <w:vAlign w:val="center"/>
          </w:tcPr>
          <w:p w14:paraId="2B09F9CE">
            <w:pPr>
              <w:jc w:val="center"/>
              <w:rPr>
                <w:rFonts w:hint="default" w:ascii="Times New Roman" w:hAnsi="Times New Roman" w:eastAsia="宋体" w:cs="Times New Roman"/>
                <w:kern w:val="0"/>
                <w:sz w:val="21"/>
                <w:szCs w:val="24"/>
                <w:highlight w:val="none"/>
              </w:rPr>
            </w:pPr>
          </w:p>
        </w:tc>
        <w:tc>
          <w:tcPr>
            <w:tcW w:w="5408" w:type="dxa"/>
            <w:noWrap w:val="0"/>
            <w:vAlign w:val="center"/>
          </w:tcPr>
          <w:p w14:paraId="7F100D86">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将喷头原样装回后注意调节喷头配水强度</w:t>
            </w:r>
          </w:p>
        </w:tc>
      </w:tr>
      <w:tr w14:paraId="27AD50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642" w:type="dxa"/>
            <w:vMerge w:val="restart"/>
            <w:noWrap w:val="0"/>
            <w:vAlign w:val="center"/>
          </w:tcPr>
          <w:p w14:paraId="5B579486">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5</w:t>
            </w:r>
          </w:p>
        </w:tc>
        <w:tc>
          <w:tcPr>
            <w:tcW w:w="1245" w:type="dxa"/>
            <w:vMerge w:val="restart"/>
            <w:noWrap w:val="0"/>
            <w:vAlign w:val="center"/>
          </w:tcPr>
          <w:p w14:paraId="65B826D7">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蠕动泵负载检查</w:t>
            </w:r>
          </w:p>
        </w:tc>
        <w:tc>
          <w:tcPr>
            <w:tcW w:w="1920" w:type="dxa"/>
            <w:vMerge w:val="restart"/>
            <w:noWrap w:val="0"/>
            <w:vAlign w:val="center"/>
          </w:tcPr>
          <w:p w14:paraId="7356AA3A">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1次/月，确保蠕动泵无堵塞和渗漏，计量准确</w:t>
            </w:r>
          </w:p>
        </w:tc>
        <w:tc>
          <w:tcPr>
            <w:tcW w:w="5408" w:type="dxa"/>
            <w:noWrap w:val="0"/>
            <w:vAlign w:val="center"/>
          </w:tcPr>
          <w:p w14:paraId="0E6383D1">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按蠕动泵说明书要求，检查输出扭矩</w:t>
            </w:r>
          </w:p>
        </w:tc>
      </w:tr>
      <w:tr w14:paraId="5D57C1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42" w:type="dxa"/>
            <w:vMerge w:val="continue"/>
            <w:noWrap w:val="0"/>
            <w:vAlign w:val="center"/>
          </w:tcPr>
          <w:p w14:paraId="24E0BC51">
            <w:pPr>
              <w:jc w:val="center"/>
              <w:rPr>
                <w:rFonts w:hint="default" w:ascii="Times New Roman" w:hAnsi="Times New Roman" w:eastAsia="宋体" w:cs="Times New Roman"/>
                <w:kern w:val="0"/>
                <w:sz w:val="21"/>
                <w:szCs w:val="24"/>
                <w:highlight w:val="none"/>
              </w:rPr>
            </w:pPr>
          </w:p>
        </w:tc>
        <w:tc>
          <w:tcPr>
            <w:tcW w:w="1245" w:type="dxa"/>
            <w:vMerge w:val="continue"/>
            <w:noWrap w:val="0"/>
            <w:vAlign w:val="center"/>
          </w:tcPr>
          <w:p w14:paraId="6A655A73">
            <w:pPr>
              <w:jc w:val="center"/>
              <w:rPr>
                <w:rFonts w:hint="default" w:ascii="Times New Roman" w:hAnsi="Times New Roman" w:eastAsia="宋体" w:cs="Times New Roman"/>
                <w:kern w:val="0"/>
                <w:sz w:val="21"/>
                <w:szCs w:val="24"/>
                <w:highlight w:val="none"/>
              </w:rPr>
            </w:pPr>
          </w:p>
        </w:tc>
        <w:tc>
          <w:tcPr>
            <w:tcW w:w="1920" w:type="dxa"/>
            <w:vMerge w:val="continue"/>
            <w:noWrap w:val="0"/>
            <w:vAlign w:val="center"/>
          </w:tcPr>
          <w:p w14:paraId="7C390B67">
            <w:pPr>
              <w:jc w:val="center"/>
              <w:rPr>
                <w:rFonts w:hint="default" w:ascii="Times New Roman" w:hAnsi="Times New Roman" w:eastAsia="宋体" w:cs="Times New Roman"/>
                <w:kern w:val="0"/>
                <w:sz w:val="21"/>
                <w:szCs w:val="24"/>
                <w:highlight w:val="none"/>
              </w:rPr>
            </w:pPr>
          </w:p>
        </w:tc>
        <w:tc>
          <w:tcPr>
            <w:tcW w:w="5408" w:type="dxa"/>
            <w:noWrap w:val="0"/>
            <w:vAlign w:val="center"/>
          </w:tcPr>
          <w:p w14:paraId="021AE999">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若不符合说明书规定要求，及时更换泵管</w:t>
            </w:r>
          </w:p>
        </w:tc>
      </w:tr>
      <w:tr w14:paraId="1D9902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642" w:type="dxa"/>
            <w:vMerge w:val="restart"/>
            <w:noWrap w:val="0"/>
            <w:vAlign w:val="center"/>
          </w:tcPr>
          <w:p w14:paraId="138FCDDF">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6</w:t>
            </w:r>
          </w:p>
        </w:tc>
        <w:tc>
          <w:tcPr>
            <w:tcW w:w="1245" w:type="dxa"/>
            <w:vMerge w:val="restart"/>
            <w:noWrap w:val="0"/>
            <w:vAlign w:val="center"/>
          </w:tcPr>
          <w:p w14:paraId="1E553324">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液位观察管清洗</w:t>
            </w:r>
          </w:p>
        </w:tc>
        <w:tc>
          <w:tcPr>
            <w:tcW w:w="1920" w:type="dxa"/>
            <w:vMerge w:val="restart"/>
            <w:noWrap w:val="0"/>
            <w:vAlign w:val="center"/>
          </w:tcPr>
          <w:p w14:paraId="10A20A43">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1次/月，确保液位观察管清洗透明</w:t>
            </w:r>
          </w:p>
        </w:tc>
        <w:tc>
          <w:tcPr>
            <w:tcW w:w="5408" w:type="dxa"/>
            <w:noWrap w:val="0"/>
            <w:vAlign w:val="center"/>
          </w:tcPr>
          <w:p w14:paraId="71E51750">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拆下透明管清除脏污，用试管刷清洗干净</w:t>
            </w:r>
          </w:p>
        </w:tc>
      </w:tr>
      <w:tr w14:paraId="1AA9DD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42" w:type="dxa"/>
            <w:vMerge w:val="continue"/>
            <w:noWrap w:val="0"/>
            <w:vAlign w:val="center"/>
          </w:tcPr>
          <w:p w14:paraId="4614F13B">
            <w:pPr>
              <w:jc w:val="center"/>
              <w:rPr>
                <w:rFonts w:hint="default" w:ascii="Times New Roman" w:hAnsi="Times New Roman" w:eastAsia="宋体" w:cs="Times New Roman"/>
                <w:kern w:val="0"/>
                <w:sz w:val="21"/>
                <w:szCs w:val="24"/>
                <w:highlight w:val="none"/>
              </w:rPr>
            </w:pPr>
          </w:p>
        </w:tc>
        <w:tc>
          <w:tcPr>
            <w:tcW w:w="1245" w:type="dxa"/>
            <w:vMerge w:val="continue"/>
            <w:noWrap w:val="0"/>
            <w:vAlign w:val="center"/>
          </w:tcPr>
          <w:p w14:paraId="21F4FB4F">
            <w:pPr>
              <w:jc w:val="center"/>
              <w:rPr>
                <w:rFonts w:hint="default" w:ascii="Times New Roman" w:hAnsi="Times New Roman" w:eastAsia="宋体" w:cs="Times New Roman"/>
                <w:kern w:val="0"/>
                <w:sz w:val="21"/>
                <w:szCs w:val="24"/>
                <w:highlight w:val="none"/>
              </w:rPr>
            </w:pPr>
          </w:p>
        </w:tc>
        <w:tc>
          <w:tcPr>
            <w:tcW w:w="1920" w:type="dxa"/>
            <w:vMerge w:val="continue"/>
            <w:noWrap w:val="0"/>
            <w:vAlign w:val="center"/>
          </w:tcPr>
          <w:p w14:paraId="09F04EC4">
            <w:pPr>
              <w:jc w:val="center"/>
              <w:rPr>
                <w:rFonts w:hint="default" w:ascii="Times New Roman" w:hAnsi="Times New Roman" w:eastAsia="宋体" w:cs="Times New Roman"/>
                <w:kern w:val="0"/>
                <w:sz w:val="21"/>
                <w:szCs w:val="24"/>
                <w:highlight w:val="none"/>
              </w:rPr>
            </w:pPr>
          </w:p>
        </w:tc>
        <w:tc>
          <w:tcPr>
            <w:tcW w:w="5408" w:type="dxa"/>
            <w:noWrap w:val="0"/>
            <w:vAlign w:val="center"/>
          </w:tcPr>
          <w:p w14:paraId="693368B9">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拆卸部件原样装回</w:t>
            </w:r>
          </w:p>
        </w:tc>
      </w:tr>
      <w:tr w14:paraId="42C6B2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42" w:type="dxa"/>
            <w:vMerge w:val="restart"/>
            <w:noWrap w:val="0"/>
            <w:vAlign w:val="center"/>
          </w:tcPr>
          <w:p w14:paraId="736A1803">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7</w:t>
            </w:r>
          </w:p>
        </w:tc>
        <w:tc>
          <w:tcPr>
            <w:tcW w:w="1245" w:type="dxa"/>
            <w:vMerge w:val="restart"/>
            <w:noWrap w:val="0"/>
            <w:vAlign w:val="center"/>
          </w:tcPr>
          <w:p w14:paraId="30627ECC">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取水系统综合测试</w:t>
            </w:r>
          </w:p>
        </w:tc>
        <w:tc>
          <w:tcPr>
            <w:tcW w:w="1920" w:type="dxa"/>
            <w:vMerge w:val="restart"/>
            <w:noWrap w:val="0"/>
            <w:vAlign w:val="center"/>
          </w:tcPr>
          <w:p w14:paraId="16E09236">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1次/月，确保系统取水正常</w:t>
            </w:r>
          </w:p>
        </w:tc>
        <w:tc>
          <w:tcPr>
            <w:tcW w:w="5408" w:type="dxa"/>
            <w:noWrap w:val="0"/>
            <w:vAlign w:val="center"/>
          </w:tcPr>
          <w:p w14:paraId="0C82C2DC">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完成上述测试后复原所有阀门到正确位置</w:t>
            </w:r>
          </w:p>
        </w:tc>
      </w:tr>
      <w:tr w14:paraId="7D4506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42" w:type="dxa"/>
            <w:vMerge w:val="continue"/>
            <w:noWrap w:val="0"/>
            <w:vAlign w:val="center"/>
          </w:tcPr>
          <w:p w14:paraId="37AF572E">
            <w:pPr>
              <w:jc w:val="center"/>
              <w:rPr>
                <w:rFonts w:hint="default" w:ascii="Times New Roman" w:hAnsi="Times New Roman" w:eastAsia="宋体" w:cs="Times New Roman"/>
                <w:kern w:val="0"/>
                <w:sz w:val="21"/>
                <w:szCs w:val="24"/>
                <w:highlight w:val="none"/>
              </w:rPr>
            </w:pPr>
          </w:p>
        </w:tc>
        <w:tc>
          <w:tcPr>
            <w:tcW w:w="1245" w:type="dxa"/>
            <w:vMerge w:val="continue"/>
            <w:noWrap w:val="0"/>
            <w:vAlign w:val="center"/>
          </w:tcPr>
          <w:p w14:paraId="3CA06F1C">
            <w:pPr>
              <w:jc w:val="center"/>
              <w:rPr>
                <w:rFonts w:hint="default" w:ascii="Times New Roman" w:hAnsi="Times New Roman" w:eastAsia="宋体" w:cs="Times New Roman"/>
                <w:kern w:val="0"/>
                <w:sz w:val="21"/>
                <w:szCs w:val="24"/>
                <w:highlight w:val="none"/>
              </w:rPr>
            </w:pPr>
          </w:p>
        </w:tc>
        <w:tc>
          <w:tcPr>
            <w:tcW w:w="1920" w:type="dxa"/>
            <w:vMerge w:val="continue"/>
            <w:noWrap w:val="0"/>
            <w:vAlign w:val="center"/>
          </w:tcPr>
          <w:p w14:paraId="5580D81F">
            <w:pPr>
              <w:jc w:val="center"/>
              <w:rPr>
                <w:rFonts w:hint="default" w:ascii="Times New Roman" w:hAnsi="Times New Roman" w:eastAsia="宋体" w:cs="Times New Roman"/>
                <w:kern w:val="0"/>
                <w:sz w:val="21"/>
                <w:szCs w:val="24"/>
                <w:highlight w:val="none"/>
              </w:rPr>
            </w:pPr>
          </w:p>
        </w:tc>
        <w:tc>
          <w:tcPr>
            <w:tcW w:w="5408" w:type="dxa"/>
            <w:noWrap w:val="0"/>
            <w:vAlign w:val="center"/>
          </w:tcPr>
          <w:p w14:paraId="7753166A">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检查各个接头是否松动，各个电动球阀接线是否完好</w:t>
            </w:r>
          </w:p>
        </w:tc>
      </w:tr>
      <w:tr w14:paraId="5D01F3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42" w:type="dxa"/>
            <w:vMerge w:val="continue"/>
            <w:noWrap w:val="0"/>
            <w:vAlign w:val="center"/>
          </w:tcPr>
          <w:p w14:paraId="3F3B5D3A">
            <w:pPr>
              <w:jc w:val="center"/>
              <w:rPr>
                <w:rFonts w:hint="default" w:ascii="Times New Roman" w:hAnsi="Times New Roman" w:eastAsia="宋体" w:cs="Times New Roman"/>
                <w:kern w:val="0"/>
                <w:sz w:val="21"/>
                <w:szCs w:val="24"/>
                <w:highlight w:val="none"/>
              </w:rPr>
            </w:pPr>
          </w:p>
        </w:tc>
        <w:tc>
          <w:tcPr>
            <w:tcW w:w="1245" w:type="dxa"/>
            <w:vMerge w:val="continue"/>
            <w:noWrap w:val="0"/>
            <w:vAlign w:val="center"/>
          </w:tcPr>
          <w:p w14:paraId="3D7B0CC0">
            <w:pPr>
              <w:jc w:val="center"/>
              <w:rPr>
                <w:rFonts w:hint="default" w:ascii="Times New Roman" w:hAnsi="Times New Roman" w:eastAsia="宋体" w:cs="Times New Roman"/>
                <w:kern w:val="0"/>
                <w:sz w:val="21"/>
                <w:szCs w:val="24"/>
                <w:highlight w:val="none"/>
              </w:rPr>
            </w:pPr>
          </w:p>
        </w:tc>
        <w:tc>
          <w:tcPr>
            <w:tcW w:w="1920" w:type="dxa"/>
            <w:vMerge w:val="continue"/>
            <w:noWrap w:val="0"/>
            <w:vAlign w:val="center"/>
          </w:tcPr>
          <w:p w14:paraId="2201C481">
            <w:pPr>
              <w:jc w:val="center"/>
              <w:rPr>
                <w:rFonts w:hint="default" w:ascii="Times New Roman" w:hAnsi="Times New Roman" w:eastAsia="宋体" w:cs="Times New Roman"/>
                <w:kern w:val="0"/>
                <w:sz w:val="21"/>
                <w:szCs w:val="24"/>
                <w:highlight w:val="none"/>
              </w:rPr>
            </w:pPr>
          </w:p>
        </w:tc>
        <w:tc>
          <w:tcPr>
            <w:tcW w:w="5408" w:type="dxa"/>
            <w:noWrap w:val="0"/>
            <w:vAlign w:val="center"/>
          </w:tcPr>
          <w:p w14:paraId="599D83C6">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检查无误情况下，系统复电，检查整个取水流程是否正常</w:t>
            </w:r>
          </w:p>
        </w:tc>
      </w:tr>
      <w:tr w14:paraId="7B05DA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42" w:type="dxa"/>
            <w:noWrap w:val="0"/>
            <w:vAlign w:val="center"/>
          </w:tcPr>
          <w:p w14:paraId="7BE86757">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8</w:t>
            </w:r>
          </w:p>
        </w:tc>
        <w:tc>
          <w:tcPr>
            <w:tcW w:w="1245" w:type="dxa"/>
            <w:noWrap w:val="0"/>
            <w:vAlign w:val="center"/>
          </w:tcPr>
          <w:p w14:paraId="677718C2">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高锰酸盐指数分析仪</w:t>
            </w:r>
          </w:p>
        </w:tc>
        <w:tc>
          <w:tcPr>
            <w:tcW w:w="1920" w:type="dxa"/>
            <w:noWrap w:val="0"/>
            <w:vAlign w:val="center"/>
          </w:tcPr>
          <w:p w14:paraId="61F49976">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2次/月，更换试剂并校正，确保数据正常</w:t>
            </w:r>
          </w:p>
        </w:tc>
        <w:tc>
          <w:tcPr>
            <w:tcW w:w="5408" w:type="dxa"/>
            <w:noWrap w:val="0"/>
            <w:vAlign w:val="center"/>
          </w:tcPr>
          <w:p w14:paraId="5A0615AF">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更换标准校正液和分析试剂，一般不超过15天，夏天视情况缩短更换周期。更换试剂时要将前一批的试剂全部更换干净，而不是补充试剂</w:t>
            </w:r>
          </w:p>
          <w:p w14:paraId="2F9A3A48">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试剂更换完毕须校正仪器，确保校正数据符合仪器要求</w:t>
            </w:r>
          </w:p>
        </w:tc>
      </w:tr>
      <w:tr w14:paraId="4181DD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42" w:type="dxa"/>
            <w:noWrap w:val="0"/>
            <w:vAlign w:val="center"/>
          </w:tcPr>
          <w:p w14:paraId="6FDE5FED">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9</w:t>
            </w:r>
          </w:p>
        </w:tc>
        <w:tc>
          <w:tcPr>
            <w:tcW w:w="1245" w:type="dxa"/>
            <w:noWrap w:val="0"/>
            <w:vAlign w:val="center"/>
          </w:tcPr>
          <w:p w14:paraId="28EEB0F0">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氨氮分析仪</w:t>
            </w:r>
          </w:p>
        </w:tc>
        <w:tc>
          <w:tcPr>
            <w:tcW w:w="1920" w:type="dxa"/>
            <w:vMerge w:val="restart"/>
            <w:noWrap w:val="0"/>
            <w:vAlign w:val="center"/>
          </w:tcPr>
          <w:p w14:paraId="068601AA">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1次/月，更换试剂并校正，确保数据正常</w:t>
            </w:r>
          </w:p>
        </w:tc>
        <w:tc>
          <w:tcPr>
            <w:tcW w:w="5408" w:type="dxa"/>
            <w:vMerge w:val="restart"/>
            <w:noWrap w:val="0"/>
            <w:vAlign w:val="center"/>
          </w:tcPr>
          <w:p w14:paraId="7AAE6B98">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更换标准校正液和分析试剂，一般不超过30天，夏天视情况缩短更换周期。更换试剂时要将前一批的试剂全部更换干净，而不是补充试剂</w:t>
            </w:r>
          </w:p>
          <w:p w14:paraId="5899EFB2">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试剂更换完毕须校正仪器，确保校正数据符合仪器要求</w:t>
            </w:r>
          </w:p>
        </w:tc>
      </w:tr>
      <w:tr w14:paraId="4FCA3C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42" w:type="dxa"/>
            <w:noWrap w:val="0"/>
            <w:vAlign w:val="center"/>
          </w:tcPr>
          <w:p w14:paraId="662EA590">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10</w:t>
            </w:r>
          </w:p>
        </w:tc>
        <w:tc>
          <w:tcPr>
            <w:tcW w:w="1245" w:type="dxa"/>
            <w:noWrap w:val="0"/>
            <w:vAlign w:val="center"/>
          </w:tcPr>
          <w:p w14:paraId="5D4554C1">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总磷分析仪</w:t>
            </w:r>
          </w:p>
        </w:tc>
        <w:tc>
          <w:tcPr>
            <w:tcW w:w="1920" w:type="dxa"/>
            <w:vMerge w:val="continue"/>
            <w:noWrap w:val="0"/>
            <w:vAlign w:val="center"/>
          </w:tcPr>
          <w:p w14:paraId="6BAB584C">
            <w:pPr>
              <w:jc w:val="center"/>
              <w:rPr>
                <w:rFonts w:hint="default" w:ascii="Times New Roman" w:hAnsi="Times New Roman" w:eastAsia="宋体" w:cs="Times New Roman"/>
                <w:kern w:val="0"/>
                <w:sz w:val="21"/>
                <w:szCs w:val="24"/>
                <w:highlight w:val="none"/>
              </w:rPr>
            </w:pPr>
          </w:p>
        </w:tc>
        <w:tc>
          <w:tcPr>
            <w:tcW w:w="5408" w:type="dxa"/>
            <w:vMerge w:val="continue"/>
            <w:noWrap w:val="0"/>
            <w:vAlign w:val="center"/>
          </w:tcPr>
          <w:p w14:paraId="331338BE">
            <w:pPr>
              <w:jc w:val="both"/>
              <w:rPr>
                <w:rFonts w:hint="default" w:ascii="Times New Roman" w:hAnsi="Times New Roman" w:eastAsia="宋体" w:cs="Times New Roman"/>
                <w:kern w:val="0"/>
                <w:sz w:val="21"/>
                <w:szCs w:val="24"/>
                <w:highlight w:val="none"/>
              </w:rPr>
            </w:pPr>
          </w:p>
        </w:tc>
      </w:tr>
      <w:tr w14:paraId="755940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642" w:type="dxa"/>
            <w:noWrap w:val="0"/>
            <w:vAlign w:val="center"/>
          </w:tcPr>
          <w:p w14:paraId="1B025296">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11</w:t>
            </w:r>
          </w:p>
        </w:tc>
        <w:tc>
          <w:tcPr>
            <w:tcW w:w="1245" w:type="dxa"/>
            <w:noWrap w:val="0"/>
            <w:vAlign w:val="center"/>
          </w:tcPr>
          <w:p w14:paraId="27314B7F">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五参数</w:t>
            </w:r>
          </w:p>
        </w:tc>
        <w:tc>
          <w:tcPr>
            <w:tcW w:w="1920" w:type="dxa"/>
            <w:noWrap w:val="0"/>
            <w:vAlign w:val="center"/>
          </w:tcPr>
          <w:p w14:paraId="39C9F32C">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1次/月，校正pH和溶解氧电极，确保数据正常</w:t>
            </w:r>
          </w:p>
        </w:tc>
        <w:tc>
          <w:tcPr>
            <w:tcW w:w="5408" w:type="dxa"/>
            <w:noWrap w:val="0"/>
            <w:vAlign w:val="center"/>
          </w:tcPr>
          <w:p w14:paraId="2AD2ECB0">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校正pH和溶解氧电极，确保校正数据符合仪器要求</w:t>
            </w:r>
          </w:p>
        </w:tc>
      </w:tr>
    </w:tbl>
    <w:p w14:paraId="2898E209">
      <w:pPr>
        <w:tabs>
          <w:tab w:val="left" w:pos="2280"/>
        </w:tabs>
        <w:spacing w:line="360" w:lineRule="auto"/>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w:t>
      </w:r>
      <w:r>
        <w:rPr>
          <w:rFonts w:hint="default" w:ascii="宋体" w:hAnsi="宋体" w:eastAsia="宋体" w:cs="Times New Roman"/>
          <w:kern w:val="0"/>
          <w:sz w:val="24"/>
          <w:szCs w:val="24"/>
          <w:highlight w:val="none"/>
        </w:rPr>
        <w:t>5每两月工作内容如下：</w:t>
      </w:r>
    </w:p>
    <w:p w14:paraId="4DB07981">
      <w:pPr>
        <w:tabs>
          <w:tab w:val="left" w:pos="993"/>
        </w:tabs>
        <w:spacing w:line="360" w:lineRule="auto"/>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w:t>
      </w:r>
      <w:r>
        <w:rPr>
          <w:rFonts w:hint="default" w:ascii="宋体" w:hAnsi="宋体" w:eastAsia="宋体" w:cs="Times New Roman"/>
          <w:kern w:val="0"/>
          <w:sz w:val="24"/>
          <w:szCs w:val="24"/>
          <w:highlight w:val="none"/>
        </w:rPr>
        <w:t>5</w:t>
      </w:r>
      <w:r>
        <w:rPr>
          <w:rFonts w:hint="eastAsia" w:ascii="宋体" w:hAnsi="宋体" w:eastAsia="宋体" w:cs="Times New Roman"/>
          <w:kern w:val="0"/>
          <w:sz w:val="24"/>
          <w:szCs w:val="24"/>
          <w:highlight w:val="none"/>
          <w:lang w:val="en-US" w:eastAsia="zh-CN"/>
        </w:rPr>
        <w:t>.1</w:t>
      </w:r>
      <w:r>
        <w:rPr>
          <w:rFonts w:hint="default" w:ascii="宋体" w:hAnsi="宋体" w:eastAsia="宋体" w:cs="Times New Roman"/>
          <w:kern w:val="0"/>
          <w:sz w:val="24"/>
          <w:szCs w:val="24"/>
          <w:highlight w:val="none"/>
        </w:rPr>
        <w:t>采水系统维护，根据丰、枯水期调整采水系统，保正其正常运行；</w:t>
      </w:r>
    </w:p>
    <w:p w14:paraId="117C878C">
      <w:pPr>
        <w:tabs>
          <w:tab w:val="left" w:pos="993"/>
        </w:tabs>
        <w:spacing w:line="360" w:lineRule="auto"/>
        <w:ind w:firstLine="480"/>
        <w:contextualSpacing/>
        <w:jc w:val="both"/>
        <w:rPr>
          <w:rFonts w:hint="default" w:ascii="宋体" w:hAnsi="宋体"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w:t>
      </w:r>
      <w:r>
        <w:rPr>
          <w:rFonts w:hint="default" w:ascii="宋体" w:hAnsi="宋体" w:eastAsia="宋体" w:cs="Times New Roman"/>
          <w:kern w:val="0"/>
          <w:sz w:val="24"/>
          <w:szCs w:val="24"/>
          <w:highlight w:val="none"/>
        </w:rPr>
        <w:t>5</w:t>
      </w:r>
      <w:r>
        <w:rPr>
          <w:rFonts w:hint="eastAsia" w:ascii="宋体" w:hAnsi="宋体" w:eastAsia="宋体" w:cs="Times New Roman"/>
          <w:kern w:val="0"/>
          <w:sz w:val="24"/>
          <w:szCs w:val="24"/>
          <w:highlight w:val="none"/>
          <w:lang w:val="en-US" w:eastAsia="zh-CN"/>
        </w:rPr>
        <w:t>.2</w:t>
      </w:r>
      <w:r>
        <w:rPr>
          <w:rFonts w:hint="default" w:ascii="宋体" w:hAnsi="宋体" w:eastAsia="宋体" w:cs="Times New Roman"/>
          <w:kern w:val="0"/>
          <w:sz w:val="24"/>
          <w:szCs w:val="24"/>
          <w:highlight w:val="none"/>
        </w:rPr>
        <w:t>电动球阀、单向阀清洗检查；压力表测试、工控机检查；</w:t>
      </w:r>
    </w:p>
    <w:p w14:paraId="621307E3">
      <w:pPr>
        <w:tabs>
          <w:tab w:val="left" w:pos="993"/>
        </w:tabs>
        <w:spacing w:line="360" w:lineRule="auto"/>
        <w:ind w:firstLine="480"/>
        <w:contextualSpacing/>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具体要求见下表：</w:t>
      </w:r>
    </w:p>
    <w:tbl>
      <w:tblPr>
        <w:tblStyle w:val="6"/>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7"/>
        <w:gridCol w:w="1125"/>
        <w:gridCol w:w="2190"/>
        <w:gridCol w:w="5213"/>
      </w:tblGrid>
      <w:tr w14:paraId="091ADD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87" w:type="dxa"/>
            <w:noWrap w:val="0"/>
            <w:vAlign w:val="center"/>
          </w:tcPr>
          <w:p w14:paraId="094B0D70">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序号</w:t>
            </w:r>
          </w:p>
        </w:tc>
        <w:tc>
          <w:tcPr>
            <w:tcW w:w="1125" w:type="dxa"/>
            <w:noWrap w:val="0"/>
            <w:vAlign w:val="center"/>
          </w:tcPr>
          <w:p w14:paraId="20272D6C">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维护内容</w:t>
            </w:r>
          </w:p>
        </w:tc>
        <w:tc>
          <w:tcPr>
            <w:tcW w:w="2190" w:type="dxa"/>
            <w:noWrap w:val="0"/>
            <w:vAlign w:val="center"/>
          </w:tcPr>
          <w:p w14:paraId="555F3F64">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维护周期及目标</w:t>
            </w:r>
          </w:p>
        </w:tc>
        <w:tc>
          <w:tcPr>
            <w:tcW w:w="5213" w:type="dxa"/>
            <w:noWrap w:val="0"/>
            <w:vAlign w:val="center"/>
          </w:tcPr>
          <w:p w14:paraId="7399E5A3">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维护要求</w:t>
            </w:r>
          </w:p>
        </w:tc>
      </w:tr>
      <w:tr w14:paraId="461F38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87" w:type="dxa"/>
            <w:noWrap w:val="0"/>
            <w:vAlign w:val="center"/>
          </w:tcPr>
          <w:p w14:paraId="3185B425">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w:t>
            </w:r>
          </w:p>
        </w:tc>
        <w:tc>
          <w:tcPr>
            <w:tcW w:w="1125" w:type="dxa"/>
            <w:noWrap w:val="0"/>
            <w:vAlign w:val="center"/>
          </w:tcPr>
          <w:p w14:paraId="49BF5AB9">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采水系统维护</w:t>
            </w:r>
          </w:p>
        </w:tc>
        <w:tc>
          <w:tcPr>
            <w:tcW w:w="2190" w:type="dxa"/>
            <w:noWrap w:val="0"/>
            <w:vAlign w:val="center"/>
          </w:tcPr>
          <w:p w14:paraId="5BB73828">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1次/2月，根据不同水期，适当调整，保证采水系统正常运行</w:t>
            </w:r>
          </w:p>
        </w:tc>
        <w:tc>
          <w:tcPr>
            <w:tcW w:w="5213" w:type="dxa"/>
            <w:noWrap w:val="0"/>
            <w:vAlign w:val="center"/>
          </w:tcPr>
          <w:p w14:paraId="6B74F84F">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对季节性断流、河道改变明显的断面水质自动站采水系统进行加固、调整采水泵</w:t>
            </w:r>
          </w:p>
        </w:tc>
      </w:tr>
      <w:tr w14:paraId="58E40C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687" w:type="dxa"/>
            <w:vMerge w:val="restart"/>
            <w:noWrap w:val="0"/>
            <w:vAlign w:val="center"/>
          </w:tcPr>
          <w:p w14:paraId="0CABA657">
            <w:pPr>
              <w:jc w:val="center"/>
              <w:rPr>
                <w:rFonts w:hint="default" w:ascii="Times New Roman" w:hAnsi="Times New Roman" w:eastAsia="宋体" w:cs="Times New Roman"/>
                <w:kern w:val="0"/>
                <w:sz w:val="21"/>
                <w:szCs w:val="24"/>
                <w:highlight w:val="none"/>
              </w:rPr>
            </w:pPr>
          </w:p>
          <w:p w14:paraId="48BE28B6">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2</w:t>
            </w:r>
          </w:p>
        </w:tc>
        <w:tc>
          <w:tcPr>
            <w:tcW w:w="1125" w:type="dxa"/>
            <w:vMerge w:val="restart"/>
            <w:noWrap w:val="0"/>
            <w:vAlign w:val="center"/>
          </w:tcPr>
          <w:p w14:paraId="331795A1">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电动球阀清洗检查</w:t>
            </w:r>
          </w:p>
        </w:tc>
        <w:tc>
          <w:tcPr>
            <w:tcW w:w="2190" w:type="dxa"/>
            <w:vMerge w:val="restart"/>
            <w:noWrap w:val="0"/>
            <w:vAlign w:val="center"/>
          </w:tcPr>
          <w:p w14:paraId="1B10446E">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1次/2月，确保清洗后电动球阀吸合自如，无堵塞和渗漏</w:t>
            </w:r>
          </w:p>
        </w:tc>
        <w:tc>
          <w:tcPr>
            <w:tcW w:w="5213" w:type="dxa"/>
            <w:noWrap w:val="0"/>
            <w:vAlign w:val="center"/>
          </w:tcPr>
          <w:p w14:paraId="6E2CC097">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将电动球阀手动拆下，用试管刷清洗后，将电动球阀装回管路</w:t>
            </w:r>
          </w:p>
        </w:tc>
      </w:tr>
      <w:tr w14:paraId="57D4DE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687" w:type="dxa"/>
            <w:vMerge w:val="continue"/>
            <w:noWrap w:val="0"/>
            <w:vAlign w:val="center"/>
          </w:tcPr>
          <w:p w14:paraId="3CE55442">
            <w:pPr>
              <w:jc w:val="center"/>
              <w:rPr>
                <w:rFonts w:hint="default" w:ascii="Times New Roman" w:hAnsi="Times New Roman" w:eastAsia="宋体" w:cs="Times New Roman"/>
                <w:kern w:val="0"/>
                <w:sz w:val="21"/>
                <w:szCs w:val="24"/>
                <w:highlight w:val="none"/>
              </w:rPr>
            </w:pPr>
          </w:p>
        </w:tc>
        <w:tc>
          <w:tcPr>
            <w:tcW w:w="1125" w:type="dxa"/>
            <w:vMerge w:val="continue"/>
            <w:noWrap w:val="0"/>
            <w:vAlign w:val="center"/>
          </w:tcPr>
          <w:p w14:paraId="6950DA17">
            <w:pPr>
              <w:jc w:val="center"/>
              <w:rPr>
                <w:rFonts w:hint="default" w:ascii="Times New Roman" w:hAnsi="Times New Roman" w:eastAsia="宋体" w:cs="Times New Roman"/>
                <w:kern w:val="0"/>
                <w:sz w:val="21"/>
                <w:szCs w:val="24"/>
                <w:highlight w:val="none"/>
              </w:rPr>
            </w:pPr>
          </w:p>
        </w:tc>
        <w:tc>
          <w:tcPr>
            <w:tcW w:w="2190" w:type="dxa"/>
            <w:vMerge w:val="continue"/>
            <w:noWrap w:val="0"/>
            <w:vAlign w:val="center"/>
          </w:tcPr>
          <w:p w14:paraId="07AA0EFF">
            <w:pPr>
              <w:jc w:val="center"/>
              <w:rPr>
                <w:rFonts w:hint="default" w:ascii="Times New Roman" w:hAnsi="Times New Roman" w:eastAsia="宋体" w:cs="Times New Roman"/>
                <w:kern w:val="0"/>
                <w:sz w:val="21"/>
                <w:szCs w:val="24"/>
                <w:highlight w:val="none"/>
              </w:rPr>
            </w:pPr>
          </w:p>
        </w:tc>
        <w:tc>
          <w:tcPr>
            <w:tcW w:w="5213" w:type="dxa"/>
            <w:noWrap w:val="0"/>
            <w:vAlign w:val="center"/>
          </w:tcPr>
          <w:p w14:paraId="0E7E5A97">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开启组态单阀测试程序，单独控制阀门开关，检查阀门开关时间是否符合要求（10s以内）</w:t>
            </w:r>
          </w:p>
        </w:tc>
      </w:tr>
      <w:tr w14:paraId="638031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87" w:type="dxa"/>
            <w:vMerge w:val="continue"/>
            <w:noWrap w:val="0"/>
            <w:vAlign w:val="center"/>
          </w:tcPr>
          <w:p w14:paraId="1284DC7A">
            <w:pPr>
              <w:jc w:val="center"/>
              <w:rPr>
                <w:rFonts w:hint="default" w:ascii="Times New Roman" w:hAnsi="Times New Roman" w:eastAsia="宋体" w:cs="Times New Roman"/>
                <w:kern w:val="0"/>
                <w:sz w:val="21"/>
                <w:szCs w:val="24"/>
                <w:highlight w:val="none"/>
              </w:rPr>
            </w:pPr>
          </w:p>
        </w:tc>
        <w:tc>
          <w:tcPr>
            <w:tcW w:w="1125" w:type="dxa"/>
            <w:vMerge w:val="continue"/>
            <w:noWrap w:val="0"/>
            <w:vAlign w:val="center"/>
          </w:tcPr>
          <w:p w14:paraId="4F76C834">
            <w:pPr>
              <w:jc w:val="center"/>
              <w:rPr>
                <w:rFonts w:hint="default" w:ascii="Times New Roman" w:hAnsi="Times New Roman" w:eastAsia="宋体" w:cs="Times New Roman"/>
                <w:kern w:val="0"/>
                <w:sz w:val="21"/>
                <w:szCs w:val="24"/>
                <w:highlight w:val="none"/>
              </w:rPr>
            </w:pPr>
          </w:p>
        </w:tc>
        <w:tc>
          <w:tcPr>
            <w:tcW w:w="2190" w:type="dxa"/>
            <w:vMerge w:val="continue"/>
            <w:noWrap w:val="0"/>
            <w:vAlign w:val="center"/>
          </w:tcPr>
          <w:p w14:paraId="090D0AB2">
            <w:pPr>
              <w:jc w:val="center"/>
              <w:rPr>
                <w:rFonts w:hint="default" w:ascii="Times New Roman" w:hAnsi="Times New Roman" w:eastAsia="宋体" w:cs="Times New Roman"/>
                <w:kern w:val="0"/>
                <w:sz w:val="21"/>
                <w:szCs w:val="24"/>
                <w:highlight w:val="none"/>
              </w:rPr>
            </w:pPr>
          </w:p>
        </w:tc>
        <w:tc>
          <w:tcPr>
            <w:tcW w:w="5213" w:type="dxa"/>
            <w:noWrap w:val="0"/>
            <w:vAlign w:val="center"/>
          </w:tcPr>
          <w:p w14:paraId="38BBCB9D">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必要的情况替换电动球阀</w:t>
            </w:r>
          </w:p>
        </w:tc>
      </w:tr>
      <w:tr w14:paraId="4EBB94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687" w:type="dxa"/>
            <w:vMerge w:val="restart"/>
            <w:noWrap w:val="0"/>
            <w:vAlign w:val="center"/>
          </w:tcPr>
          <w:p w14:paraId="28DB39CC">
            <w:pPr>
              <w:jc w:val="center"/>
              <w:rPr>
                <w:rFonts w:hint="default" w:ascii="Times New Roman" w:hAnsi="Times New Roman" w:eastAsia="宋体" w:cs="Times New Roman"/>
                <w:kern w:val="0"/>
                <w:sz w:val="21"/>
                <w:szCs w:val="24"/>
                <w:highlight w:val="none"/>
              </w:rPr>
            </w:pPr>
          </w:p>
          <w:p w14:paraId="35671A42">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3</w:t>
            </w:r>
          </w:p>
        </w:tc>
        <w:tc>
          <w:tcPr>
            <w:tcW w:w="1125" w:type="dxa"/>
            <w:vMerge w:val="restart"/>
            <w:noWrap w:val="0"/>
            <w:vAlign w:val="center"/>
          </w:tcPr>
          <w:p w14:paraId="1254B4BD">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单向阀清洗</w:t>
            </w:r>
          </w:p>
        </w:tc>
        <w:tc>
          <w:tcPr>
            <w:tcW w:w="2190" w:type="dxa"/>
            <w:vMerge w:val="restart"/>
            <w:noWrap w:val="0"/>
            <w:vAlign w:val="center"/>
          </w:tcPr>
          <w:p w14:paraId="1351231F">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1次/2月，确保清洗后电动球阀吸合自如，无堵塞和渗漏</w:t>
            </w:r>
          </w:p>
        </w:tc>
        <w:tc>
          <w:tcPr>
            <w:tcW w:w="5213" w:type="dxa"/>
            <w:noWrap w:val="0"/>
            <w:vAlign w:val="center"/>
          </w:tcPr>
          <w:p w14:paraId="0736A690">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拆下单向阀，用试管刷清洗单向阀阀体及密封橡胶上附着的脏污物，检查密封性是否完好后，原样装回管路</w:t>
            </w:r>
          </w:p>
        </w:tc>
      </w:tr>
      <w:tr w14:paraId="01D79A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87" w:type="dxa"/>
            <w:vMerge w:val="continue"/>
            <w:noWrap w:val="0"/>
            <w:vAlign w:val="center"/>
          </w:tcPr>
          <w:p w14:paraId="15FFDBFB">
            <w:pPr>
              <w:jc w:val="center"/>
              <w:rPr>
                <w:rFonts w:hint="default" w:ascii="Times New Roman" w:hAnsi="Times New Roman" w:eastAsia="宋体" w:cs="Times New Roman"/>
                <w:kern w:val="0"/>
                <w:sz w:val="21"/>
                <w:szCs w:val="24"/>
                <w:highlight w:val="none"/>
              </w:rPr>
            </w:pPr>
          </w:p>
        </w:tc>
        <w:tc>
          <w:tcPr>
            <w:tcW w:w="1125" w:type="dxa"/>
            <w:vMerge w:val="continue"/>
            <w:noWrap w:val="0"/>
            <w:vAlign w:val="center"/>
          </w:tcPr>
          <w:p w14:paraId="0CE5AA45">
            <w:pPr>
              <w:jc w:val="center"/>
              <w:rPr>
                <w:rFonts w:hint="default" w:ascii="Times New Roman" w:hAnsi="Times New Roman" w:eastAsia="宋体" w:cs="Times New Roman"/>
                <w:kern w:val="0"/>
                <w:sz w:val="21"/>
                <w:szCs w:val="24"/>
                <w:highlight w:val="none"/>
              </w:rPr>
            </w:pPr>
          </w:p>
        </w:tc>
        <w:tc>
          <w:tcPr>
            <w:tcW w:w="2190" w:type="dxa"/>
            <w:vMerge w:val="continue"/>
            <w:noWrap w:val="0"/>
            <w:vAlign w:val="center"/>
          </w:tcPr>
          <w:p w14:paraId="611748ED">
            <w:pPr>
              <w:jc w:val="center"/>
              <w:rPr>
                <w:rFonts w:hint="default" w:ascii="Times New Roman" w:hAnsi="Times New Roman" w:eastAsia="宋体" w:cs="Times New Roman"/>
                <w:kern w:val="0"/>
                <w:sz w:val="21"/>
                <w:szCs w:val="24"/>
                <w:highlight w:val="none"/>
              </w:rPr>
            </w:pPr>
          </w:p>
        </w:tc>
        <w:tc>
          <w:tcPr>
            <w:tcW w:w="5213" w:type="dxa"/>
            <w:noWrap w:val="0"/>
            <w:vAlign w:val="center"/>
          </w:tcPr>
          <w:p w14:paraId="6E347BB4">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必要情况更换单向阀</w:t>
            </w:r>
          </w:p>
        </w:tc>
      </w:tr>
      <w:tr w14:paraId="25179B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687" w:type="dxa"/>
            <w:vMerge w:val="restart"/>
            <w:noWrap w:val="0"/>
            <w:vAlign w:val="center"/>
          </w:tcPr>
          <w:p w14:paraId="451679E8">
            <w:pPr>
              <w:jc w:val="center"/>
              <w:rPr>
                <w:rFonts w:hint="default" w:ascii="Times New Roman" w:hAnsi="Times New Roman" w:eastAsia="宋体" w:cs="Times New Roman"/>
                <w:kern w:val="0"/>
                <w:sz w:val="21"/>
                <w:szCs w:val="24"/>
                <w:highlight w:val="none"/>
              </w:rPr>
            </w:pPr>
          </w:p>
          <w:p w14:paraId="0773267D">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4</w:t>
            </w:r>
          </w:p>
        </w:tc>
        <w:tc>
          <w:tcPr>
            <w:tcW w:w="1125" w:type="dxa"/>
            <w:vMerge w:val="restart"/>
            <w:noWrap w:val="0"/>
            <w:vAlign w:val="center"/>
          </w:tcPr>
          <w:p w14:paraId="12ABC7D9">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压力表测试</w:t>
            </w:r>
          </w:p>
        </w:tc>
        <w:tc>
          <w:tcPr>
            <w:tcW w:w="2190" w:type="dxa"/>
            <w:vMerge w:val="restart"/>
            <w:noWrap w:val="0"/>
            <w:vAlign w:val="center"/>
          </w:tcPr>
          <w:p w14:paraId="1B9B0005">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1次/2月，确保清洗后压力表读数正常</w:t>
            </w:r>
          </w:p>
        </w:tc>
        <w:tc>
          <w:tcPr>
            <w:tcW w:w="5213" w:type="dxa"/>
            <w:noWrap w:val="0"/>
            <w:vAlign w:val="center"/>
          </w:tcPr>
          <w:p w14:paraId="31D7F922">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拆下压力表表头，清洗清除压力导管内泥沙</w:t>
            </w:r>
          </w:p>
        </w:tc>
      </w:tr>
      <w:tr w14:paraId="508885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687" w:type="dxa"/>
            <w:vMerge w:val="continue"/>
            <w:noWrap w:val="0"/>
            <w:vAlign w:val="center"/>
          </w:tcPr>
          <w:p w14:paraId="60A5A5F1">
            <w:pPr>
              <w:jc w:val="center"/>
              <w:rPr>
                <w:rFonts w:hint="default" w:ascii="Times New Roman" w:hAnsi="Times New Roman" w:eastAsia="宋体" w:cs="Times New Roman"/>
                <w:kern w:val="0"/>
                <w:sz w:val="21"/>
                <w:szCs w:val="24"/>
                <w:highlight w:val="none"/>
              </w:rPr>
            </w:pPr>
          </w:p>
        </w:tc>
        <w:tc>
          <w:tcPr>
            <w:tcW w:w="1125" w:type="dxa"/>
            <w:vMerge w:val="continue"/>
            <w:noWrap w:val="0"/>
            <w:vAlign w:val="center"/>
          </w:tcPr>
          <w:p w14:paraId="4FE18530">
            <w:pPr>
              <w:jc w:val="center"/>
              <w:rPr>
                <w:rFonts w:hint="default" w:ascii="Times New Roman" w:hAnsi="Times New Roman" w:eastAsia="宋体" w:cs="Times New Roman"/>
                <w:kern w:val="0"/>
                <w:sz w:val="21"/>
                <w:szCs w:val="24"/>
                <w:highlight w:val="none"/>
              </w:rPr>
            </w:pPr>
          </w:p>
        </w:tc>
        <w:tc>
          <w:tcPr>
            <w:tcW w:w="2190" w:type="dxa"/>
            <w:vMerge w:val="continue"/>
            <w:noWrap w:val="0"/>
            <w:vAlign w:val="center"/>
          </w:tcPr>
          <w:p w14:paraId="24919598">
            <w:pPr>
              <w:jc w:val="center"/>
              <w:rPr>
                <w:rFonts w:hint="default" w:ascii="Times New Roman" w:hAnsi="Times New Roman" w:eastAsia="宋体" w:cs="Times New Roman"/>
                <w:kern w:val="0"/>
                <w:sz w:val="21"/>
                <w:szCs w:val="24"/>
                <w:highlight w:val="none"/>
              </w:rPr>
            </w:pPr>
          </w:p>
        </w:tc>
        <w:tc>
          <w:tcPr>
            <w:tcW w:w="5213" w:type="dxa"/>
            <w:noWrap w:val="0"/>
            <w:vAlign w:val="center"/>
          </w:tcPr>
          <w:p w14:paraId="70B73045">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压缩空气吹脱表头内残留脏污</w:t>
            </w:r>
          </w:p>
        </w:tc>
      </w:tr>
      <w:tr w14:paraId="4A619E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687" w:type="dxa"/>
            <w:vMerge w:val="continue"/>
            <w:noWrap w:val="0"/>
            <w:vAlign w:val="center"/>
          </w:tcPr>
          <w:p w14:paraId="66318A98">
            <w:pPr>
              <w:jc w:val="center"/>
              <w:rPr>
                <w:rFonts w:hint="default" w:ascii="Times New Roman" w:hAnsi="Times New Roman" w:eastAsia="宋体" w:cs="Times New Roman"/>
                <w:kern w:val="0"/>
                <w:sz w:val="21"/>
                <w:szCs w:val="24"/>
                <w:highlight w:val="none"/>
              </w:rPr>
            </w:pPr>
          </w:p>
        </w:tc>
        <w:tc>
          <w:tcPr>
            <w:tcW w:w="1125" w:type="dxa"/>
            <w:vMerge w:val="continue"/>
            <w:noWrap w:val="0"/>
            <w:vAlign w:val="center"/>
          </w:tcPr>
          <w:p w14:paraId="0E9AD103">
            <w:pPr>
              <w:jc w:val="center"/>
              <w:rPr>
                <w:rFonts w:hint="default" w:ascii="Times New Roman" w:hAnsi="Times New Roman" w:eastAsia="宋体" w:cs="Times New Roman"/>
                <w:kern w:val="0"/>
                <w:sz w:val="21"/>
                <w:szCs w:val="24"/>
                <w:highlight w:val="none"/>
              </w:rPr>
            </w:pPr>
          </w:p>
        </w:tc>
        <w:tc>
          <w:tcPr>
            <w:tcW w:w="2190" w:type="dxa"/>
            <w:vMerge w:val="continue"/>
            <w:noWrap w:val="0"/>
            <w:vAlign w:val="center"/>
          </w:tcPr>
          <w:p w14:paraId="17688E9A">
            <w:pPr>
              <w:jc w:val="center"/>
              <w:rPr>
                <w:rFonts w:hint="default" w:ascii="Times New Roman" w:hAnsi="Times New Roman" w:eastAsia="宋体" w:cs="Times New Roman"/>
                <w:kern w:val="0"/>
                <w:sz w:val="21"/>
                <w:szCs w:val="24"/>
                <w:highlight w:val="none"/>
              </w:rPr>
            </w:pPr>
          </w:p>
        </w:tc>
        <w:tc>
          <w:tcPr>
            <w:tcW w:w="5213" w:type="dxa"/>
            <w:noWrap w:val="0"/>
            <w:vAlign w:val="center"/>
          </w:tcPr>
          <w:p w14:paraId="45550A10">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调节空压机输出压力为0.6Mpa，输出气管连接到待测压力表，检查待测压力表显示是否和空压机一致，反应是否灵敏</w:t>
            </w:r>
          </w:p>
        </w:tc>
      </w:tr>
      <w:tr w14:paraId="7E8C08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687" w:type="dxa"/>
            <w:vMerge w:val="continue"/>
            <w:noWrap w:val="0"/>
            <w:vAlign w:val="center"/>
          </w:tcPr>
          <w:p w14:paraId="4A5D25CC">
            <w:pPr>
              <w:jc w:val="center"/>
              <w:rPr>
                <w:rFonts w:hint="default" w:ascii="Times New Roman" w:hAnsi="Times New Roman" w:eastAsia="宋体" w:cs="Times New Roman"/>
                <w:kern w:val="0"/>
                <w:sz w:val="21"/>
                <w:szCs w:val="24"/>
                <w:highlight w:val="none"/>
              </w:rPr>
            </w:pPr>
          </w:p>
        </w:tc>
        <w:tc>
          <w:tcPr>
            <w:tcW w:w="1125" w:type="dxa"/>
            <w:vMerge w:val="continue"/>
            <w:noWrap w:val="0"/>
            <w:vAlign w:val="center"/>
          </w:tcPr>
          <w:p w14:paraId="603631C9">
            <w:pPr>
              <w:jc w:val="center"/>
              <w:rPr>
                <w:rFonts w:hint="default" w:ascii="Times New Roman" w:hAnsi="Times New Roman" w:eastAsia="宋体" w:cs="Times New Roman"/>
                <w:kern w:val="0"/>
                <w:sz w:val="21"/>
                <w:szCs w:val="24"/>
                <w:highlight w:val="none"/>
              </w:rPr>
            </w:pPr>
          </w:p>
        </w:tc>
        <w:tc>
          <w:tcPr>
            <w:tcW w:w="2190" w:type="dxa"/>
            <w:vMerge w:val="continue"/>
            <w:noWrap w:val="0"/>
            <w:vAlign w:val="center"/>
          </w:tcPr>
          <w:p w14:paraId="3E8D2509">
            <w:pPr>
              <w:jc w:val="center"/>
              <w:rPr>
                <w:rFonts w:hint="default" w:ascii="Times New Roman" w:hAnsi="Times New Roman" w:eastAsia="宋体" w:cs="Times New Roman"/>
                <w:kern w:val="0"/>
                <w:sz w:val="21"/>
                <w:szCs w:val="24"/>
                <w:highlight w:val="none"/>
              </w:rPr>
            </w:pPr>
          </w:p>
        </w:tc>
        <w:tc>
          <w:tcPr>
            <w:tcW w:w="5213" w:type="dxa"/>
            <w:noWrap w:val="0"/>
            <w:vAlign w:val="center"/>
          </w:tcPr>
          <w:p w14:paraId="1F9460D9">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原样装回压力表，注意气密性</w:t>
            </w:r>
          </w:p>
        </w:tc>
      </w:tr>
      <w:tr w14:paraId="656991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87" w:type="dxa"/>
            <w:vMerge w:val="continue"/>
            <w:noWrap w:val="0"/>
            <w:vAlign w:val="center"/>
          </w:tcPr>
          <w:p w14:paraId="72899A60">
            <w:pPr>
              <w:jc w:val="center"/>
              <w:rPr>
                <w:rFonts w:hint="default" w:ascii="Times New Roman" w:hAnsi="Times New Roman" w:eastAsia="宋体" w:cs="Times New Roman"/>
                <w:kern w:val="0"/>
                <w:sz w:val="21"/>
                <w:szCs w:val="24"/>
                <w:highlight w:val="none"/>
              </w:rPr>
            </w:pPr>
          </w:p>
        </w:tc>
        <w:tc>
          <w:tcPr>
            <w:tcW w:w="1125" w:type="dxa"/>
            <w:vMerge w:val="continue"/>
            <w:noWrap w:val="0"/>
            <w:vAlign w:val="center"/>
          </w:tcPr>
          <w:p w14:paraId="3A40F748">
            <w:pPr>
              <w:jc w:val="center"/>
              <w:rPr>
                <w:rFonts w:hint="default" w:ascii="Times New Roman" w:hAnsi="Times New Roman" w:eastAsia="宋体" w:cs="Times New Roman"/>
                <w:kern w:val="0"/>
                <w:sz w:val="21"/>
                <w:szCs w:val="24"/>
                <w:highlight w:val="none"/>
              </w:rPr>
            </w:pPr>
          </w:p>
        </w:tc>
        <w:tc>
          <w:tcPr>
            <w:tcW w:w="2190" w:type="dxa"/>
            <w:vMerge w:val="continue"/>
            <w:noWrap w:val="0"/>
            <w:vAlign w:val="center"/>
          </w:tcPr>
          <w:p w14:paraId="3AC6C63A">
            <w:pPr>
              <w:jc w:val="center"/>
              <w:rPr>
                <w:rFonts w:hint="default" w:ascii="Times New Roman" w:hAnsi="Times New Roman" w:eastAsia="宋体" w:cs="Times New Roman"/>
                <w:kern w:val="0"/>
                <w:sz w:val="21"/>
                <w:szCs w:val="24"/>
                <w:highlight w:val="none"/>
              </w:rPr>
            </w:pPr>
          </w:p>
        </w:tc>
        <w:tc>
          <w:tcPr>
            <w:tcW w:w="5213" w:type="dxa"/>
            <w:noWrap w:val="0"/>
            <w:vAlign w:val="center"/>
          </w:tcPr>
          <w:p w14:paraId="059DF754">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必要情况更换压力表</w:t>
            </w:r>
          </w:p>
        </w:tc>
      </w:tr>
      <w:tr w14:paraId="294FE6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687" w:type="dxa"/>
            <w:vMerge w:val="restart"/>
            <w:noWrap w:val="0"/>
            <w:vAlign w:val="center"/>
          </w:tcPr>
          <w:p w14:paraId="29E70D40">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5</w:t>
            </w:r>
          </w:p>
        </w:tc>
        <w:tc>
          <w:tcPr>
            <w:tcW w:w="1125" w:type="dxa"/>
            <w:vMerge w:val="restart"/>
            <w:noWrap w:val="0"/>
            <w:vAlign w:val="center"/>
          </w:tcPr>
          <w:p w14:paraId="4E42CFE7">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工控机检查</w:t>
            </w:r>
          </w:p>
        </w:tc>
        <w:tc>
          <w:tcPr>
            <w:tcW w:w="2190" w:type="dxa"/>
            <w:vMerge w:val="restart"/>
            <w:noWrap w:val="0"/>
            <w:vAlign w:val="center"/>
          </w:tcPr>
          <w:p w14:paraId="2ED85A92">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1次/2月</w:t>
            </w:r>
          </w:p>
        </w:tc>
        <w:tc>
          <w:tcPr>
            <w:tcW w:w="5213" w:type="dxa"/>
            <w:noWrap w:val="0"/>
            <w:vAlign w:val="center"/>
          </w:tcPr>
          <w:p w14:paraId="75EBC794">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检查开机过程中硬件自检过程是否有异常数据传输和报警</w:t>
            </w:r>
          </w:p>
        </w:tc>
      </w:tr>
      <w:tr w14:paraId="19D99D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687" w:type="dxa"/>
            <w:vMerge w:val="continue"/>
            <w:noWrap w:val="0"/>
            <w:vAlign w:val="center"/>
          </w:tcPr>
          <w:p w14:paraId="6598806B">
            <w:pPr>
              <w:jc w:val="center"/>
              <w:rPr>
                <w:rFonts w:hint="default" w:ascii="Times New Roman" w:hAnsi="Times New Roman" w:eastAsia="宋体" w:cs="Times New Roman"/>
                <w:kern w:val="0"/>
                <w:sz w:val="21"/>
                <w:szCs w:val="24"/>
                <w:highlight w:val="none"/>
              </w:rPr>
            </w:pPr>
          </w:p>
        </w:tc>
        <w:tc>
          <w:tcPr>
            <w:tcW w:w="1125" w:type="dxa"/>
            <w:vMerge w:val="continue"/>
            <w:noWrap w:val="0"/>
            <w:vAlign w:val="center"/>
          </w:tcPr>
          <w:p w14:paraId="6EC0F2E7">
            <w:pPr>
              <w:jc w:val="center"/>
              <w:rPr>
                <w:rFonts w:hint="default" w:ascii="Times New Roman" w:hAnsi="Times New Roman" w:eastAsia="宋体" w:cs="Times New Roman"/>
                <w:kern w:val="0"/>
                <w:sz w:val="21"/>
                <w:szCs w:val="24"/>
                <w:highlight w:val="none"/>
              </w:rPr>
            </w:pPr>
          </w:p>
        </w:tc>
        <w:tc>
          <w:tcPr>
            <w:tcW w:w="2190" w:type="dxa"/>
            <w:vMerge w:val="continue"/>
            <w:noWrap w:val="0"/>
            <w:vAlign w:val="center"/>
          </w:tcPr>
          <w:p w14:paraId="7A786DB9">
            <w:pPr>
              <w:jc w:val="center"/>
              <w:rPr>
                <w:rFonts w:hint="default" w:ascii="Times New Roman" w:hAnsi="Times New Roman" w:eastAsia="宋体" w:cs="Times New Roman"/>
                <w:kern w:val="0"/>
                <w:sz w:val="21"/>
                <w:szCs w:val="24"/>
                <w:highlight w:val="none"/>
              </w:rPr>
            </w:pPr>
          </w:p>
        </w:tc>
        <w:tc>
          <w:tcPr>
            <w:tcW w:w="5213" w:type="dxa"/>
            <w:noWrap w:val="0"/>
            <w:vAlign w:val="center"/>
          </w:tcPr>
          <w:p w14:paraId="42A6CFE6">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强制切断电源后复电工控机是否可以自动启动，并运行windos系统、加载现场监控软件，串口连接是否正常</w:t>
            </w:r>
          </w:p>
        </w:tc>
      </w:tr>
      <w:tr w14:paraId="59B247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687" w:type="dxa"/>
            <w:vMerge w:val="continue"/>
            <w:noWrap w:val="0"/>
            <w:vAlign w:val="center"/>
          </w:tcPr>
          <w:p w14:paraId="32C89773">
            <w:pPr>
              <w:jc w:val="center"/>
              <w:rPr>
                <w:rFonts w:hint="default" w:ascii="Times New Roman" w:hAnsi="Times New Roman" w:eastAsia="宋体" w:cs="Times New Roman"/>
                <w:kern w:val="0"/>
                <w:sz w:val="21"/>
                <w:szCs w:val="24"/>
                <w:highlight w:val="none"/>
              </w:rPr>
            </w:pPr>
          </w:p>
        </w:tc>
        <w:tc>
          <w:tcPr>
            <w:tcW w:w="1125" w:type="dxa"/>
            <w:vMerge w:val="continue"/>
            <w:noWrap w:val="0"/>
            <w:vAlign w:val="center"/>
          </w:tcPr>
          <w:p w14:paraId="1584CF84">
            <w:pPr>
              <w:jc w:val="center"/>
              <w:rPr>
                <w:rFonts w:hint="default" w:ascii="Times New Roman" w:hAnsi="Times New Roman" w:eastAsia="宋体" w:cs="Times New Roman"/>
                <w:kern w:val="0"/>
                <w:sz w:val="21"/>
                <w:szCs w:val="24"/>
                <w:highlight w:val="none"/>
              </w:rPr>
            </w:pPr>
          </w:p>
        </w:tc>
        <w:tc>
          <w:tcPr>
            <w:tcW w:w="2190" w:type="dxa"/>
            <w:vMerge w:val="continue"/>
            <w:noWrap w:val="0"/>
            <w:vAlign w:val="center"/>
          </w:tcPr>
          <w:p w14:paraId="434BDA18">
            <w:pPr>
              <w:jc w:val="center"/>
              <w:rPr>
                <w:rFonts w:hint="default" w:ascii="Times New Roman" w:hAnsi="Times New Roman" w:eastAsia="宋体" w:cs="Times New Roman"/>
                <w:kern w:val="0"/>
                <w:sz w:val="21"/>
                <w:szCs w:val="24"/>
                <w:highlight w:val="none"/>
              </w:rPr>
            </w:pPr>
          </w:p>
        </w:tc>
        <w:tc>
          <w:tcPr>
            <w:tcW w:w="5213" w:type="dxa"/>
            <w:noWrap w:val="0"/>
            <w:vAlign w:val="center"/>
          </w:tcPr>
          <w:p w14:paraId="38586048">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插入备份光盘，用ghost软件备份操作系统。将备份好的操作系统和分区D内的文件拷贝到备份移动硬盘上</w:t>
            </w:r>
          </w:p>
        </w:tc>
      </w:tr>
      <w:tr w14:paraId="68F740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687" w:type="dxa"/>
            <w:vMerge w:val="continue"/>
            <w:noWrap w:val="0"/>
            <w:vAlign w:val="center"/>
          </w:tcPr>
          <w:p w14:paraId="3E4FA33B">
            <w:pPr>
              <w:jc w:val="center"/>
              <w:rPr>
                <w:rFonts w:hint="default" w:ascii="Times New Roman" w:hAnsi="Times New Roman" w:eastAsia="宋体" w:cs="Times New Roman"/>
                <w:kern w:val="0"/>
                <w:sz w:val="21"/>
                <w:szCs w:val="24"/>
                <w:highlight w:val="none"/>
              </w:rPr>
            </w:pPr>
          </w:p>
        </w:tc>
        <w:tc>
          <w:tcPr>
            <w:tcW w:w="1125" w:type="dxa"/>
            <w:vMerge w:val="continue"/>
            <w:noWrap w:val="0"/>
            <w:vAlign w:val="center"/>
          </w:tcPr>
          <w:p w14:paraId="422A3B84">
            <w:pPr>
              <w:jc w:val="center"/>
              <w:rPr>
                <w:rFonts w:hint="default" w:ascii="Times New Roman" w:hAnsi="Times New Roman" w:eastAsia="宋体" w:cs="Times New Roman"/>
                <w:kern w:val="0"/>
                <w:sz w:val="21"/>
                <w:szCs w:val="24"/>
                <w:highlight w:val="none"/>
              </w:rPr>
            </w:pPr>
          </w:p>
        </w:tc>
        <w:tc>
          <w:tcPr>
            <w:tcW w:w="2190" w:type="dxa"/>
            <w:vMerge w:val="continue"/>
            <w:noWrap w:val="0"/>
            <w:vAlign w:val="center"/>
          </w:tcPr>
          <w:p w14:paraId="04A9C8E6">
            <w:pPr>
              <w:jc w:val="center"/>
              <w:rPr>
                <w:rFonts w:hint="default" w:ascii="Times New Roman" w:hAnsi="Times New Roman" w:eastAsia="宋体" w:cs="Times New Roman"/>
                <w:kern w:val="0"/>
                <w:sz w:val="21"/>
                <w:szCs w:val="24"/>
                <w:highlight w:val="none"/>
              </w:rPr>
            </w:pPr>
          </w:p>
        </w:tc>
        <w:tc>
          <w:tcPr>
            <w:tcW w:w="5213" w:type="dxa"/>
            <w:noWrap w:val="0"/>
            <w:vAlign w:val="center"/>
          </w:tcPr>
          <w:p w14:paraId="1AB67866">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断电后拆下工控机，打开后盖，用细毛刷清</w:t>
            </w:r>
          </w:p>
        </w:tc>
      </w:tr>
      <w:tr w14:paraId="3A8023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687" w:type="dxa"/>
            <w:vMerge w:val="continue"/>
            <w:noWrap w:val="0"/>
            <w:vAlign w:val="center"/>
          </w:tcPr>
          <w:p w14:paraId="42DA608C">
            <w:pPr>
              <w:jc w:val="center"/>
              <w:rPr>
                <w:rFonts w:hint="default" w:ascii="Times New Roman" w:hAnsi="Times New Roman" w:eastAsia="宋体" w:cs="Times New Roman"/>
                <w:kern w:val="0"/>
                <w:sz w:val="21"/>
                <w:szCs w:val="24"/>
                <w:highlight w:val="none"/>
              </w:rPr>
            </w:pPr>
          </w:p>
        </w:tc>
        <w:tc>
          <w:tcPr>
            <w:tcW w:w="1125" w:type="dxa"/>
            <w:vMerge w:val="continue"/>
            <w:noWrap w:val="0"/>
            <w:vAlign w:val="center"/>
          </w:tcPr>
          <w:p w14:paraId="4C386957">
            <w:pPr>
              <w:jc w:val="center"/>
              <w:rPr>
                <w:rFonts w:hint="default" w:ascii="Times New Roman" w:hAnsi="Times New Roman" w:eastAsia="宋体" w:cs="Times New Roman"/>
                <w:kern w:val="0"/>
                <w:sz w:val="21"/>
                <w:szCs w:val="24"/>
                <w:highlight w:val="none"/>
              </w:rPr>
            </w:pPr>
          </w:p>
        </w:tc>
        <w:tc>
          <w:tcPr>
            <w:tcW w:w="2190" w:type="dxa"/>
            <w:vMerge w:val="continue"/>
            <w:noWrap w:val="0"/>
            <w:vAlign w:val="center"/>
          </w:tcPr>
          <w:p w14:paraId="5021E0F7">
            <w:pPr>
              <w:jc w:val="center"/>
              <w:rPr>
                <w:rFonts w:hint="default" w:ascii="Times New Roman" w:hAnsi="Times New Roman" w:eastAsia="宋体" w:cs="Times New Roman"/>
                <w:kern w:val="0"/>
                <w:sz w:val="21"/>
                <w:szCs w:val="24"/>
                <w:highlight w:val="none"/>
              </w:rPr>
            </w:pPr>
          </w:p>
        </w:tc>
        <w:tc>
          <w:tcPr>
            <w:tcW w:w="5213" w:type="dxa"/>
            <w:noWrap w:val="0"/>
            <w:vAlign w:val="center"/>
          </w:tcPr>
          <w:p w14:paraId="274513CF">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除电源和主板上的灰尘，尤其注意cpu板、内存和各个串口卡上的灰尘清除。检查各个功能卡接口是否连接牢固</w:t>
            </w:r>
          </w:p>
        </w:tc>
      </w:tr>
      <w:tr w14:paraId="40754A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687" w:type="dxa"/>
            <w:vMerge w:val="continue"/>
            <w:noWrap w:val="0"/>
            <w:vAlign w:val="center"/>
          </w:tcPr>
          <w:p w14:paraId="36E1AC99">
            <w:pPr>
              <w:jc w:val="center"/>
              <w:rPr>
                <w:rFonts w:hint="default" w:ascii="Times New Roman" w:hAnsi="Times New Roman" w:eastAsia="宋体" w:cs="Times New Roman"/>
                <w:kern w:val="0"/>
                <w:sz w:val="21"/>
                <w:szCs w:val="24"/>
                <w:highlight w:val="none"/>
              </w:rPr>
            </w:pPr>
          </w:p>
        </w:tc>
        <w:tc>
          <w:tcPr>
            <w:tcW w:w="1125" w:type="dxa"/>
            <w:vMerge w:val="continue"/>
            <w:noWrap w:val="0"/>
            <w:vAlign w:val="center"/>
          </w:tcPr>
          <w:p w14:paraId="1A255491">
            <w:pPr>
              <w:jc w:val="center"/>
              <w:rPr>
                <w:rFonts w:hint="default" w:ascii="Times New Roman" w:hAnsi="Times New Roman" w:eastAsia="宋体" w:cs="Times New Roman"/>
                <w:kern w:val="0"/>
                <w:sz w:val="21"/>
                <w:szCs w:val="24"/>
                <w:highlight w:val="none"/>
              </w:rPr>
            </w:pPr>
          </w:p>
        </w:tc>
        <w:tc>
          <w:tcPr>
            <w:tcW w:w="2190" w:type="dxa"/>
            <w:vMerge w:val="continue"/>
            <w:noWrap w:val="0"/>
            <w:vAlign w:val="center"/>
          </w:tcPr>
          <w:p w14:paraId="7114ED67">
            <w:pPr>
              <w:jc w:val="center"/>
              <w:rPr>
                <w:rFonts w:hint="default" w:ascii="Times New Roman" w:hAnsi="Times New Roman" w:eastAsia="宋体" w:cs="Times New Roman"/>
                <w:kern w:val="0"/>
                <w:sz w:val="21"/>
                <w:szCs w:val="24"/>
                <w:highlight w:val="none"/>
              </w:rPr>
            </w:pPr>
          </w:p>
        </w:tc>
        <w:tc>
          <w:tcPr>
            <w:tcW w:w="5213" w:type="dxa"/>
            <w:noWrap w:val="0"/>
            <w:vAlign w:val="center"/>
          </w:tcPr>
          <w:p w14:paraId="45B78C43">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检查硬盘SATA连接线是否松动</w:t>
            </w:r>
          </w:p>
        </w:tc>
      </w:tr>
      <w:tr w14:paraId="24CEC8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687" w:type="dxa"/>
            <w:vMerge w:val="continue"/>
            <w:noWrap w:val="0"/>
            <w:vAlign w:val="center"/>
          </w:tcPr>
          <w:p w14:paraId="301D99C7">
            <w:pPr>
              <w:jc w:val="center"/>
              <w:rPr>
                <w:rFonts w:hint="default" w:ascii="Times New Roman" w:hAnsi="Times New Roman" w:eastAsia="宋体" w:cs="Times New Roman"/>
                <w:kern w:val="0"/>
                <w:sz w:val="21"/>
                <w:szCs w:val="24"/>
                <w:highlight w:val="none"/>
              </w:rPr>
            </w:pPr>
          </w:p>
        </w:tc>
        <w:tc>
          <w:tcPr>
            <w:tcW w:w="1125" w:type="dxa"/>
            <w:vMerge w:val="continue"/>
            <w:noWrap w:val="0"/>
            <w:vAlign w:val="center"/>
          </w:tcPr>
          <w:p w14:paraId="6404D1ED">
            <w:pPr>
              <w:jc w:val="center"/>
              <w:rPr>
                <w:rFonts w:hint="default" w:ascii="Times New Roman" w:hAnsi="Times New Roman" w:eastAsia="宋体" w:cs="Times New Roman"/>
                <w:kern w:val="0"/>
                <w:sz w:val="21"/>
                <w:szCs w:val="24"/>
                <w:highlight w:val="none"/>
              </w:rPr>
            </w:pPr>
          </w:p>
        </w:tc>
        <w:tc>
          <w:tcPr>
            <w:tcW w:w="2190" w:type="dxa"/>
            <w:vMerge w:val="continue"/>
            <w:noWrap w:val="0"/>
            <w:vAlign w:val="center"/>
          </w:tcPr>
          <w:p w14:paraId="04B06E4B">
            <w:pPr>
              <w:jc w:val="center"/>
              <w:rPr>
                <w:rFonts w:hint="default" w:ascii="Times New Roman" w:hAnsi="Times New Roman" w:eastAsia="宋体" w:cs="Times New Roman"/>
                <w:kern w:val="0"/>
                <w:sz w:val="21"/>
                <w:szCs w:val="24"/>
                <w:highlight w:val="none"/>
              </w:rPr>
            </w:pPr>
          </w:p>
        </w:tc>
        <w:tc>
          <w:tcPr>
            <w:tcW w:w="5213" w:type="dxa"/>
            <w:noWrap w:val="0"/>
            <w:vAlign w:val="center"/>
          </w:tcPr>
          <w:p w14:paraId="09ED951B">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定期对杀毒软件升级，专机专用，禁止从事与工作无关的活动</w:t>
            </w:r>
          </w:p>
        </w:tc>
      </w:tr>
      <w:tr w14:paraId="2582C1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jc w:val="center"/>
        </w:trPr>
        <w:tc>
          <w:tcPr>
            <w:tcW w:w="687" w:type="dxa"/>
            <w:vMerge w:val="continue"/>
            <w:noWrap w:val="0"/>
            <w:vAlign w:val="center"/>
          </w:tcPr>
          <w:p w14:paraId="41A36145">
            <w:pPr>
              <w:jc w:val="center"/>
              <w:rPr>
                <w:rFonts w:hint="default" w:ascii="Times New Roman" w:hAnsi="Times New Roman" w:eastAsia="宋体" w:cs="Times New Roman"/>
                <w:kern w:val="0"/>
                <w:sz w:val="21"/>
                <w:szCs w:val="24"/>
                <w:highlight w:val="none"/>
              </w:rPr>
            </w:pPr>
          </w:p>
        </w:tc>
        <w:tc>
          <w:tcPr>
            <w:tcW w:w="1125" w:type="dxa"/>
            <w:vMerge w:val="continue"/>
            <w:noWrap w:val="0"/>
            <w:vAlign w:val="center"/>
          </w:tcPr>
          <w:p w14:paraId="16A77B53">
            <w:pPr>
              <w:jc w:val="center"/>
              <w:rPr>
                <w:rFonts w:hint="default" w:ascii="Times New Roman" w:hAnsi="Times New Roman" w:eastAsia="宋体" w:cs="Times New Roman"/>
                <w:kern w:val="0"/>
                <w:sz w:val="21"/>
                <w:szCs w:val="24"/>
                <w:highlight w:val="none"/>
              </w:rPr>
            </w:pPr>
          </w:p>
        </w:tc>
        <w:tc>
          <w:tcPr>
            <w:tcW w:w="2190" w:type="dxa"/>
            <w:vMerge w:val="continue"/>
            <w:noWrap w:val="0"/>
            <w:vAlign w:val="center"/>
          </w:tcPr>
          <w:p w14:paraId="425F5CA8">
            <w:pPr>
              <w:jc w:val="center"/>
              <w:rPr>
                <w:rFonts w:hint="default" w:ascii="Times New Roman" w:hAnsi="Times New Roman" w:eastAsia="宋体" w:cs="Times New Roman"/>
                <w:kern w:val="0"/>
                <w:sz w:val="21"/>
                <w:szCs w:val="24"/>
                <w:highlight w:val="none"/>
              </w:rPr>
            </w:pPr>
          </w:p>
        </w:tc>
        <w:tc>
          <w:tcPr>
            <w:tcW w:w="5213" w:type="dxa"/>
            <w:noWrap w:val="0"/>
            <w:vAlign w:val="center"/>
          </w:tcPr>
          <w:p w14:paraId="6AEF88D1">
            <w:pPr>
              <w:jc w:val="both"/>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装回工控机重复1）、2）步骤</w:t>
            </w:r>
          </w:p>
        </w:tc>
      </w:tr>
    </w:tbl>
    <w:p w14:paraId="6A728860">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w:t>
      </w:r>
      <w:r>
        <w:rPr>
          <w:rFonts w:hint="default" w:ascii="宋体" w:hAnsi="宋体" w:eastAsia="宋体" w:cs="Times New Roman"/>
          <w:kern w:val="0"/>
          <w:sz w:val="24"/>
          <w:szCs w:val="24"/>
          <w:highlight w:val="none"/>
        </w:rPr>
        <w:t>6每年工作内容如下：</w:t>
      </w:r>
    </w:p>
    <w:p w14:paraId="41264A46">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成交单位负责站房、栈桥及相关附属设施的维修、维护工作。每年对站房进行一次全面修缮，对站房外围进行整修和粉刷，保证墙面整洁、站房安全；每年对栈桥或取水设施进行一次检修，确保水样取水的代表性；每年对防雷设施进行一次全面检测，并提供检测报告；对站房的门禁、灭火设施、视频监控系统、标志牌、LOGO等附属设施进行维护。其中水站外观整治及内外墙面粉刷要求如下：</w:t>
      </w:r>
    </w:p>
    <w:p w14:paraId="0705F4F0">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宋体"/>
          <w:kern w:val="0"/>
          <w:sz w:val="24"/>
          <w:szCs w:val="24"/>
          <w:highlight w:val="none"/>
        </w:rPr>
        <w:t>①</w:t>
      </w:r>
      <w:r>
        <w:rPr>
          <w:rFonts w:hint="default" w:ascii="宋体" w:hAnsi="宋体" w:eastAsia="宋体" w:cs="Times New Roman"/>
          <w:kern w:val="0"/>
          <w:sz w:val="24"/>
          <w:szCs w:val="24"/>
          <w:highlight w:val="none"/>
        </w:rPr>
        <w:t>沾水：墙面湿润有利于铲掉旧的墙皮。</w:t>
      </w:r>
    </w:p>
    <w:p w14:paraId="6E6E129F">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宋体"/>
          <w:kern w:val="0"/>
          <w:sz w:val="24"/>
          <w:szCs w:val="24"/>
          <w:highlight w:val="none"/>
        </w:rPr>
        <w:t>②</w:t>
      </w:r>
      <w:r>
        <w:rPr>
          <w:rFonts w:hint="default" w:ascii="宋体" w:hAnsi="宋体" w:eastAsia="宋体" w:cs="Times New Roman"/>
          <w:kern w:val="0"/>
          <w:sz w:val="24"/>
          <w:szCs w:val="24"/>
          <w:highlight w:val="none"/>
        </w:rPr>
        <w:t>铲墙皮：铲除原有墙面已经被水浸过的部分，或用尼龙刷或者粗砂纸将其铲除，磨平。直到露出水泥砂浆墙面或腻子层裂缝及找平：</w:t>
      </w:r>
    </w:p>
    <w:p w14:paraId="3D073319">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宋体"/>
          <w:kern w:val="0"/>
          <w:sz w:val="24"/>
          <w:szCs w:val="24"/>
          <w:highlight w:val="none"/>
        </w:rPr>
        <w:t>③</w:t>
      </w:r>
      <w:r>
        <w:rPr>
          <w:rFonts w:hint="default" w:ascii="宋体" w:hAnsi="宋体" w:eastAsia="宋体" w:cs="Times New Roman"/>
          <w:kern w:val="0"/>
          <w:sz w:val="24"/>
          <w:szCs w:val="24"/>
          <w:highlight w:val="none"/>
        </w:rPr>
        <w:t>裂缝：一般情况下用牛皮纸和白乳胶贴住裂缝。</w:t>
      </w:r>
    </w:p>
    <w:p w14:paraId="4877C4D5">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宋体"/>
          <w:kern w:val="0"/>
          <w:sz w:val="24"/>
          <w:szCs w:val="24"/>
          <w:highlight w:val="none"/>
        </w:rPr>
        <w:t>④</w:t>
      </w:r>
      <w:r>
        <w:rPr>
          <w:rFonts w:hint="default" w:ascii="宋体" w:hAnsi="宋体" w:eastAsia="宋体" w:cs="Times New Roman"/>
          <w:kern w:val="0"/>
          <w:sz w:val="24"/>
          <w:szCs w:val="24"/>
          <w:highlight w:val="none"/>
        </w:rPr>
        <w:t>找平：凸凹不平的表面需要找平，一般石膏粉比较常用，凸凹差不超过0.5公分为佳，选择颗粒细度较高和质地较硬的腻子或在腻子里添加一定的白乳胶，提高腻子的硬度。用较细的砂子，一般质地较松软的腻子（如821）用400-500号砂子，质地较硬的（如墙衬等）用360-400号。涂刷主要注意墙角，每滚中间接茬部分和收漆方向，墙角的处理，多数用板刷或排笔进行涂刷。刷漆时每滚上墙后都要有个收漆动作，一滚套一滚，切勿漏刷。</w:t>
      </w:r>
    </w:p>
    <w:p w14:paraId="4472B23E">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宋体"/>
          <w:kern w:val="0"/>
          <w:sz w:val="24"/>
          <w:szCs w:val="24"/>
          <w:highlight w:val="none"/>
        </w:rPr>
        <w:t>⑤</w:t>
      </w:r>
      <w:r>
        <w:rPr>
          <w:rFonts w:hint="default" w:ascii="宋体" w:hAnsi="宋体" w:eastAsia="宋体" w:cs="Times New Roman"/>
          <w:kern w:val="0"/>
          <w:sz w:val="24"/>
          <w:szCs w:val="24"/>
          <w:highlight w:val="none"/>
        </w:rPr>
        <w:t>负责对站房外围的院墙、大门、绿化等基础设施进行维护，如有损坏及时更换。</w:t>
      </w:r>
    </w:p>
    <w:p w14:paraId="1084188E">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w:t>
      </w:r>
      <w:r>
        <w:rPr>
          <w:rFonts w:hint="default" w:ascii="宋体" w:hAnsi="宋体" w:eastAsia="宋体" w:cs="Times New Roman"/>
          <w:kern w:val="0"/>
          <w:sz w:val="24"/>
          <w:szCs w:val="24"/>
          <w:highlight w:val="none"/>
        </w:rPr>
        <w:t>7</w:t>
      </w:r>
      <w:r>
        <w:rPr>
          <w:rFonts w:hint="eastAsia" w:ascii="宋体" w:hAnsi="宋体" w:eastAsia="宋体" w:cs="Times New Roman"/>
          <w:kern w:val="0"/>
          <w:sz w:val="24"/>
          <w:szCs w:val="24"/>
          <w:highlight w:val="none"/>
          <w:lang w:val="en-US" w:eastAsia="zh-CN"/>
        </w:rPr>
        <w:t xml:space="preserve"> </w:t>
      </w:r>
      <w:r>
        <w:rPr>
          <w:rFonts w:hint="default" w:ascii="宋体" w:hAnsi="宋体" w:eastAsia="宋体" w:cs="Times New Roman"/>
          <w:kern w:val="0"/>
          <w:sz w:val="24"/>
          <w:szCs w:val="24"/>
          <w:highlight w:val="none"/>
        </w:rPr>
        <w:t>日常运维其他相关要求如下：</w:t>
      </w:r>
    </w:p>
    <w:p w14:paraId="39EE9F44">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w:t>
      </w:r>
      <w:r>
        <w:rPr>
          <w:rFonts w:hint="default" w:ascii="宋体" w:hAnsi="宋体" w:eastAsia="宋体" w:cs="Times New Roman"/>
          <w:kern w:val="0"/>
          <w:sz w:val="24"/>
          <w:szCs w:val="24"/>
          <w:highlight w:val="none"/>
        </w:rPr>
        <w:t>7</w:t>
      </w:r>
      <w:r>
        <w:rPr>
          <w:rFonts w:hint="eastAsia" w:ascii="宋体" w:hAnsi="宋体" w:eastAsia="宋体" w:cs="Times New Roman"/>
          <w:kern w:val="0"/>
          <w:sz w:val="24"/>
          <w:szCs w:val="24"/>
          <w:highlight w:val="none"/>
          <w:lang w:val="en-US" w:eastAsia="zh-CN"/>
        </w:rPr>
        <w:t xml:space="preserve">.1 </w:t>
      </w:r>
      <w:r>
        <w:rPr>
          <w:rFonts w:hint="default" w:ascii="宋体" w:hAnsi="宋体" w:eastAsia="宋体" w:cs="Times New Roman"/>
          <w:kern w:val="0"/>
          <w:sz w:val="24"/>
          <w:szCs w:val="24"/>
          <w:highlight w:val="none"/>
        </w:rPr>
        <w:t>成交单位需协助</w:t>
      </w:r>
      <w:r>
        <w:rPr>
          <w:rFonts w:hint="eastAsia" w:ascii="宋体" w:hAnsi="宋体" w:eastAsia="宋体" w:cs="宋体"/>
          <w:bCs/>
          <w:color w:val="000000"/>
          <w:kern w:val="0"/>
          <w:sz w:val="24"/>
          <w:szCs w:val="24"/>
          <w:highlight w:val="none"/>
        </w:rPr>
        <w:t>徐州市丰县生态环境局</w:t>
      </w:r>
      <w:r>
        <w:rPr>
          <w:rFonts w:hint="default" w:ascii="宋体" w:hAnsi="宋体" w:eastAsia="宋体" w:cs="Times New Roman"/>
          <w:kern w:val="0"/>
          <w:sz w:val="24"/>
          <w:szCs w:val="24"/>
          <w:highlight w:val="none"/>
        </w:rPr>
        <w:t>做好水站固定资产、备品备件的管理及登记等工作。</w:t>
      </w:r>
    </w:p>
    <w:p w14:paraId="4FD531A4">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w:t>
      </w:r>
      <w:r>
        <w:rPr>
          <w:rFonts w:hint="default" w:ascii="宋体" w:hAnsi="宋体" w:eastAsia="宋体" w:cs="Times New Roman"/>
          <w:kern w:val="0"/>
          <w:sz w:val="24"/>
          <w:szCs w:val="24"/>
          <w:highlight w:val="none"/>
        </w:rPr>
        <w:t>7</w:t>
      </w:r>
      <w:r>
        <w:rPr>
          <w:rFonts w:hint="eastAsia" w:ascii="宋体" w:hAnsi="宋体" w:eastAsia="宋体" w:cs="Times New Roman"/>
          <w:kern w:val="0"/>
          <w:sz w:val="24"/>
          <w:szCs w:val="24"/>
          <w:highlight w:val="none"/>
          <w:lang w:val="en-US" w:eastAsia="zh-CN"/>
        </w:rPr>
        <w:t xml:space="preserve">.2 </w:t>
      </w:r>
      <w:r>
        <w:rPr>
          <w:rFonts w:hint="default" w:ascii="宋体" w:hAnsi="宋体" w:eastAsia="宋体" w:cs="Times New Roman"/>
          <w:kern w:val="0"/>
          <w:sz w:val="24"/>
          <w:szCs w:val="24"/>
          <w:highlight w:val="none"/>
        </w:rPr>
        <w:t>运维单位应积极参加省监测中心或驻市中心主办的技术培训班，加强业务学习，不断提高业务能力和水平。</w:t>
      </w:r>
    </w:p>
    <w:p w14:paraId="0C0F46E0">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w:t>
      </w:r>
      <w:r>
        <w:rPr>
          <w:rFonts w:hint="default" w:ascii="宋体" w:hAnsi="宋体" w:eastAsia="宋体" w:cs="Times New Roman"/>
          <w:kern w:val="0"/>
          <w:sz w:val="24"/>
          <w:szCs w:val="24"/>
          <w:highlight w:val="none"/>
        </w:rPr>
        <w:t>7</w:t>
      </w:r>
      <w:r>
        <w:rPr>
          <w:rFonts w:hint="eastAsia" w:ascii="宋体" w:hAnsi="宋体" w:eastAsia="宋体" w:cs="Times New Roman"/>
          <w:kern w:val="0"/>
          <w:sz w:val="24"/>
          <w:szCs w:val="24"/>
          <w:highlight w:val="none"/>
          <w:lang w:val="en-US" w:eastAsia="zh-CN"/>
        </w:rPr>
        <w:t xml:space="preserve">.3 </w:t>
      </w:r>
      <w:r>
        <w:rPr>
          <w:rFonts w:hint="default" w:ascii="宋体" w:hAnsi="宋体" w:eastAsia="宋体" w:cs="Times New Roman"/>
          <w:kern w:val="0"/>
          <w:sz w:val="24"/>
          <w:szCs w:val="24"/>
          <w:highlight w:val="none"/>
        </w:rPr>
        <w:t>运维单位应根据国家与我省有关要求做好废液的处理工作。</w:t>
      </w:r>
    </w:p>
    <w:p w14:paraId="594A0C5A">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w:t>
      </w:r>
      <w:r>
        <w:rPr>
          <w:rFonts w:hint="default" w:ascii="宋体" w:hAnsi="宋体" w:eastAsia="宋体" w:cs="Times New Roman"/>
          <w:kern w:val="0"/>
          <w:sz w:val="24"/>
          <w:szCs w:val="24"/>
          <w:highlight w:val="none"/>
        </w:rPr>
        <w:t>7</w:t>
      </w:r>
      <w:r>
        <w:rPr>
          <w:rFonts w:hint="eastAsia" w:ascii="宋体" w:hAnsi="宋体" w:eastAsia="宋体" w:cs="Times New Roman"/>
          <w:kern w:val="0"/>
          <w:sz w:val="24"/>
          <w:szCs w:val="24"/>
          <w:highlight w:val="none"/>
          <w:lang w:val="en-US" w:eastAsia="zh-CN"/>
        </w:rPr>
        <w:t xml:space="preserve">.4 </w:t>
      </w:r>
      <w:r>
        <w:rPr>
          <w:rFonts w:hint="default" w:ascii="宋体" w:hAnsi="宋体" w:eastAsia="宋体" w:cs="Times New Roman"/>
          <w:kern w:val="0"/>
          <w:sz w:val="24"/>
          <w:szCs w:val="24"/>
          <w:highlight w:val="none"/>
        </w:rPr>
        <w:t>运维单位保证满足生态环境部门对省控站仪器设备故障的响应时间要求，当仪器设备每日5时～23时出现故障，应在1小时之内响应，4小时内到达现场解决（通信线路、电力线路故障除外，但应及时与相关部门联系积极解决）。若仪器故障无法排除，运维单位必须在24小时内提供并更换相应的备机，保证自动站正常运行。</w:t>
      </w:r>
    </w:p>
    <w:p w14:paraId="3CC68C9D">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w:t>
      </w:r>
      <w:r>
        <w:rPr>
          <w:rFonts w:hint="default" w:ascii="宋体" w:hAnsi="宋体" w:eastAsia="宋体" w:cs="Times New Roman"/>
          <w:kern w:val="0"/>
          <w:sz w:val="24"/>
          <w:szCs w:val="24"/>
          <w:highlight w:val="none"/>
        </w:rPr>
        <w:t>7</w:t>
      </w:r>
      <w:r>
        <w:rPr>
          <w:rFonts w:hint="eastAsia" w:ascii="宋体" w:hAnsi="宋体" w:eastAsia="宋体" w:cs="Times New Roman"/>
          <w:kern w:val="0"/>
          <w:sz w:val="24"/>
          <w:szCs w:val="24"/>
          <w:highlight w:val="none"/>
          <w:lang w:val="en-US" w:eastAsia="zh-CN"/>
        </w:rPr>
        <w:t xml:space="preserve">.5 </w:t>
      </w:r>
      <w:r>
        <w:rPr>
          <w:rFonts w:hint="default" w:ascii="宋体" w:hAnsi="宋体" w:eastAsia="宋体" w:cs="Times New Roman"/>
          <w:kern w:val="0"/>
          <w:sz w:val="24"/>
          <w:szCs w:val="24"/>
          <w:highlight w:val="none"/>
        </w:rPr>
        <w:t>当仪器损坏不能修复时，应在24小时之内使用备机开展监测，并同时报告</w:t>
      </w:r>
      <w:r>
        <w:rPr>
          <w:rFonts w:hint="eastAsia" w:ascii="宋体" w:hAnsi="宋体" w:eastAsia="宋体" w:cs="宋体"/>
          <w:bCs/>
          <w:color w:val="000000"/>
          <w:kern w:val="0"/>
          <w:sz w:val="24"/>
          <w:szCs w:val="24"/>
          <w:highlight w:val="none"/>
        </w:rPr>
        <w:t>徐州市丰县生态环境局</w:t>
      </w:r>
      <w:r>
        <w:rPr>
          <w:rFonts w:hint="default" w:ascii="宋体" w:hAnsi="宋体" w:eastAsia="宋体" w:cs="Times New Roman"/>
          <w:kern w:val="0"/>
          <w:sz w:val="24"/>
          <w:szCs w:val="24"/>
          <w:highlight w:val="none"/>
        </w:rPr>
        <w:t>，</w:t>
      </w:r>
      <w:r>
        <w:rPr>
          <w:rFonts w:hint="eastAsia" w:ascii="宋体" w:hAnsi="宋体" w:eastAsia="宋体" w:cs="宋体"/>
          <w:bCs/>
          <w:color w:val="000000"/>
          <w:kern w:val="0"/>
          <w:sz w:val="24"/>
          <w:szCs w:val="24"/>
          <w:highlight w:val="none"/>
        </w:rPr>
        <w:t>徐州市丰县生态环境局</w:t>
      </w:r>
      <w:r>
        <w:rPr>
          <w:rFonts w:hint="default" w:ascii="宋体" w:hAnsi="宋体" w:eastAsia="宋体" w:cs="Times New Roman"/>
          <w:kern w:val="0"/>
          <w:sz w:val="24"/>
          <w:szCs w:val="24"/>
          <w:highlight w:val="none"/>
        </w:rPr>
        <w:t>组织确认仪器损坏情况及原因，酌情处理。</w:t>
      </w:r>
    </w:p>
    <w:p w14:paraId="33E5911D">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w:t>
      </w:r>
      <w:r>
        <w:rPr>
          <w:rFonts w:hint="default" w:ascii="宋体" w:hAnsi="宋体" w:eastAsia="宋体" w:cs="Times New Roman"/>
          <w:kern w:val="0"/>
          <w:sz w:val="24"/>
          <w:szCs w:val="24"/>
          <w:highlight w:val="none"/>
        </w:rPr>
        <w:t>7</w:t>
      </w:r>
      <w:r>
        <w:rPr>
          <w:rFonts w:hint="eastAsia" w:ascii="宋体" w:hAnsi="宋体" w:eastAsia="宋体" w:cs="Times New Roman"/>
          <w:kern w:val="0"/>
          <w:sz w:val="24"/>
          <w:szCs w:val="24"/>
          <w:highlight w:val="none"/>
          <w:lang w:val="en-US" w:eastAsia="zh-CN"/>
        </w:rPr>
        <w:t xml:space="preserve">.6 </w:t>
      </w:r>
      <w:r>
        <w:rPr>
          <w:rFonts w:hint="default" w:ascii="宋体" w:hAnsi="宋体" w:eastAsia="宋体" w:cs="Times New Roman"/>
          <w:kern w:val="0"/>
          <w:sz w:val="24"/>
          <w:szCs w:val="24"/>
          <w:highlight w:val="none"/>
        </w:rPr>
        <w:t>仪器报废后（包括使用超过8年导致，或因洪水、地震、台风、站房外部火灾、爆炸、恐怖袭击、武装冲突、蓄意破坏等不可抗力导致），运维单位须先行及时使用备机开展监测，同时报告</w:t>
      </w:r>
      <w:r>
        <w:rPr>
          <w:rFonts w:hint="eastAsia" w:ascii="宋体" w:hAnsi="宋体" w:eastAsia="宋体" w:cs="宋体"/>
          <w:bCs/>
          <w:color w:val="000000"/>
          <w:kern w:val="0"/>
          <w:sz w:val="24"/>
          <w:szCs w:val="24"/>
          <w:highlight w:val="none"/>
        </w:rPr>
        <w:t>徐州市丰县生态环境局</w:t>
      </w:r>
      <w:r>
        <w:rPr>
          <w:rFonts w:hint="default" w:ascii="宋体" w:hAnsi="宋体" w:eastAsia="宋体" w:cs="Times New Roman"/>
          <w:kern w:val="0"/>
          <w:sz w:val="24"/>
          <w:szCs w:val="24"/>
          <w:highlight w:val="none"/>
        </w:rPr>
        <w:t>。</w:t>
      </w:r>
    </w:p>
    <w:p w14:paraId="33F89272">
      <w:pPr>
        <w:tabs>
          <w:tab w:val="left" w:pos="993"/>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3.4.</w:t>
      </w:r>
      <w:r>
        <w:rPr>
          <w:rFonts w:hint="default" w:ascii="宋体" w:hAnsi="宋体" w:eastAsia="宋体" w:cs="Times New Roman"/>
          <w:kern w:val="0"/>
          <w:sz w:val="24"/>
          <w:szCs w:val="24"/>
          <w:highlight w:val="none"/>
        </w:rPr>
        <w:t>7</w:t>
      </w:r>
      <w:r>
        <w:rPr>
          <w:rFonts w:hint="eastAsia" w:ascii="宋体" w:hAnsi="宋体" w:eastAsia="宋体" w:cs="Times New Roman"/>
          <w:kern w:val="0"/>
          <w:sz w:val="24"/>
          <w:szCs w:val="24"/>
          <w:highlight w:val="none"/>
          <w:lang w:val="en-US" w:eastAsia="zh-CN"/>
        </w:rPr>
        <w:t xml:space="preserve">.7 </w:t>
      </w:r>
      <w:r>
        <w:rPr>
          <w:rFonts w:hint="default" w:ascii="宋体" w:hAnsi="宋体" w:eastAsia="宋体" w:cs="Times New Roman"/>
          <w:kern w:val="0"/>
          <w:sz w:val="24"/>
          <w:szCs w:val="24"/>
          <w:highlight w:val="none"/>
        </w:rPr>
        <w:t>严禁擅自更改仪器参数设置。</w:t>
      </w:r>
    </w:p>
    <w:p w14:paraId="3319F831">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 xml:space="preserve">3.4.8 </w:t>
      </w:r>
      <w:r>
        <w:rPr>
          <w:rFonts w:hint="default" w:ascii="宋体" w:hAnsi="宋体" w:eastAsia="宋体" w:cs="Times New Roman"/>
          <w:kern w:val="0"/>
          <w:sz w:val="24"/>
          <w:szCs w:val="24"/>
          <w:highlight w:val="none"/>
        </w:rPr>
        <w:t>质量控制要求</w:t>
      </w:r>
    </w:p>
    <w:p w14:paraId="2FBB4D15">
      <w:pPr>
        <w:tabs>
          <w:tab w:val="left" w:pos="2280"/>
        </w:tabs>
        <w:spacing w:line="440" w:lineRule="exact"/>
        <w:ind w:firstLine="480"/>
        <w:contextualSpacing/>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运维单位需认真落实质量管理制度，建立完善的运行维护工作质量管理体系，</w:t>
      </w:r>
      <w:r>
        <w:rPr>
          <w:rFonts w:hint="eastAsia" w:ascii="宋体" w:hAnsi="宋体" w:eastAsia="宋体" w:cs="Times New Roman"/>
          <w:kern w:val="0"/>
          <w:sz w:val="24"/>
          <w:szCs w:val="24"/>
          <w:highlight w:val="none"/>
          <w:lang w:eastAsia="zh-CN"/>
        </w:rPr>
        <w:t>按照</w:t>
      </w:r>
      <w:r>
        <w:rPr>
          <w:rFonts w:hint="eastAsia" w:ascii="Times New Roman" w:hAnsi="Times New Roman" w:eastAsia="宋体" w:cs="Times New Roman"/>
          <w:kern w:val="0"/>
          <w:sz w:val="24"/>
          <w:szCs w:val="20"/>
          <w:highlight w:val="none"/>
        </w:rPr>
        <w:t>《</w:t>
      </w:r>
      <w:r>
        <w:rPr>
          <w:rFonts w:hint="eastAsia" w:ascii="Times New Roman" w:hAnsi="Times New Roman" w:eastAsia="宋体" w:cs="Times New Roman"/>
          <w:kern w:val="0"/>
          <w:sz w:val="24"/>
          <w:szCs w:val="20"/>
          <w:highlight w:val="none"/>
          <w:lang w:val="en-US" w:eastAsia="zh-CN"/>
        </w:rPr>
        <w:t>环境水质（地表水）自动监测站运行维护技术规范</w:t>
      </w:r>
      <w:r>
        <w:rPr>
          <w:rFonts w:hint="eastAsia" w:ascii="Times New Roman" w:hAnsi="Times New Roman" w:eastAsia="宋体" w:cs="Times New Roman"/>
          <w:kern w:val="0"/>
          <w:sz w:val="24"/>
          <w:szCs w:val="20"/>
          <w:highlight w:val="none"/>
        </w:rPr>
        <w:t>》</w:t>
      </w:r>
      <w:r>
        <w:rPr>
          <w:rFonts w:hint="eastAsia" w:ascii="Times New Roman" w:hAnsi="Times New Roman" w:eastAsia="宋体" w:cs="Times New Roman"/>
          <w:kern w:val="0"/>
          <w:sz w:val="24"/>
          <w:szCs w:val="20"/>
          <w:highlight w:val="none"/>
          <w:lang w:eastAsia="zh-CN"/>
        </w:rPr>
        <w:t>（</w:t>
      </w:r>
      <w:r>
        <w:rPr>
          <w:rFonts w:hint="eastAsia" w:ascii="Times New Roman" w:hAnsi="Times New Roman" w:eastAsia="宋体" w:cs="Times New Roman"/>
          <w:kern w:val="0"/>
          <w:sz w:val="24"/>
          <w:szCs w:val="20"/>
          <w:highlight w:val="none"/>
          <w:lang w:val="en-US" w:eastAsia="zh-CN"/>
        </w:rPr>
        <w:t>DB32/T4536-2023</w:t>
      </w:r>
      <w:r>
        <w:rPr>
          <w:rFonts w:hint="eastAsia" w:ascii="Times New Roman" w:hAnsi="Times New Roman" w:eastAsia="宋体" w:cs="Times New Roman"/>
          <w:kern w:val="0"/>
          <w:sz w:val="24"/>
          <w:szCs w:val="20"/>
          <w:highlight w:val="none"/>
          <w:lang w:eastAsia="zh-CN"/>
        </w:rPr>
        <w:t>）</w:t>
      </w:r>
      <w:r>
        <w:rPr>
          <w:rFonts w:hint="default" w:ascii="宋体" w:hAnsi="宋体" w:eastAsia="宋体" w:cs="Times New Roman"/>
          <w:kern w:val="0"/>
          <w:sz w:val="24"/>
          <w:szCs w:val="24"/>
          <w:highlight w:val="none"/>
        </w:rPr>
        <w:t>等规定要求，定期开展质控核查、水样比对、加标回收和系统干预检查等质控工作。其中：</w:t>
      </w:r>
    </w:p>
    <w:p w14:paraId="45517E1A">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 xml:space="preserve">3.4.8.1 </w:t>
      </w:r>
      <w:r>
        <w:rPr>
          <w:rFonts w:hint="default" w:ascii="宋体" w:hAnsi="宋体" w:eastAsia="宋体" w:cs="Times New Roman"/>
          <w:kern w:val="0"/>
          <w:sz w:val="24"/>
          <w:szCs w:val="24"/>
          <w:highlight w:val="none"/>
        </w:rPr>
        <w:t>氨氮、高锰酸钾指数、总磷、至少每周进行2次质控核查（零点核查及漂移、标点核查及漂移，可以为自动或手工），每月进行一次线性检查。</w:t>
      </w:r>
    </w:p>
    <w:p w14:paraId="146E1A6E">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 xml:space="preserve">3.4.8.2 </w:t>
      </w:r>
      <w:r>
        <w:rPr>
          <w:rFonts w:hint="default" w:ascii="宋体" w:hAnsi="宋体" w:eastAsia="宋体" w:cs="Times New Roman"/>
          <w:kern w:val="0"/>
          <w:sz w:val="24"/>
          <w:szCs w:val="24"/>
          <w:highlight w:val="none"/>
        </w:rPr>
        <w:t>pH、溶解氧、电导率、浊度、水温、叶绿素、蓝绿藻每周至少进行一次水样比对。</w:t>
      </w:r>
    </w:p>
    <w:p w14:paraId="45CBFFE2">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 xml:space="preserve">3.4.8.3 </w:t>
      </w:r>
      <w:r>
        <w:rPr>
          <w:rFonts w:hint="default" w:ascii="宋体" w:hAnsi="宋体" w:eastAsia="宋体" w:cs="Times New Roman"/>
          <w:kern w:val="0"/>
          <w:sz w:val="24"/>
          <w:szCs w:val="24"/>
          <w:highlight w:val="none"/>
        </w:rPr>
        <w:t>水站系统（以氨氮、高锰酸盐指数为代表指标）至少每周进行一次系统干预检查。合格标准参考国家相应规范要求。</w:t>
      </w:r>
    </w:p>
    <w:p w14:paraId="55B545E4">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 xml:space="preserve">3.4.8.4 </w:t>
      </w:r>
      <w:r>
        <w:rPr>
          <w:rFonts w:hint="default" w:ascii="宋体" w:hAnsi="宋体" w:eastAsia="宋体" w:cs="Times New Roman"/>
          <w:kern w:val="0"/>
          <w:sz w:val="24"/>
          <w:szCs w:val="24"/>
          <w:highlight w:val="none"/>
        </w:rPr>
        <w:t>所有质控结果（包括图片等佐证材料）应及时报省监测中心，结果未报、频次未达标或未附佐证材料视为考核不合格，同时扣除该参数当月（或该季度）相关时段运维款。成交单位应及时对校准、质控和水质异常等的数据做出标识，并于每日的12:00之前将完成前一日原始数据的标识工作。</w:t>
      </w:r>
    </w:p>
    <w:p w14:paraId="26E0F348">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 xml:space="preserve">3.4.8.5 </w:t>
      </w:r>
      <w:r>
        <w:rPr>
          <w:rFonts w:hint="default" w:ascii="宋体" w:hAnsi="宋体" w:eastAsia="宋体" w:cs="Times New Roman"/>
          <w:kern w:val="0"/>
          <w:sz w:val="24"/>
          <w:szCs w:val="24"/>
          <w:highlight w:val="none"/>
        </w:rPr>
        <w:t>质控考核测试不合格时，成交单位应立即查找原因，并在考核结束的24小时内完成补测。补测仍不合格仪器（或系统）视为故障，需在48小时内更换备机。质控考核不合格的数据直至下次测试合格前均按无效数据剔除。成交单位未按要求更换备机的，相关数据将全部视作无效数据，并同时扣除该参数当月运维款。</w:t>
      </w:r>
    </w:p>
    <w:p w14:paraId="2054A533">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 xml:space="preserve">3.4.8.6 </w:t>
      </w:r>
      <w:r>
        <w:rPr>
          <w:rFonts w:hint="default" w:ascii="宋体" w:hAnsi="宋体" w:eastAsia="宋体" w:cs="Times New Roman"/>
          <w:kern w:val="0"/>
          <w:sz w:val="24"/>
          <w:szCs w:val="24"/>
          <w:highlight w:val="none"/>
        </w:rPr>
        <w:t>运维单位必须接受</w:t>
      </w:r>
      <w:r>
        <w:rPr>
          <w:rFonts w:hint="eastAsia" w:ascii="宋体" w:hAnsi="宋体" w:eastAsia="宋体" w:cs="宋体"/>
          <w:bCs/>
          <w:color w:val="000000"/>
          <w:kern w:val="0"/>
          <w:sz w:val="24"/>
          <w:szCs w:val="24"/>
          <w:highlight w:val="none"/>
        </w:rPr>
        <w:t>徐州市丰县生态环境局</w:t>
      </w:r>
      <w:r>
        <w:rPr>
          <w:rFonts w:hint="default" w:ascii="宋体" w:hAnsi="宋体" w:eastAsia="宋体" w:cs="Times New Roman"/>
          <w:kern w:val="0"/>
          <w:sz w:val="24"/>
          <w:szCs w:val="24"/>
          <w:highlight w:val="none"/>
        </w:rPr>
        <w:t>及其委托单位和人员的质量检查。</w:t>
      </w:r>
    </w:p>
    <w:p w14:paraId="18AD0849">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 xml:space="preserve">3.4.9 </w:t>
      </w:r>
      <w:r>
        <w:rPr>
          <w:rFonts w:hint="default" w:ascii="宋体" w:hAnsi="宋体" w:eastAsia="宋体" w:cs="Times New Roman"/>
          <w:kern w:val="0"/>
          <w:sz w:val="24"/>
          <w:szCs w:val="24"/>
          <w:highlight w:val="none"/>
        </w:rPr>
        <w:t>应急措施要求</w:t>
      </w:r>
    </w:p>
    <w:p w14:paraId="39A911BF">
      <w:pPr>
        <w:tabs>
          <w:tab w:val="left" w:pos="2280"/>
        </w:tabs>
        <w:spacing w:line="480" w:lineRule="exact"/>
        <w:ind w:firstLine="480"/>
        <w:contextualSpacing/>
        <w:jc w:val="both"/>
        <w:rPr>
          <w:rFonts w:hint="default" w:ascii="Times New Roman" w:hAnsi="Times New Roman" w:eastAsia="宋体" w:cs="Times New Roman"/>
          <w:iCs/>
          <w:kern w:val="0"/>
          <w:sz w:val="24"/>
          <w:szCs w:val="24"/>
          <w:highlight w:val="none"/>
        </w:rPr>
      </w:pPr>
      <w:r>
        <w:rPr>
          <w:rFonts w:hint="eastAsia" w:ascii="宋体" w:hAnsi="宋体" w:eastAsia="宋体" w:cs="Times New Roman"/>
          <w:iCs/>
          <w:kern w:val="0"/>
          <w:sz w:val="24"/>
          <w:szCs w:val="24"/>
          <w:highlight w:val="none"/>
        </w:rPr>
        <w:t>供应商应制定</w:t>
      </w:r>
      <w:r>
        <w:rPr>
          <w:rFonts w:hint="default" w:ascii="宋体" w:hAnsi="宋体" w:eastAsia="宋体" w:cs="Times New Roman"/>
          <w:iCs/>
          <w:kern w:val="0"/>
          <w:sz w:val="24"/>
          <w:szCs w:val="24"/>
          <w:highlight w:val="none"/>
        </w:rPr>
        <w:t>应急事故处理方案</w:t>
      </w:r>
      <w:r>
        <w:rPr>
          <w:rFonts w:hint="eastAsia" w:ascii="宋体" w:hAnsi="宋体" w:eastAsia="宋体" w:cs="Times New Roman"/>
          <w:iCs/>
          <w:kern w:val="0"/>
          <w:sz w:val="24"/>
          <w:szCs w:val="24"/>
          <w:highlight w:val="none"/>
        </w:rPr>
        <w:t>，</w:t>
      </w:r>
      <w:r>
        <w:rPr>
          <w:rFonts w:hint="default" w:ascii="宋体" w:hAnsi="宋体" w:eastAsia="宋体" w:cs="Times New Roman"/>
          <w:iCs/>
          <w:kern w:val="0"/>
          <w:sz w:val="24"/>
          <w:szCs w:val="24"/>
          <w:highlight w:val="none"/>
        </w:rPr>
        <w:t>内容包括突发性水质污染、特殊时期（丰水期、枯水期）、自然灾害、水电检修、临时停电或节假日、重大活动或被破坏情况</w:t>
      </w:r>
      <w:r>
        <w:rPr>
          <w:rFonts w:hint="eastAsia" w:ascii="宋体" w:hAnsi="宋体" w:eastAsia="宋体" w:cs="Times New Roman"/>
          <w:iCs/>
          <w:kern w:val="0"/>
          <w:sz w:val="24"/>
          <w:szCs w:val="24"/>
          <w:highlight w:val="none"/>
        </w:rPr>
        <w:t>。</w:t>
      </w:r>
    </w:p>
    <w:p w14:paraId="68C04123">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 xml:space="preserve">3.4.9.1 </w:t>
      </w:r>
      <w:r>
        <w:rPr>
          <w:rFonts w:hint="default" w:ascii="宋体" w:hAnsi="宋体" w:eastAsia="宋体" w:cs="Times New Roman"/>
          <w:kern w:val="0"/>
          <w:sz w:val="24"/>
          <w:szCs w:val="24"/>
          <w:highlight w:val="none"/>
        </w:rPr>
        <w:t>水站监测数据异常处理</w:t>
      </w:r>
    </w:p>
    <w:p w14:paraId="2012951D">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当水站监测数据发现异常或发现所在断面发生污染事故时，须2小时内到达站点核查仪器运行状态，保证系统仪器正常运行，监测数据准确，传输畅通，并协助托管站进行手工监测复核。</w:t>
      </w:r>
    </w:p>
    <w:p w14:paraId="59DF9132">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 xml:space="preserve">3.4.9.2 </w:t>
      </w:r>
      <w:r>
        <w:rPr>
          <w:rFonts w:hint="default" w:ascii="宋体" w:hAnsi="宋体" w:eastAsia="宋体" w:cs="Times New Roman"/>
          <w:kern w:val="0"/>
          <w:sz w:val="24"/>
          <w:szCs w:val="24"/>
          <w:highlight w:val="none"/>
        </w:rPr>
        <w:t>水质自动站系统仪器故障</w:t>
      </w:r>
    </w:p>
    <w:p w14:paraId="7EE61C63">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当水质自动站系统仪器出现故障、停运时，成交单位应保证在2小时内到达现场检修，如24小时内无法排除故障，导致水站主要监测指标无法连续监测时，须在48小时内更换备机；因水电中断或采水故障，水站无法正常运行的，应委托有资质的检测机构进行检测以确保数据的完整性，实验室检测数据不少于每周两组（不得为同一天监测）。并及时用电话与书面形式报告业主，协商处理方案。</w:t>
      </w:r>
    </w:p>
    <w:p w14:paraId="6EBCAF88">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 xml:space="preserve">3.4.9.3 </w:t>
      </w:r>
      <w:r>
        <w:rPr>
          <w:rFonts w:hint="default" w:ascii="宋体" w:hAnsi="宋体" w:eastAsia="宋体" w:cs="Times New Roman"/>
          <w:kern w:val="0"/>
          <w:sz w:val="24"/>
          <w:szCs w:val="24"/>
          <w:highlight w:val="none"/>
        </w:rPr>
        <w:t>应急与数据补测有关费用的规定</w:t>
      </w:r>
    </w:p>
    <w:p w14:paraId="5BB71BB0">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宋体"/>
          <w:kern w:val="0"/>
          <w:sz w:val="24"/>
          <w:szCs w:val="24"/>
          <w:highlight w:val="none"/>
        </w:rPr>
        <w:t>①</w:t>
      </w:r>
      <w:r>
        <w:rPr>
          <w:rFonts w:hint="default" w:ascii="宋体" w:hAnsi="宋体" w:eastAsia="宋体" w:cs="Times New Roman"/>
          <w:kern w:val="0"/>
          <w:sz w:val="24"/>
          <w:szCs w:val="24"/>
          <w:highlight w:val="none"/>
        </w:rPr>
        <w:t>成交单位发现数据异常波动并及时核实上报、有效发现污染事故的（以上报的应急监测快报为准），或积极配合国家或省级的污染排查、水站检查工作（需有正式通知），并得到正面评价的，在核算月度运维款时每次可在扣除的总运维费中少扣除2000元；如未及时发现水质异常或响应不及时，或在检查中得到负面评价的，在核算月度运维款时每次须多扣除2000元。</w:t>
      </w:r>
    </w:p>
    <w:p w14:paraId="1C78E96F">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宋体"/>
          <w:kern w:val="0"/>
          <w:sz w:val="24"/>
          <w:szCs w:val="24"/>
          <w:highlight w:val="none"/>
        </w:rPr>
        <w:t>②</w:t>
      </w:r>
      <w:r>
        <w:rPr>
          <w:rFonts w:hint="default" w:ascii="宋体" w:hAnsi="宋体" w:eastAsia="宋体" w:cs="Times New Roman"/>
          <w:kern w:val="0"/>
          <w:sz w:val="24"/>
          <w:szCs w:val="24"/>
          <w:highlight w:val="none"/>
        </w:rPr>
        <w:t>成交单位因站点水电中断、采水故障等原因停运，需要委托有资质的检测机构进行检测时，应在上报手工监测数据的同时附有相关检测机构的正式检测报告，相关检测费用由成交人单独报价，在运维费核算时另行核算（不得超出因故障、停运等原因扣除的运维费用的80%）。</w:t>
      </w:r>
    </w:p>
    <w:p w14:paraId="37B43AF9">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宋体"/>
          <w:kern w:val="0"/>
          <w:sz w:val="24"/>
          <w:szCs w:val="24"/>
          <w:highlight w:val="none"/>
        </w:rPr>
        <w:t>③</w:t>
      </w:r>
      <w:r>
        <w:rPr>
          <w:rFonts w:hint="eastAsia" w:ascii="宋体" w:hAnsi="宋体" w:eastAsia="宋体" w:cs="宋体"/>
          <w:bCs/>
          <w:color w:val="000000"/>
          <w:kern w:val="0"/>
          <w:sz w:val="24"/>
          <w:szCs w:val="24"/>
          <w:highlight w:val="none"/>
        </w:rPr>
        <w:t>徐州市丰县生态环境局</w:t>
      </w:r>
      <w:r>
        <w:rPr>
          <w:rFonts w:hint="default" w:ascii="宋体" w:hAnsi="宋体" w:eastAsia="宋体" w:cs="Times New Roman"/>
          <w:kern w:val="0"/>
          <w:sz w:val="24"/>
          <w:szCs w:val="24"/>
          <w:highlight w:val="none"/>
        </w:rPr>
        <w:t>每季度对运维费进行核算，对于扣减的运维费用，由双方协商用于</w:t>
      </w:r>
      <w:r>
        <w:rPr>
          <w:rFonts w:hint="eastAsia" w:ascii="宋体" w:hAnsi="宋体" w:eastAsia="宋体" w:cs="宋体"/>
          <w:bCs/>
          <w:color w:val="000000"/>
          <w:kern w:val="0"/>
          <w:sz w:val="24"/>
          <w:szCs w:val="24"/>
          <w:highlight w:val="none"/>
        </w:rPr>
        <w:t>徐州市丰县生态环境局</w:t>
      </w:r>
      <w:r>
        <w:rPr>
          <w:rFonts w:hint="default" w:ascii="宋体" w:hAnsi="宋体" w:eastAsia="宋体" w:cs="Times New Roman"/>
          <w:kern w:val="0"/>
          <w:sz w:val="24"/>
          <w:szCs w:val="24"/>
          <w:highlight w:val="none"/>
        </w:rPr>
        <w:t>指定的水站故障仪器大修、系统升级、站房整修等方面的建设，供应商应在投标时提交相关维修服务的报价清单。</w:t>
      </w:r>
    </w:p>
    <w:p w14:paraId="7BB9CE20">
      <w:pPr>
        <w:tabs>
          <w:tab w:val="left" w:pos="2280"/>
        </w:tabs>
        <w:spacing w:line="480" w:lineRule="exact"/>
        <w:ind w:firstLine="48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宋体"/>
          <w:kern w:val="0"/>
          <w:sz w:val="24"/>
          <w:szCs w:val="24"/>
          <w:highlight w:val="none"/>
        </w:rPr>
        <w:t>④</w:t>
      </w:r>
      <w:r>
        <w:rPr>
          <w:rFonts w:hint="default" w:ascii="宋体" w:hAnsi="宋体" w:eastAsia="宋体" w:cs="Times New Roman"/>
          <w:kern w:val="0"/>
          <w:sz w:val="24"/>
          <w:szCs w:val="24"/>
          <w:highlight w:val="none"/>
        </w:rPr>
        <w:t>备机应满足国家及省内相关技术规范的要求，并在我省和国内得到广泛应用，适用于我省水环境自动监测系统，投标时应提供仪器彩页和相关使用情况证明材料。具体技术要求见下表</w:t>
      </w:r>
    </w:p>
    <w:p w14:paraId="7A23EDD5">
      <w:pPr>
        <w:ind w:firstLine="420"/>
        <w:jc w:val="center"/>
        <w:rPr>
          <w:rFonts w:hint="default" w:ascii="Times New Roman" w:hAnsi="Times New Roman" w:eastAsia="宋体" w:cs="Times New Roman"/>
          <w:kern w:val="0"/>
          <w:sz w:val="21"/>
          <w:szCs w:val="24"/>
          <w:highlight w:val="none"/>
        </w:rPr>
      </w:pPr>
      <w:r>
        <w:rPr>
          <w:rFonts w:hint="default" w:ascii="宋体" w:hAnsi="宋体" w:eastAsia="宋体" w:cs="Times New Roman"/>
          <w:kern w:val="0"/>
          <w:sz w:val="21"/>
          <w:szCs w:val="24"/>
          <w:highlight w:val="none"/>
        </w:rPr>
        <w:t>更换备机技术要求</w:t>
      </w:r>
    </w:p>
    <w:tbl>
      <w:tblPr>
        <w:tblStyle w:val="6"/>
        <w:tblW w:w="96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1790"/>
        <w:gridCol w:w="2311"/>
        <w:gridCol w:w="4084"/>
      </w:tblGrid>
      <w:tr w14:paraId="115BD5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7" w:hRule="atLeast"/>
          <w:tblHeader/>
          <w:jc w:val="center"/>
        </w:trPr>
        <w:tc>
          <w:tcPr>
            <w:tcW w:w="1443" w:type="dxa"/>
            <w:noWrap w:val="0"/>
            <w:vAlign w:val="center"/>
          </w:tcPr>
          <w:p w14:paraId="025F1A95">
            <w:pPr>
              <w:jc w:val="center"/>
              <w:rPr>
                <w:rFonts w:hint="default" w:ascii="Times New Roman" w:hAnsi="Times New Roman" w:eastAsia="宋体" w:cs="Times New Roman"/>
                <w:bCs/>
                <w:kern w:val="0"/>
                <w:sz w:val="21"/>
                <w:szCs w:val="24"/>
                <w:highlight w:val="none"/>
              </w:rPr>
            </w:pPr>
            <w:r>
              <w:rPr>
                <w:rFonts w:hint="default" w:ascii="Times New Roman" w:hAnsi="Times New Roman" w:eastAsia="宋体" w:cs="Times New Roman"/>
                <w:bCs/>
                <w:kern w:val="0"/>
                <w:sz w:val="21"/>
                <w:szCs w:val="24"/>
                <w:highlight w:val="none"/>
              </w:rPr>
              <w:t>项目名称</w:t>
            </w:r>
          </w:p>
        </w:tc>
        <w:tc>
          <w:tcPr>
            <w:tcW w:w="8185" w:type="dxa"/>
            <w:gridSpan w:val="3"/>
            <w:noWrap w:val="0"/>
            <w:vAlign w:val="center"/>
          </w:tcPr>
          <w:p w14:paraId="5D328FB3">
            <w:pPr>
              <w:jc w:val="center"/>
              <w:rPr>
                <w:rFonts w:hint="default" w:ascii="Times New Roman" w:hAnsi="Times New Roman" w:eastAsia="宋体" w:cs="Times New Roman"/>
                <w:bCs/>
                <w:kern w:val="0"/>
                <w:sz w:val="21"/>
                <w:szCs w:val="24"/>
                <w:highlight w:val="none"/>
              </w:rPr>
            </w:pPr>
            <w:r>
              <w:rPr>
                <w:rFonts w:hint="default" w:ascii="Times New Roman" w:hAnsi="Times New Roman" w:eastAsia="宋体" w:cs="Times New Roman"/>
                <w:bCs/>
                <w:kern w:val="0"/>
                <w:sz w:val="21"/>
                <w:szCs w:val="24"/>
                <w:highlight w:val="none"/>
              </w:rPr>
              <w:t>技术要求</w:t>
            </w:r>
          </w:p>
        </w:tc>
      </w:tr>
      <w:tr w14:paraId="4B185C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restart"/>
            <w:noWrap w:val="0"/>
            <w:vAlign w:val="center"/>
          </w:tcPr>
          <w:p w14:paraId="5836F5DC">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分析方法</w:t>
            </w:r>
          </w:p>
        </w:tc>
        <w:tc>
          <w:tcPr>
            <w:tcW w:w="1790" w:type="dxa"/>
            <w:noWrap w:val="0"/>
            <w:vAlign w:val="center"/>
          </w:tcPr>
          <w:p w14:paraId="15939655">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水温</w:t>
            </w:r>
          </w:p>
        </w:tc>
        <w:tc>
          <w:tcPr>
            <w:tcW w:w="6395" w:type="dxa"/>
            <w:gridSpan w:val="2"/>
            <w:noWrap w:val="0"/>
            <w:vAlign w:val="center"/>
          </w:tcPr>
          <w:p w14:paraId="43CBD161">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热电阻/热电偶</w:t>
            </w:r>
          </w:p>
        </w:tc>
      </w:tr>
      <w:tr w14:paraId="760BDA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58C6B735">
            <w:pPr>
              <w:jc w:val="center"/>
              <w:rPr>
                <w:rFonts w:hint="default" w:ascii="Times New Roman" w:hAnsi="Times New Roman" w:eastAsia="宋体" w:cs="Times New Roman"/>
                <w:kern w:val="0"/>
                <w:sz w:val="21"/>
                <w:szCs w:val="24"/>
                <w:highlight w:val="none"/>
              </w:rPr>
            </w:pPr>
          </w:p>
        </w:tc>
        <w:tc>
          <w:tcPr>
            <w:tcW w:w="1790" w:type="dxa"/>
            <w:noWrap w:val="0"/>
            <w:vAlign w:val="center"/>
          </w:tcPr>
          <w:p w14:paraId="1D471F5E">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pH</w:t>
            </w:r>
          </w:p>
        </w:tc>
        <w:tc>
          <w:tcPr>
            <w:tcW w:w="6395" w:type="dxa"/>
            <w:gridSpan w:val="2"/>
            <w:noWrap w:val="0"/>
            <w:vAlign w:val="center"/>
          </w:tcPr>
          <w:p w14:paraId="27FEE75C">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玻璃电极法</w:t>
            </w:r>
          </w:p>
        </w:tc>
      </w:tr>
      <w:tr w14:paraId="53C335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57949D33">
            <w:pPr>
              <w:jc w:val="center"/>
              <w:rPr>
                <w:rFonts w:hint="default" w:ascii="Times New Roman" w:hAnsi="Times New Roman" w:eastAsia="宋体" w:cs="Times New Roman"/>
                <w:kern w:val="0"/>
                <w:sz w:val="21"/>
                <w:szCs w:val="24"/>
                <w:highlight w:val="none"/>
              </w:rPr>
            </w:pPr>
          </w:p>
        </w:tc>
        <w:tc>
          <w:tcPr>
            <w:tcW w:w="1790" w:type="dxa"/>
            <w:noWrap w:val="0"/>
            <w:vAlign w:val="center"/>
          </w:tcPr>
          <w:p w14:paraId="5FFF80F9">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溶解氧</w:t>
            </w:r>
          </w:p>
        </w:tc>
        <w:tc>
          <w:tcPr>
            <w:tcW w:w="6395" w:type="dxa"/>
            <w:gridSpan w:val="2"/>
            <w:noWrap w:val="0"/>
            <w:vAlign w:val="center"/>
          </w:tcPr>
          <w:p w14:paraId="553865B3">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电化学法/荧光法</w:t>
            </w:r>
          </w:p>
        </w:tc>
      </w:tr>
      <w:tr w14:paraId="33C7F2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3AD09283">
            <w:pPr>
              <w:jc w:val="center"/>
              <w:rPr>
                <w:rFonts w:hint="default" w:ascii="Times New Roman" w:hAnsi="Times New Roman" w:eastAsia="宋体" w:cs="Times New Roman"/>
                <w:kern w:val="0"/>
                <w:sz w:val="21"/>
                <w:szCs w:val="24"/>
                <w:highlight w:val="none"/>
              </w:rPr>
            </w:pPr>
          </w:p>
        </w:tc>
        <w:tc>
          <w:tcPr>
            <w:tcW w:w="1790" w:type="dxa"/>
            <w:noWrap w:val="0"/>
            <w:vAlign w:val="center"/>
          </w:tcPr>
          <w:p w14:paraId="1EE3478C">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电导率</w:t>
            </w:r>
          </w:p>
        </w:tc>
        <w:tc>
          <w:tcPr>
            <w:tcW w:w="6395" w:type="dxa"/>
            <w:gridSpan w:val="2"/>
            <w:noWrap w:val="0"/>
            <w:vAlign w:val="center"/>
          </w:tcPr>
          <w:p w14:paraId="6367E03E">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电极法</w:t>
            </w:r>
          </w:p>
        </w:tc>
      </w:tr>
      <w:tr w14:paraId="2679B8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727BA25A">
            <w:pPr>
              <w:jc w:val="center"/>
              <w:rPr>
                <w:rFonts w:hint="default" w:ascii="Times New Roman" w:hAnsi="Times New Roman" w:eastAsia="宋体" w:cs="Times New Roman"/>
                <w:kern w:val="0"/>
                <w:sz w:val="21"/>
                <w:szCs w:val="24"/>
                <w:highlight w:val="none"/>
              </w:rPr>
            </w:pPr>
          </w:p>
        </w:tc>
        <w:tc>
          <w:tcPr>
            <w:tcW w:w="1790" w:type="dxa"/>
            <w:noWrap w:val="0"/>
            <w:vAlign w:val="center"/>
          </w:tcPr>
          <w:p w14:paraId="660598D8">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浊度</w:t>
            </w:r>
          </w:p>
        </w:tc>
        <w:tc>
          <w:tcPr>
            <w:tcW w:w="6395" w:type="dxa"/>
            <w:gridSpan w:val="2"/>
            <w:noWrap w:val="0"/>
            <w:vAlign w:val="center"/>
          </w:tcPr>
          <w:p w14:paraId="06D63257">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光散射法</w:t>
            </w:r>
          </w:p>
        </w:tc>
      </w:tr>
      <w:tr w14:paraId="74AE02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56E6882F">
            <w:pPr>
              <w:jc w:val="center"/>
              <w:rPr>
                <w:rFonts w:hint="default" w:ascii="Times New Roman" w:hAnsi="Times New Roman" w:eastAsia="宋体" w:cs="Times New Roman"/>
                <w:kern w:val="0"/>
                <w:sz w:val="21"/>
                <w:szCs w:val="24"/>
                <w:highlight w:val="none"/>
              </w:rPr>
            </w:pPr>
          </w:p>
        </w:tc>
        <w:tc>
          <w:tcPr>
            <w:tcW w:w="1790" w:type="dxa"/>
            <w:noWrap w:val="0"/>
            <w:vAlign w:val="center"/>
          </w:tcPr>
          <w:p w14:paraId="27F27774">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高锰酸盐指数</w:t>
            </w:r>
          </w:p>
        </w:tc>
        <w:tc>
          <w:tcPr>
            <w:tcW w:w="6395" w:type="dxa"/>
            <w:gridSpan w:val="2"/>
            <w:noWrap w:val="0"/>
            <w:vAlign w:val="center"/>
          </w:tcPr>
          <w:p w14:paraId="72ACE2E3">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高锰酸钾氧化法</w:t>
            </w:r>
          </w:p>
        </w:tc>
      </w:tr>
      <w:tr w14:paraId="2CC2ED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685EF02E">
            <w:pPr>
              <w:jc w:val="center"/>
              <w:rPr>
                <w:rFonts w:hint="default" w:ascii="Times New Roman" w:hAnsi="Times New Roman" w:eastAsia="宋体" w:cs="Times New Roman"/>
                <w:kern w:val="0"/>
                <w:sz w:val="21"/>
                <w:szCs w:val="24"/>
                <w:highlight w:val="none"/>
              </w:rPr>
            </w:pPr>
          </w:p>
        </w:tc>
        <w:tc>
          <w:tcPr>
            <w:tcW w:w="1790" w:type="dxa"/>
            <w:noWrap w:val="0"/>
            <w:vAlign w:val="center"/>
          </w:tcPr>
          <w:p w14:paraId="4D61A8D8">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氨氮</w:t>
            </w:r>
          </w:p>
        </w:tc>
        <w:tc>
          <w:tcPr>
            <w:tcW w:w="6395" w:type="dxa"/>
            <w:gridSpan w:val="2"/>
            <w:noWrap w:val="0"/>
            <w:vAlign w:val="center"/>
          </w:tcPr>
          <w:p w14:paraId="4B16BD8D">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水杨酸分光光度法/氨气敏电极法</w:t>
            </w:r>
          </w:p>
        </w:tc>
      </w:tr>
      <w:tr w14:paraId="4F38F4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1A0C55DA">
            <w:pPr>
              <w:jc w:val="center"/>
              <w:rPr>
                <w:rFonts w:hint="default" w:ascii="Times New Roman" w:hAnsi="Times New Roman" w:eastAsia="宋体" w:cs="Times New Roman"/>
                <w:kern w:val="0"/>
                <w:sz w:val="21"/>
                <w:szCs w:val="24"/>
                <w:highlight w:val="none"/>
              </w:rPr>
            </w:pPr>
          </w:p>
        </w:tc>
        <w:tc>
          <w:tcPr>
            <w:tcW w:w="1790" w:type="dxa"/>
            <w:noWrap w:val="0"/>
            <w:vAlign w:val="center"/>
          </w:tcPr>
          <w:p w14:paraId="1C00A975">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总磷</w:t>
            </w:r>
          </w:p>
        </w:tc>
        <w:tc>
          <w:tcPr>
            <w:tcW w:w="6395" w:type="dxa"/>
            <w:gridSpan w:val="2"/>
            <w:noWrap w:val="0"/>
            <w:vAlign w:val="center"/>
          </w:tcPr>
          <w:p w14:paraId="78537140">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钼酸铵分光光度法</w:t>
            </w:r>
          </w:p>
        </w:tc>
      </w:tr>
      <w:tr w14:paraId="58A710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restart"/>
            <w:noWrap w:val="0"/>
            <w:vAlign w:val="center"/>
          </w:tcPr>
          <w:p w14:paraId="72CBEFD3">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性能指标</w:t>
            </w:r>
          </w:p>
          <w:p w14:paraId="06D79395">
            <w:pPr>
              <w:jc w:val="center"/>
              <w:rPr>
                <w:rFonts w:hint="default" w:ascii="Times New Roman" w:hAnsi="Times New Roman" w:eastAsia="宋体" w:cs="Times New Roman"/>
                <w:kern w:val="0"/>
                <w:sz w:val="21"/>
                <w:szCs w:val="24"/>
                <w:highlight w:val="none"/>
              </w:rPr>
            </w:pPr>
          </w:p>
        </w:tc>
        <w:tc>
          <w:tcPr>
            <w:tcW w:w="1790" w:type="dxa"/>
            <w:vMerge w:val="restart"/>
            <w:noWrap w:val="0"/>
            <w:vAlign w:val="center"/>
          </w:tcPr>
          <w:p w14:paraId="7527D7EA">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水温</w:t>
            </w:r>
          </w:p>
        </w:tc>
        <w:tc>
          <w:tcPr>
            <w:tcW w:w="2311" w:type="dxa"/>
            <w:noWrap w:val="0"/>
            <w:vAlign w:val="center"/>
          </w:tcPr>
          <w:p w14:paraId="2EC5892C">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检测范围</w:t>
            </w:r>
          </w:p>
        </w:tc>
        <w:tc>
          <w:tcPr>
            <w:tcW w:w="4084" w:type="dxa"/>
            <w:noWrap w:val="0"/>
            <w:vAlign w:val="center"/>
          </w:tcPr>
          <w:p w14:paraId="3C2CF764">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0℃～60 ℃，可调</w:t>
            </w:r>
          </w:p>
        </w:tc>
      </w:tr>
      <w:tr w14:paraId="64B674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72C8A5ED">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6CCAD94C">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389CB256">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准确度</w:t>
            </w:r>
          </w:p>
        </w:tc>
        <w:tc>
          <w:tcPr>
            <w:tcW w:w="4084" w:type="dxa"/>
            <w:noWrap w:val="0"/>
            <w:vAlign w:val="center"/>
          </w:tcPr>
          <w:p w14:paraId="022A240B">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±0.5 ℃</w:t>
            </w:r>
          </w:p>
        </w:tc>
      </w:tr>
      <w:tr w14:paraId="74E9D7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0747F3AE">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336258EB">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0D49D3BE">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MTBF</w:t>
            </w:r>
          </w:p>
        </w:tc>
        <w:tc>
          <w:tcPr>
            <w:tcW w:w="4084" w:type="dxa"/>
            <w:noWrap w:val="0"/>
            <w:vAlign w:val="center"/>
          </w:tcPr>
          <w:p w14:paraId="06844BC9">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≥720 h/次</w:t>
            </w:r>
          </w:p>
        </w:tc>
      </w:tr>
      <w:tr w14:paraId="07A81C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43" w:type="dxa"/>
            <w:vMerge w:val="continue"/>
            <w:noWrap w:val="0"/>
            <w:vAlign w:val="center"/>
          </w:tcPr>
          <w:p w14:paraId="185E76C2">
            <w:pPr>
              <w:jc w:val="center"/>
              <w:rPr>
                <w:rFonts w:hint="default" w:ascii="Times New Roman" w:hAnsi="Times New Roman" w:eastAsia="宋体" w:cs="Times New Roman"/>
                <w:kern w:val="0"/>
                <w:sz w:val="21"/>
                <w:szCs w:val="24"/>
                <w:highlight w:val="none"/>
              </w:rPr>
            </w:pPr>
          </w:p>
        </w:tc>
        <w:tc>
          <w:tcPr>
            <w:tcW w:w="1790" w:type="dxa"/>
            <w:vMerge w:val="restart"/>
            <w:noWrap w:val="0"/>
            <w:vAlign w:val="center"/>
          </w:tcPr>
          <w:p w14:paraId="58981CD3">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pH</w:t>
            </w:r>
          </w:p>
        </w:tc>
        <w:tc>
          <w:tcPr>
            <w:tcW w:w="2311" w:type="dxa"/>
            <w:noWrap w:val="0"/>
            <w:vAlign w:val="center"/>
          </w:tcPr>
          <w:p w14:paraId="03B00AF6">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检测范围</w:t>
            </w:r>
          </w:p>
        </w:tc>
        <w:tc>
          <w:tcPr>
            <w:tcW w:w="4084" w:type="dxa"/>
            <w:noWrap w:val="0"/>
            <w:vAlign w:val="center"/>
          </w:tcPr>
          <w:p w14:paraId="31882C2F">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pH 0～14 （0～40 ℃），可调</w:t>
            </w:r>
          </w:p>
        </w:tc>
      </w:tr>
      <w:tr w14:paraId="28E592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43" w:type="dxa"/>
            <w:vMerge w:val="continue"/>
            <w:noWrap w:val="0"/>
            <w:vAlign w:val="center"/>
          </w:tcPr>
          <w:p w14:paraId="17150B07">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496E3EB4">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2D0E3BBF">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重复性</w:t>
            </w:r>
          </w:p>
        </w:tc>
        <w:tc>
          <w:tcPr>
            <w:tcW w:w="4084" w:type="dxa"/>
            <w:noWrap w:val="0"/>
            <w:vAlign w:val="center"/>
          </w:tcPr>
          <w:p w14:paraId="60B38E25">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±0.1 pH</w:t>
            </w:r>
          </w:p>
        </w:tc>
      </w:tr>
      <w:tr w14:paraId="6C1AAE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43" w:type="dxa"/>
            <w:vMerge w:val="continue"/>
            <w:noWrap w:val="0"/>
            <w:vAlign w:val="center"/>
          </w:tcPr>
          <w:p w14:paraId="40E41D11">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56B81062">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5180CA92">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漂移（pH=4、7、9）</w:t>
            </w:r>
          </w:p>
        </w:tc>
        <w:tc>
          <w:tcPr>
            <w:tcW w:w="4084" w:type="dxa"/>
            <w:noWrap w:val="0"/>
            <w:vAlign w:val="center"/>
          </w:tcPr>
          <w:p w14:paraId="7DF4A44A">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±0.1 pH</w:t>
            </w:r>
          </w:p>
        </w:tc>
      </w:tr>
      <w:tr w14:paraId="11551A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43" w:type="dxa"/>
            <w:vMerge w:val="continue"/>
            <w:noWrap w:val="0"/>
            <w:vAlign w:val="center"/>
          </w:tcPr>
          <w:p w14:paraId="1732FBC7">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04194291">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5159B25E">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响应时间</w:t>
            </w:r>
          </w:p>
        </w:tc>
        <w:tc>
          <w:tcPr>
            <w:tcW w:w="4084" w:type="dxa"/>
            <w:noWrap w:val="0"/>
            <w:vAlign w:val="center"/>
          </w:tcPr>
          <w:p w14:paraId="47375F2B">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≤30s</w:t>
            </w:r>
          </w:p>
        </w:tc>
      </w:tr>
      <w:tr w14:paraId="3F10E1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43" w:type="dxa"/>
            <w:vMerge w:val="continue"/>
            <w:noWrap w:val="0"/>
            <w:vAlign w:val="center"/>
          </w:tcPr>
          <w:p w14:paraId="433CFD33">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247531BC">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71EAF8BD">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温度补偿精度</w:t>
            </w:r>
          </w:p>
        </w:tc>
        <w:tc>
          <w:tcPr>
            <w:tcW w:w="4084" w:type="dxa"/>
            <w:noWrap w:val="0"/>
            <w:vAlign w:val="center"/>
          </w:tcPr>
          <w:p w14:paraId="359E2804">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±0.1 pH</w:t>
            </w:r>
          </w:p>
        </w:tc>
      </w:tr>
      <w:tr w14:paraId="7ED934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43" w:type="dxa"/>
            <w:vMerge w:val="continue"/>
            <w:noWrap w:val="0"/>
            <w:vAlign w:val="center"/>
          </w:tcPr>
          <w:p w14:paraId="5365A8ED">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189BF73D">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333DD26A">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MTBF</w:t>
            </w:r>
          </w:p>
        </w:tc>
        <w:tc>
          <w:tcPr>
            <w:tcW w:w="4084" w:type="dxa"/>
            <w:noWrap w:val="0"/>
            <w:vAlign w:val="center"/>
          </w:tcPr>
          <w:p w14:paraId="23F087AA">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≥720h/次</w:t>
            </w:r>
          </w:p>
        </w:tc>
      </w:tr>
      <w:tr w14:paraId="114826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43" w:type="dxa"/>
            <w:vMerge w:val="continue"/>
            <w:noWrap w:val="0"/>
            <w:vAlign w:val="center"/>
          </w:tcPr>
          <w:p w14:paraId="10CE442A">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7AE42ADE">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37F944AD">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实际水样比对试验</w:t>
            </w:r>
          </w:p>
        </w:tc>
        <w:tc>
          <w:tcPr>
            <w:tcW w:w="4084" w:type="dxa"/>
            <w:noWrap w:val="0"/>
            <w:vAlign w:val="center"/>
          </w:tcPr>
          <w:p w14:paraId="3B29E4D8">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±0.1 pH</w:t>
            </w:r>
          </w:p>
        </w:tc>
      </w:tr>
      <w:tr w14:paraId="1D347F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43" w:type="dxa"/>
            <w:vMerge w:val="continue"/>
            <w:noWrap w:val="0"/>
            <w:vAlign w:val="center"/>
          </w:tcPr>
          <w:p w14:paraId="3CB3E1B6">
            <w:pPr>
              <w:jc w:val="center"/>
              <w:rPr>
                <w:rFonts w:hint="default" w:ascii="Times New Roman" w:hAnsi="Times New Roman" w:eastAsia="宋体" w:cs="Times New Roman"/>
                <w:kern w:val="0"/>
                <w:sz w:val="21"/>
                <w:szCs w:val="24"/>
                <w:highlight w:val="none"/>
              </w:rPr>
            </w:pPr>
          </w:p>
        </w:tc>
        <w:tc>
          <w:tcPr>
            <w:tcW w:w="1790" w:type="dxa"/>
            <w:vMerge w:val="restart"/>
            <w:noWrap w:val="0"/>
            <w:vAlign w:val="center"/>
          </w:tcPr>
          <w:p w14:paraId="40A9BE2B">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溶解氧</w:t>
            </w:r>
          </w:p>
        </w:tc>
        <w:tc>
          <w:tcPr>
            <w:tcW w:w="2311" w:type="dxa"/>
            <w:noWrap w:val="0"/>
            <w:vAlign w:val="center"/>
          </w:tcPr>
          <w:p w14:paraId="3D58DC8E">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检测范围</w:t>
            </w:r>
          </w:p>
        </w:tc>
        <w:tc>
          <w:tcPr>
            <w:tcW w:w="4084" w:type="dxa"/>
            <w:noWrap w:val="0"/>
            <w:vAlign w:val="center"/>
          </w:tcPr>
          <w:p w14:paraId="647EEF8D">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0～20 mg/L，可调</w:t>
            </w:r>
          </w:p>
        </w:tc>
      </w:tr>
      <w:tr w14:paraId="45C82B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43" w:type="dxa"/>
            <w:vMerge w:val="continue"/>
            <w:noWrap w:val="0"/>
            <w:vAlign w:val="center"/>
          </w:tcPr>
          <w:p w14:paraId="7137F427">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181CECB9">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060605F8">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零点漂移</w:t>
            </w:r>
          </w:p>
        </w:tc>
        <w:tc>
          <w:tcPr>
            <w:tcW w:w="4084" w:type="dxa"/>
            <w:noWrap w:val="0"/>
            <w:vAlign w:val="center"/>
          </w:tcPr>
          <w:p w14:paraId="08982980">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±0.3 mg/L</w:t>
            </w:r>
          </w:p>
        </w:tc>
      </w:tr>
      <w:tr w14:paraId="187C65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43" w:type="dxa"/>
            <w:vMerge w:val="continue"/>
            <w:noWrap w:val="0"/>
            <w:vAlign w:val="center"/>
          </w:tcPr>
          <w:p w14:paraId="34408A3C">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754FC5A0">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3AA09E3A">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量程漂移</w:t>
            </w:r>
          </w:p>
        </w:tc>
        <w:tc>
          <w:tcPr>
            <w:tcW w:w="4084" w:type="dxa"/>
            <w:noWrap w:val="0"/>
            <w:vAlign w:val="center"/>
          </w:tcPr>
          <w:p w14:paraId="3A12C3CB">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±0.3 mg/L</w:t>
            </w:r>
          </w:p>
        </w:tc>
      </w:tr>
      <w:tr w14:paraId="2051BB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43" w:type="dxa"/>
            <w:vMerge w:val="continue"/>
            <w:noWrap w:val="0"/>
            <w:vAlign w:val="center"/>
          </w:tcPr>
          <w:p w14:paraId="453310D7">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7F49B508">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0547BC80">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重复性</w:t>
            </w:r>
          </w:p>
        </w:tc>
        <w:tc>
          <w:tcPr>
            <w:tcW w:w="4084" w:type="dxa"/>
            <w:noWrap w:val="0"/>
            <w:vAlign w:val="center"/>
          </w:tcPr>
          <w:p w14:paraId="5A5FC10D">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±0.3 mg/L</w:t>
            </w:r>
          </w:p>
        </w:tc>
      </w:tr>
      <w:tr w14:paraId="5F93D7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43" w:type="dxa"/>
            <w:vMerge w:val="continue"/>
            <w:noWrap w:val="0"/>
            <w:vAlign w:val="center"/>
          </w:tcPr>
          <w:p w14:paraId="3CE7943B">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54875B01">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042D591C">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响应时间（T90）</w:t>
            </w:r>
          </w:p>
        </w:tc>
        <w:tc>
          <w:tcPr>
            <w:tcW w:w="4084" w:type="dxa"/>
            <w:noWrap w:val="0"/>
            <w:vAlign w:val="center"/>
          </w:tcPr>
          <w:p w14:paraId="4B1B183F">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≤120 s</w:t>
            </w:r>
          </w:p>
        </w:tc>
      </w:tr>
      <w:tr w14:paraId="35A051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43" w:type="dxa"/>
            <w:vMerge w:val="continue"/>
            <w:noWrap w:val="0"/>
            <w:vAlign w:val="center"/>
          </w:tcPr>
          <w:p w14:paraId="1A2386F6">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0FA57EBA">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3EABA724">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温度补偿精度</w:t>
            </w:r>
          </w:p>
        </w:tc>
        <w:tc>
          <w:tcPr>
            <w:tcW w:w="4084" w:type="dxa"/>
            <w:noWrap w:val="0"/>
            <w:vAlign w:val="center"/>
          </w:tcPr>
          <w:p w14:paraId="56EE224C">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±0.3 mg/L</w:t>
            </w:r>
          </w:p>
        </w:tc>
      </w:tr>
      <w:tr w14:paraId="507B89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43" w:type="dxa"/>
            <w:vMerge w:val="continue"/>
            <w:noWrap w:val="0"/>
            <w:vAlign w:val="center"/>
          </w:tcPr>
          <w:p w14:paraId="50D22C46">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0840E15F">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1799180F">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MTBF</w:t>
            </w:r>
          </w:p>
        </w:tc>
        <w:tc>
          <w:tcPr>
            <w:tcW w:w="4084" w:type="dxa"/>
            <w:noWrap w:val="0"/>
            <w:vAlign w:val="center"/>
          </w:tcPr>
          <w:p w14:paraId="7DB48817">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≥720 h/次</w:t>
            </w:r>
          </w:p>
        </w:tc>
      </w:tr>
      <w:tr w14:paraId="186334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443" w:type="dxa"/>
            <w:vMerge w:val="continue"/>
            <w:noWrap w:val="0"/>
            <w:vAlign w:val="center"/>
          </w:tcPr>
          <w:p w14:paraId="4341EABB">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3617DB4C">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4973E5FD">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实际水样比对试验</w:t>
            </w:r>
          </w:p>
        </w:tc>
        <w:tc>
          <w:tcPr>
            <w:tcW w:w="4084" w:type="dxa"/>
            <w:noWrap w:val="0"/>
            <w:vAlign w:val="center"/>
          </w:tcPr>
          <w:p w14:paraId="55EA7521">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±0.3 mg/L</w:t>
            </w:r>
          </w:p>
        </w:tc>
      </w:tr>
      <w:tr w14:paraId="5E4020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43" w:type="dxa"/>
            <w:vMerge w:val="continue"/>
            <w:noWrap w:val="0"/>
            <w:vAlign w:val="center"/>
          </w:tcPr>
          <w:p w14:paraId="5566EE2E">
            <w:pPr>
              <w:jc w:val="center"/>
              <w:rPr>
                <w:rFonts w:hint="default" w:ascii="Times New Roman" w:hAnsi="Times New Roman" w:eastAsia="宋体" w:cs="Times New Roman"/>
                <w:kern w:val="0"/>
                <w:sz w:val="21"/>
                <w:szCs w:val="24"/>
                <w:highlight w:val="none"/>
              </w:rPr>
            </w:pPr>
          </w:p>
        </w:tc>
        <w:tc>
          <w:tcPr>
            <w:tcW w:w="1790" w:type="dxa"/>
            <w:vMerge w:val="restart"/>
            <w:noWrap w:val="0"/>
            <w:vAlign w:val="center"/>
          </w:tcPr>
          <w:p w14:paraId="4127717B">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电导率</w:t>
            </w:r>
          </w:p>
        </w:tc>
        <w:tc>
          <w:tcPr>
            <w:tcW w:w="2311" w:type="dxa"/>
            <w:noWrap w:val="0"/>
            <w:vAlign w:val="center"/>
          </w:tcPr>
          <w:p w14:paraId="10F29533">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最小检测范围</w:t>
            </w:r>
          </w:p>
        </w:tc>
        <w:tc>
          <w:tcPr>
            <w:tcW w:w="4084" w:type="dxa"/>
            <w:noWrap w:val="0"/>
            <w:vAlign w:val="center"/>
          </w:tcPr>
          <w:p w14:paraId="0B7E1291">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0～500 mS/m（0～40℃），可调</w:t>
            </w:r>
          </w:p>
        </w:tc>
      </w:tr>
      <w:tr w14:paraId="49F4B0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443" w:type="dxa"/>
            <w:vMerge w:val="continue"/>
            <w:noWrap w:val="0"/>
            <w:vAlign w:val="center"/>
          </w:tcPr>
          <w:p w14:paraId="6F15B7E9">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49B7DA5B">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0A46DB43">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重复性误差</w:t>
            </w:r>
          </w:p>
        </w:tc>
        <w:tc>
          <w:tcPr>
            <w:tcW w:w="4084" w:type="dxa"/>
            <w:noWrap w:val="0"/>
            <w:vAlign w:val="center"/>
          </w:tcPr>
          <w:p w14:paraId="6F42E209">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w:t>
            </w:r>
          </w:p>
        </w:tc>
      </w:tr>
      <w:tr w14:paraId="6414E2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43" w:type="dxa"/>
            <w:vMerge w:val="continue"/>
            <w:tcBorders>
              <w:top w:val="single" w:color="auto" w:sz="4" w:space="0"/>
            </w:tcBorders>
            <w:noWrap w:val="0"/>
            <w:vAlign w:val="center"/>
          </w:tcPr>
          <w:p w14:paraId="48EBD037">
            <w:pPr>
              <w:jc w:val="center"/>
              <w:rPr>
                <w:rFonts w:hint="default" w:ascii="Times New Roman" w:hAnsi="Times New Roman" w:eastAsia="宋体" w:cs="Times New Roman"/>
                <w:kern w:val="0"/>
                <w:sz w:val="21"/>
                <w:szCs w:val="24"/>
                <w:highlight w:val="none"/>
              </w:rPr>
            </w:pPr>
          </w:p>
        </w:tc>
        <w:tc>
          <w:tcPr>
            <w:tcW w:w="1790" w:type="dxa"/>
            <w:vMerge w:val="continue"/>
            <w:tcBorders>
              <w:top w:val="single" w:color="auto" w:sz="4" w:space="0"/>
            </w:tcBorders>
            <w:noWrap w:val="0"/>
            <w:vAlign w:val="center"/>
          </w:tcPr>
          <w:p w14:paraId="5D53DF9F">
            <w:pPr>
              <w:jc w:val="center"/>
              <w:rPr>
                <w:rFonts w:hint="default" w:ascii="Times New Roman" w:hAnsi="Times New Roman" w:eastAsia="宋体" w:cs="Times New Roman"/>
                <w:kern w:val="0"/>
                <w:sz w:val="21"/>
                <w:szCs w:val="24"/>
                <w:highlight w:val="none"/>
              </w:rPr>
            </w:pPr>
          </w:p>
        </w:tc>
        <w:tc>
          <w:tcPr>
            <w:tcW w:w="2311" w:type="dxa"/>
            <w:tcBorders>
              <w:top w:val="single" w:color="auto" w:sz="4" w:space="0"/>
            </w:tcBorders>
            <w:noWrap w:val="0"/>
            <w:vAlign w:val="center"/>
          </w:tcPr>
          <w:p w14:paraId="7FB4631C">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零点漂移</w:t>
            </w:r>
          </w:p>
        </w:tc>
        <w:tc>
          <w:tcPr>
            <w:tcW w:w="4084" w:type="dxa"/>
            <w:noWrap w:val="0"/>
            <w:vAlign w:val="center"/>
          </w:tcPr>
          <w:p w14:paraId="656CD58D">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w:t>
            </w:r>
          </w:p>
        </w:tc>
      </w:tr>
      <w:tr w14:paraId="610A75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43" w:type="dxa"/>
            <w:vMerge w:val="continue"/>
            <w:noWrap w:val="0"/>
            <w:vAlign w:val="center"/>
          </w:tcPr>
          <w:p w14:paraId="308C17E7">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22461052">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542EF7EA">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量程漂移</w:t>
            </w:r>
          </w:p>
        </w:tc>
        <w:tc>
          <w:tcPr>
            <w:tcW w:w="4084" w:type="dxa"/>
            <w:noWrap w:val="0"/>
            <w:vAlign w:val="center"/>
          </w:tcPr>
          <w:p w14:paraId="7FD66C03">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w:t>
            </w:r>
          </w:p>
        </w:tc>
      </w:tr>
      <w:tr w14:paraId="048F03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43" w:type="dxa"/>
            <w:vMerge w:val="continue"/>
            <w:noWrap w:val="0"/>
            <w:vAlign w:val="center"/>
          </w:tcPr>
          <w:p w14:paraId="1D70CBB2">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0D77661B">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2FFD238B">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响应时间（T90）</w:t>
            </w:r>
          </w:p>
        </w:tc>
        <w:tc>
          <w:tcPr>
            <w:tcW w:w="4084" w:type="dxa"/>
            <w:noWrap w:val="0"/>
            <w:vAlign w:val="center"/>
          </w:tcPr>
          <w:p w14:paraId="0902E75D">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≤30s</w:t>
            </w:r>
          </w:p>
        </w:tc>
      </w:tr>
      <w:tr w14:paraId="3AA36F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43" w:type="dxa"/>
            <w:vMerge w:val="continue"/>
            <w:noWrap w:val="0"/>
            <w:vAlign w:val="center"/>
          </w:tcPr>
          <w:p w14:paraId="55C736A0">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71D4FF0E">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58AD5043">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温度补偿精度</w:t>
            </w:r>
          </w:p>
        </w:tc>
        <w:tc>
          <w:tcPr>
            <w:tcW w:w="4084" w:type="dxa"/>
            <w:noWrap w:val="0"/>
            <w:vAlign w:val="center"/>
          </w:tcPr>
          <w:p w14:paraId="00300F71">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w:t>
            </w:r>
          </w:p>
        </w:tc>
      </w:tr>
      <w:tr w14:paraId="688524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43" w:type="dxa"/>
            <w:vMerge w:val="continue"/>
            <w:noWrap w:val="0"/>
            <w:vAlign w:val="center"/>
          </w:tcPr>
          <w:p w14:paraId="529484B6">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34C7E5A2">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5359A922">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MTBF</w:t>
            </w:r>
          </w:p>
        </w:tc>
        <w:tc>
          <w:tcPr>
            <w:tcW w:w="4084" w:type="dxa"/>
            <w:noWrap w:val="0"/>
            <w:vAlign w:val="center"/>
          </w:tcPr>
          <w:p w14:paraId="494C3BBA">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≥720h/次</w:t>
            </w:r>
          </w:p>
        </w:tc>
      </w:tr>
      <w:tr w14:paraId="48B2D4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443" w:type="dxa"/>
            <w:vMerge w:val="continue"/>
            <w:noWrap w:val="0"/>
            <w:vAlign w:val="center"/>
          </w:tcPr>
          <w:p w14:paraId="0AC222FF">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502EDBF0">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7B3D4DF4">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实际水样比对试验</w:t>
            </w:r>
          </w:p>
        </w:tc>
        <w:tc>
          <w:tcPr>
            <w:tcW w:w="4084" w:type="dxa"/>
            <w:noWrap w:val="0"/>
            <w:vAlign w:val="center"/>
          </w:tcPr>
          <w:p w14:paraId="1C7BA56D">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±10%</w:t>
            </w:r>
          </w:p>
        </w:tc>
      </w:tr>
      <w:tr w14:paraId="3FA5BF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31E16C43">
            <w:pPr>
              <w:jc w:val="center"/>
              <w:rPr>
                <w:rFonts w:hint="default" w:ascii="Times New Roman" w:hAnsi="Times New Roman" w:eastAsia="宋体" w:cs="Times New Roman"/>
                <w:kern w:val="0"/>
                <w:sz w:val="21"/>
                <w:szCs w:val="24"/>
                <w:highlight w:val="none"/>
              </w:rPr>
            </w:pPr>
          </w:p>
        </w:tc>
        <w:tc>
          <w:tcPr>
            <w:tcW w:w="1790" w:type="dxa"/>
            <w:vMerge w:val="restart"/>
            <w:noWrap w:val="0"/>
            <w:vAlign w:val="center"/>
          </w:tcPr>
          <w:p w14:paraId="0ABA6F3D">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浊度</w:t>
            </w:r>
          </w:p>
        </w:tc>
        <w:tc>
          <w:tcPr>
            <w:tcW w:w="2311" w:type="dxa"/>
            <w:noWrap w:val="0"/>
            <w:vAlign w:val="center"/>
          </w:tcPr>
          <w:p w14:paraId="008B28AC">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检测范围</w:t>
            </w:r>
          </w:p>
        </w:tc>
        <w:tc>
          <w:tcPr>
            <w:tcW w:w="4084" w:type="dxa"/>
            <w:noWrap w:val="0"/>
            <w:vAlign w:val="center"/>
          </w:tcPr>
          <w:p w14:paraId="128870F7">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0～1000NTU，可调</w:t>
            </w:r>
          </w:p>
        </w:tc>
      </w:tr>
      <w:tr w14:paraId="3E06EE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58EA295C">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7B108775">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5517D8AF">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重复性</w:t>
            </w:r>
          </w:p>
        </w:tc>
        <w:tc>
          <w:tcPr>
            <w:tcW w:w="4084" w:type="dxa"/>
            <w:noWrap w:val="0"/>
            <w:vAlign w:val="center"/>
          </w:tcPr>
          <w:p w14:paraId="28C0F420">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±5%</w:t>
            </w:r>
          </w:p>
        </w:tc>
      </w:tr>
      <w:tr w14:paraId="0B3195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05942BD0">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08CBBBBE">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7942AA26">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零点漂移</w:t>
            </w:r>
          </w:p>
        </w:tc>
        <w:tc>
          <w:tcPr>
            <w:tcW w:w="4084" w:type="dxa"/>
            <w:noWrap w:val="0"/>
            <w:vAlign w:val="center"/>
          </w:tcPr>
          <w:p w14:paraId="6528D9E4">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±3%</w:t>
            </w:r>
          </w:p>
        </w:tc>
      </w:tr>
      <w:tr w14:paraId="20E836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0C3C1614">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6DF66319">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7664029C">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量程漂移</w:t>
            </w:r>
          </w:p>
        </w:tc>
        <w:tc>
          <w:tcPr>
            <w:tcW w:w="4084" w:type="dxa"/>
            <w:noWrap w:val="0"/>
            <w:vAlign w:val="center"/>
          </w:tcPr>
          <w:p w14:paraId="20F17439">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±5%</w:t>
            </w:r>
          </w:p>
        </w:tc>
      </w:tr>
      <w:tr w14:paraId="47C6C7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29FE2D85">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4A257E0C">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66203E3E">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线性误差</w:t>
            </w:r>
          </w:p>
        </w:tc>
        <w:tc>
          <w:tcPr>
            <w:tcW w:w="4084" w:type="dxa"/>
            <w:noWrap w:val="0"/>
            <w:vAlign w:val="center"/>
          </w:tcPr>
          <w:p w14:paraId="7F1A6C2A">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±5%</w:t>
            </w:r>
          </w:p>
        </w:tc>
      </w:tr>
      <w:tr w14:paraId="5F840C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3EA12837">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5191C22B">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174A6383">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MTBF</w:t>
            </w:r>
          </w:p>
        </w:tc>
        <w:tc>
          <w:tcPr>
            <w:tcW w:w="4084" w:type="dxa"/>
            <w:noWrap w:val="0"/>
            <w:vAlign w:val="center"/>
          </w:tcPr>
          <w:p w14:paraId="451B9FF0">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≥720h/次</w:t>
            </w:r>
          </w:p>
        </w:tc>
      </w:tr>
      <w:tr w14:paraId="16933C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3B13A731">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1F418DD2">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29D1794F">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实际水样比对试验</w:t>
            </w:r>
          </w:p>
        </w:tc>
        <w:tc>
          <w:tcPr>
            <w:tcW w:w="4084" w:type="dxa"/>
            <w:noWrap w:val="0"/>
            <w:vAlign w:val="center"/>
          </w:tcPr>
          <w:p w14:paraId="5D911AC6">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±10%</w:t>
            </w:r>
          </w:p>
        </w:tc>
      </w:tr>
      <w:tr w14:paraId="2355C4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17644D03">
            <w:pPr>
              <w:jc w:val="center"/>
              <w:rPr>
                <w:rFonts w:hint="default" w:ascii="Times New Roman" w:hAnsi="Times New Roman" w:eastAsia="宋体" w:cs="Times New Roman"/>
                <w:kern w:val="0"/>
                <w:sz w:val="21"/>
                <w:szCs w:val="24"/>
                <w:highlight w:val="none"/>
              </w:rPr>
            </w:pPr>
          </w:p>
        </w:tc>
        <w:tc>
          <w:tcPr>
            <w:tcW w:w="1790" w:type="dxa"/>
            <w:vMerge w:val="restart"/>
            <w:noWrap w:val="0"/>
            <w:vAlign w:val="center"/>
          </w:tcPr>
          <w:p w14:paraId="5049BDC2">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高锰酸盐指数</w:t>
            </w:r>
          </w:p>
        </w:tc>
        <w:tc>
          <w:tcPr>
            <w:tcW w:w="2311" w:type="dxa"/>
            <w:noWrap w:val="0"/>
            <w:vAlign w:val="center"/>
          </w:tcPr>
          <w:p w14:paraId="770094F1">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检测范围</w:t>
            </w:r>
          </w:p>
        </w:tc>
        <w:tc>
          <w:tcPr>
            <w:tcW w:w="4084" w:type="dxa"/>
            <w:noWrap w:val="0"/>
            <w:vAlign w:val="center"/>
          </w:tcPr>
          <w:p w14:paraId="2B93627E">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0～20mg/L</w:t>
            </w:r>
          </w:p>
        </w:tc>
      </w:tr>
      <w:tr w14:paraId="419331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524B00B0">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64851D2B">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2A814F9B">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零点漂移</w:t>
            </w:r>
          </w:p>
        </w:tc>
        <w:tc>
          <w:tcPr>
            <w:tcW w:w="4084" w:type="dxa"/>
            <w:noWrap w:val="0"/>
            <w:vAlign w:val="center"/>
          </w:tcPr>
          <w:p w14:paraId="7552DE96">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±5%</w:t>
            </w:r>
          </w:p>
        </w:tc>
      </w:tr>
      <w:tr w14:paraId="41274D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3C4431BA">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68D74B2D">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68F19E0E">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量程漂移</w:t>
            </w:r>
          </w:p>
        </w:tc>
        <w:tc>
          <w:tcPr>
            <w:tcW w:w="4084" w:type="dxa"/>
            <w:noWrap w:val="0"/>
            <w:vAlign w:val="center"/>
          </w:tcPr>
          <w:p w14:paraId="7DB16CEA">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±5%</w:t>
            </w:r>
          </w:p>
        </w:tc>
      </w:tr>
      <w:tr w14:paraId="56A619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212F80AB">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573804ED">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0D72AB65">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葡萄糖试验</w:t>
            </w:r>
          </w:p>
        </w:tc>
        <w:tc>
          <w:tcPr>
            <w:tcW w:w="4084" w:type="dxa"/>
            <w:noWrap w:val="0"/>
            <w:vAlign w:val="center"/>
          </w:tcPr>
          <w:p w14:paraId="752CDCB5">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±5%（测量误差）</w:t>
            </w:r>
          </w:p>
        </w:tc>
      </w:tr>
      <w:tr w14:paraId="06A6A9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07E224E4">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562E004A">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26F52204">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重复性</w:t>
            </w:r>
          </w:p>
        </w:tc>
        <w:tc>
          <w:tcPr>
            <w:tcW w:w="4084" w:type="dxa"/>
            <w:noWrap w:val="0"/>
            <w:vAlign w:val="center"/>
          </w:tcPr>
          <w:p w14:paraId="3861F75E">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±5%</w:t>
            </w:r>
          </w:p>
        </w:tc>
      </w:tr>
      <w:tr w14:paraId="64E1E5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72E84744">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1FBA891F">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7FE25F62">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检出限</w:t>
            </w:r>
          </w:p>
        </w:tc>
        <w:tc>
          <w:tcPr>
            <w:tcW w:w="4084" w:type="dxa"/>
            <w:noWrap w:val="0"/>
            <w:vAlign w:val="center"/>
          </w:tcPr>
          <w:p w14:paraId="607CC2F4">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≤0.5 mg/L</w:t>
            </w:r>
          </w:p>
        </w:tc>
      </w:tr>
      <w:tr w14:paraId="24DF45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7B727CF6">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5C159521">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757D8E9A">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MTBF</w:t>
            </w:r>
          </w:p>
        </w:tc>
        <w:tc>
          <w:tcPr>
            <w:tcW w:w="4084" w:type="dxa"/>
            <w:noWrap w:val="0"/>
            <w:vAlign w:val="center"/>
          </w:tcPr>
          <w:p w14:paraId="369B1A15">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≥720 h/次</w:t>
            </w:r>
          </w:p>
        </w:tc>
      </w:tr>
      <w:tr w14:paraId="21F593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1DF6526B">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2D50B9D0">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2FED69EC">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实际水样比对试验</w:t>
            </w:r>
          </w:p>
        </w:tc>
        <w:tc>
          <w:tcPr>
            <w:tcW w:w="4084" w:type="dxa"/>
            <w:noWrap w:val="0"/>
            <w:vAlign w:val="center"/>
          </w:tcPr>
          <w:p w14:paraId="45ABF070">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按HJ915-2017执行</w:t>
            </w:r>
          </w:p>
        </w:tc>
      </w:tr>
      <w:tr w14:paraId="7E6209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531DE404">
            <w:pPr>
              <w:jc w:val="center"/>
              <w:rPr>
                <w:rFonts w:hint="default" w:ascii="Times New Roman" w:hAnsi="Times New Roman" w:eastAsia="宋体" w:cs="Times New Roman"/>
                <w:kern w:val="0"/>
                <w:sz w:val="21"/>
                <w:szCs w:val="24"/>
                <w:highlight w:val="none"/>
              </w:rPr>
            </w:pPr>
          </w:p>
        </w:tc>
        <w:tc>
          <w:tcPr>
            <w:tcW w:w="1790" w:type="dxa"/>
            <w:vMerge w:val="restart"/>
            <w:noWrap w:val="0"/>
            <w:vAlign w:val="center"/>
          </w:tcPr>
          <w:p w14:paraId="6E71C196">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氨氮</w:t>
            </w:r>
          </w:p>
        </w:tc>
        <w:tc>
          <w:tcPr>
            <w:tcW w:w="2311" w:type="dxa"/>
            <w:noWrap w:val="0"/>
            <w:vAlign w:val="center"/>
          </w:tcPr>
          <w:p w14:paraId="5F57D3A6">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检测范围</w:t>
            </w:r>
          </w:p>
        </w:tc>
        <w:tc>
          <w:tcPr>
            <w:tcW w:w="4084" w:type="dxa"/>
            <w:noWrap w:val="0"/>
            <w:vAlign w:val="center"/>
          </w:tcPr>
          <w:p w14:paraId="30465E40">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0～10 mg/L，可调</w:t>
            </w:r>
          </w:p>
        </w:tc>
      </w:tr>
      <w:tr w14:paraId="0A1E19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7581C7CC">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7FAAE193">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259E62BF">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零点漂移</w:t>
            </w:r>
          </w:p>
        </w:tc>
        <w:tc>
          <w:tcPr>
            <w:tcW w:w="4084" w:type="dxa"/>
            <w:noWrap w:val="0"/>
            <w:vAlign w:val="center"/>
          </w:tcPr>
          <w:p w14:paraId="04C35448">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≤5.0%</w:t>
            </w:r>
          </w:p>
        </w:tc>
      </w:tr>
      <w:tr w14:paraId="42BB38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45CC374C">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77C965C8">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4B20B3D6">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量程漂移</w:t>
            </w:r>
          </w:p>
        </w:tc>
        <w:tc>
          <w:tcPr>
            <w:tcW w:w="4084" w:type="dxa"/>
            <w:noWrap w:val="0"/>
            <w:vAlign w:val="center"/>
          </w:tcPr>
          <w:p w14:paraId="666A236D">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≤5.0%</w:t>
            </w:r>
          </w:p>
        </w:tc>
      </w:tr>
      <w:tr w14:paraId="777E39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6CFB8BD7">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3DF6F50E">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35E4BF8A">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精密度</w:t>
            </w:r>
          </w:p>
        </w:tc>
        <w:tc>
          <w:tcPr>
            <w:tcW w:w="4084" w:type="dxa"/>
            <w:noWrap w:val="0"/>
            <w:vAlign w:val="center"/>
          </w:tcPr>
          <w:p w14:paraId="7885223D">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≤5.0%</w:t>
            </w:r>
          </w:p>
        </w:tc>
      </w:tr>
      <w:tr w14:paraId="623ECF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2E477881">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5E75F12E">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363516C1">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检出限</w:t>
            </w:r>
          </w:p>
        </w:tc>
        <w:tc>
          <w:tcPr>
            <w:tcW w:w="4084" w:type="dxa"/>
            <w:noWrap w:val="0"/>
            <w:vAlign w:val="center"/>
          </w:tcPr>
          <w:p w14:paraId="57759C4E">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≤0.05mg/L</w:t>
            </w:r>
          </w:p>
        </w:tc>
      </w:tr>
      <w:tr w14:paraId="49341C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6222565B">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2E26441E">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0D9EE6F8">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实际水样比对试验</w:t>
            </w:r>
          </w:p>
        </w:tc>
        <w:tc>
          <w:tcPr>
            <w:tcW w:w="4084" w:type="dxa"/>
            <w:noWrap w:val="0"/>
            <w:vAlign w:val="center"/>
          </w:tcPr>
          <w:p w14:paraId="21BF694D">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按HJ915-2017执行</w:t>
            </w:r>
          </w:p>
        </w:tc>
      </w:tr>
      <w:tr w14:paraId="6FFEA5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52ED282D">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2980BDA8">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04C53C6E">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最小维护周期</w:t>
            </w:r>
          </w:p>
        </w:tc>
        <w:tc>
          <w:tcPr>
            <w:tcW w:w="4084" w:type="dxa"/>
            <w:noWrap w:val="0"/>
            <w:vAlign w:val="center"/>
          </w:tcPr>
          <w:p w14:paraId="7FBB41D1">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≥168h</w:t>
            </w:r>
          </w:p>
        </w:tc>
      </w:tr>
      <w:tr w14:paraId="7AC59D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4E703E3B">
            <w:pPr>
              <w:jc w:val="center"/>
              <w:rPr>
                <w:rFonts w:hint="default" w:ascii="Times New Roman" w:hAnsi="Times New Roman" w:eastAsia="宋体" w:cs="Times New Roman"/>
                <w:kern w:val="0"/>
                <w:sz w:val="21"/>
                <w:szCs w:val="24"/>
                <w:highlight w:val="none"/>
              </w:rPr>
            </w:pPr>
          </w:p>
        </w:tc>
        <w:tc>
          <w:tcPr>
            <w:tcW w:w="1790" w:type="dxa"/>
            <w:vMerge w:val="restart"/>
            <w:noWrap w:val="0"/>
            <w:vAlign w:val="center"/>
          </w:tcPr>
          <w:p w14:paraId="4318087C">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总磷</w:t>
            </w:r>
          </w:p>
        </w:tc>
        <w:tc>
          <w:tcPr>
            <w:tcW w:w="2311" w:type="dxa"/>
            <w:noWrap w:val="0"/>
            <w:vAlign w:val="center"/>
          </w:tcPr>
          <w:p w14:paraId="506505F6">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检测范围</w:t>
            </w:r>
          </w:p>
        </w:tc>
        <w:tc>
          <w:tcPr>
            <w:tcW w:w="4084" w:type="dxa"/>
            <w:noWrap w:val="0"/>
            <w:vAlign w:val="center"/>
          </w:tcPr>
          <w:p w14:paraId="4798FC69">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0～2mg/L，可调</w:t>
            </w:r>
          </w:p>
        </w:tc>
      </w:tr>
      <w:tr w14:paraId="5511CB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4EC787DB">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12694077">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0861E34B">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零点漂移</w:t>
            </w:r>
          </w:p>
        </w:tc>
        <w:tc>
          <w:tcPr>
            <w:tcW w:w="4084" w:type="dxa"/>
            <w:noWrap w:val="0"/>
            <w:vAlign w:val="center"/>
          </w:tcPr>
          <w:p w14:paraId="0521ABD2">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±5%</w:t>
            </w:r>
          </w:p>
        </w:tc>
      </w:tr>
      <w:tr w14:paraId="46544F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749EC84A">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7A9589AD">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590D5FAD">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量程漂移</w:t>
            </w:r>
          </w:p>
        </w:tc>
        <w:tc>
          <w:tcPr>
            <w:tcW w:w="4084" w:type="dxa"/>
            <w:noWrap w:val="0"/>
            <w:vAlign w:val="center"/>
          </w:tcPr>
          <w:p w14:paraId="52A69D08">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±10%</w:t>
            </w:r>
          </w:p>
        </w:tc>
      </w:tr>
      <w:tr w14:paraId="1BEFDC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690C84B4">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6B0C66FB">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063C3D58">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准确性</w:t>
            </w:r>
          </w:p>
        </w:tc>
        <w:tc>
          <w:tcPr>
            <w:tcW w:w="4084" w:type="dxa"/>
            <w:noWrap w:val="0"/>
            <w:vAlign w:val="center"/>
          </w:tcPr>
          <w:p w14:paraId="0941B425">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±10%</w:t>
            </w:r>
          </w:p>
        </w:tc>
      </w:tr>
      <w:tr w14:paraId="10DC08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1958B09D">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4CA05906">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75221FC4">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精密度</w:t>
            </w:r>
          </w:p>
        </w:tc>
        <w:tc>
          <w:tcPr>
            <w:tcW w:w="4084" w:type="dxa"/>
            <w:noWrap w:val="0"/>
            <w:vAlign w:val="center"/>
          </w:tcPr>
          <w:p w14:paraId="3B7603DD">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±10%</w:t>
            </w:r>
          </w:p>
        </w:tc>
      </w:tr>
      <w:tr w14:paraId="6B3E9C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35AAC189">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216DD8B6">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5AA6BBD9">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检出限</w:t>
            </w:r>
          </w:p>
        </w:tc>
        <w:tc>
          <w:tcPr>
            <w:tcW w:w="4084" w:type="dxa"/>
            <w:noWrap w:val="0"/>
            <w:vAlign w:val="center"/>
          </w:tcPr>
          <w:p w14:paraId="2C65EA57">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≤0.01mg/L</w:t>
            </w:r>
          </w:p>
        </w:tc>
      </w:tr>
      <w:tr w14:paraId="62A4AF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2505857C">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4A394BB0">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4A2D5B69">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MTBF</w:t>
            </w:r>
          </w:p>
        </w:tc>
        <w:tc>
          <w:tcPr>
            <w:tcW w:w="4084" w:type="dxa"/>
            <w:noWrap w:val="0"/>
            <w:vAlign w:val="center"/>
          </w:tcPr>
          <w:p w14:paraId="6D26BFE1">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≥720h/次</w:t>
            </w:r>
          </w:p>
        </w:tc>
      </w:tr>
      <w:tr w14:paraId="44366D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1921A89B">
            <w:pPr>
              <w:jc w:val="center"/>
              <w:rPr>
                <w:rFonts w:hint="default" w:ascii="Times New Roman" w:hAnsi="Times New Roman" w:eastAsia="宋体" w:cs="Times New Roman"/>
                <w:kern w:val="0"/>
                <w:sz w:val="21"/>
                <w:szCs w:val="24"/>
                <w:highlight w:val="none"/>
              </w:rPr>
            </w:pPr>
          </w:p>
        </w:tc>
        <w:tc>
          <w:tcPr>
            <w:tcW w:w="1790" w:type="dxa"/>
            <w:vMerge w:val="continue"/>
            <w:noWrap w:val="0"/>
            <w:vAlign w:val="center"/>
          </w:tcPr>
          <w:p w14:paraId="28006109">
            <w:pPr>
              <w:jc w:val="center"/>
              <w:rPr>
                <w:rFonts w:hint="default" w:ascii="Times New Roman" w:hAnsi="Times New Roman" w:eastAsia="宋体" w:cs="Times New Roman"/>
                <w:kern w:val="0"/>
                <w:sz w:val="21"/>
                <w:szCs w:val="24"/>
                <w:highlight w:val="none"/>
              </w:rPr>
            </w:pPr>
          </w:p>
        </w:tc>
        <w:tc>
          <w:tcPr>
            <w:tcW w:w="2311" w:type="dxa"/>
            <w:noWrap w:val="0"/>
            <w:vAlign w:val="center"/>
          </w:tcPr>
          <w:p w14:paraId="6A81ACE3">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实际水样比对试验</w:t>
            </w:r>
          </w:p>
        </w:tc>
        <w:tc>
          <w:tcPr>
            <w:tcW w:w="4084" w:type="dxa"/>
            <w:noWrap w:val="0"/>
            <w:vAlign w:val="center"/>
          </w:tcPr>
          <w:p w14:paraId="41C7EA6D">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按HJ915-2017执行</w:t>
            </w:r>
          </w:p>
        </w:tc>
      </w:tr>
      <w:tr w14:paraId="2F8668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3" w:type="dxa"/>
            <w:vMerge w:val="restart"/>
            <w:noWrap w:val="0"/>
            <w:vAlign w:val="center"/>
          </w:tcPr>
          <w:p w14:paraId="535108BE">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功能要求</w:t>
            </w:r>
          </w:p>
        </w:tc>
        <w:tc>
          <w:tcPr>
            <w:tcW w:w="8185" w:type="dxa"/>
            <w:gridSpan w:val="3"/>
            <w:noWrap w:val="0"/>
            <w:vAlign w:val="center"/>
          </w:tcPr>
          <w:p w14:paraId="6B18B40B">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具有分析仪器过程日志记录功能</w:t>
            </w:r>
          </w:p>
        </w:tc>
      </w:tr>
      <w:tr w14:paraId="6550C5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3" w:type="dxa"/>
            <w:vMerge w:val="continue"/>
            <w:noWrap w:val="0"/>
            <w:vAlign w:val="center"/>
          </w:tcPr>
          <w:p w14:paraId="43DBDDE2">
            <w:pPr>
              <w:jc w:val="center"/>
              <w:rPr>
                <w:rFonts w:hint="default" w:ascii="Times New Roman" w:hAnsi="Times New Roman" w:eastAsia="宋体" w:cs="Times New Roman"/>
                <w:kern w:val="0"/>
                <w:sz w:val="21"/>
                <w:szCs w:val="24"/>
                <w:highlight w:val="none"/>
              </w:rPr>
            </w:pPr>
          </w:p>
        </w:tc>
        <w:tc>
          <w:tcPr>
            <w:tcW w:w="8185" w:type="dxa"/>
            <w:gridSpan w:val="3"/>
            <w:noWrap w:val="0"/>
            <w:vAlign w:val="center"/>
          </w:tcPr>
          <w:p w14:paraId="03C01B48">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存储不少于1个月的原始数据和运行日志</w:t>
            </w:r>
          </w:p>
        </w:tc>
      </w:tr>
      <w:tr w14:paraId="5E29ED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3" w:type="dxa"/>
            <w:vMerge w:val="continue"/>
            <w:noWrap w:val="0"/>
            <w:vAlign w:val="center"/>
          </w:tcPr>
          <w:p w14:paraId="28D539C0">
            <w:pPr>
              <w:jc w:val="center"/>
              <w:rPr>
                <w:rFonts w:hint="default" w:ascii="Times New Roman" w:hAnsi="Times New Roman" w:eastAsia="宋体" w:cs="Times New Roman"/>
                <w:kern w:val="0"/>
                <w:sz w:val="21"/>
                <w:szCs w:val="24"/>
                <w:highlight w:val="none"/>
              </w:rPr>
            </w:pPr>
          </w:p>
        </w:tc>
        <w:tc>
          <w:tcPr>
            <w:tcW w:w="8185" w:type="dxa"/>
            <w:gridSpan w:val="3"/>
            <w:noWrap w:val="0"/>
            <w:vAlign w:val="center"/>
          </w:tcPr>
          <w:p w14:paraId="0E376841">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能接受远程控制指令(常规五参数、叶绿素a、藻密度除外)</w:t>
            </w:r>
          </w:p>
        </w:tc>
      </w:tr>
      <w:tr w14:paraId="3D41C7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3" w:type="dxa"/>
            <w:vMerge w:val="continue"/>
            <w:noWrap w:val="0"/>
            <w:vAlign w:val="center"/>
          </w:tcPr>
          <w:p w14:paraId="448CF2FD">
            <w:pPr>
              <w:jc w:val="center"/>
              <w:rPr>
                <w:rFonts w:hint="default" w:ascii="Times New Roman" w:hAnsi="Times New Roman" w:eastAsia="宋体" w:cs="Times New Roman"/>
                <w:kern w:val="0"/>
                <w:sz w:val="21"/>
                <w:szCs w:val="24"/>
                <w:highlight w:val="none"/>
              </w:rPr>
            </w:pPr>
          </w:p>
        </w:tc>
        <w:tc>
          <w:tcPr>
            <w:tcW w:w="8185" w:type="dxa"/>
            <w:gridSpan w:val="3"/>
            <w:noWrap w:val="0"/>
            <w:vAlign w:val="center"/>
          </w:tcPr>
          <w:p w14:paraId="2A1F9375">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具有仪器运行周期（连续或间歇）设置功能</w:t>
            </w:r>
          </w:p>
        </w:tc>
      </w:tr>
      <w:tr w14:paraId="305F12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noWrap w:val="0"/>
            <w:vAlign w:val="center"/>
          </w:tcPr>
          <w:p w14:paraId="19790DB9">
            <w:pPr>
              <w:jc w:val="center"/>
              <w:rPr>
                <w:rFonts w:hint="default" w:ascii="Times New Roman" w:hAnsi="Times New Roman" w:eastAsia="宋体" w:cs="Times New Roman"/>
                <w:kern w:val="0"/>
                <w:sz w:val="21"/>
                <w:szCs w:val="24"/>
                <w:highlight w:val="none"/>
              </w:rPr>
            </w:pPr>
          </w:p>
        </w:tc>
        <w:tc>
          <w:tcPr>
            <w:tcW w:w="8185" w:type="dxa"/>
            <w:gridSpan w:val="3"/>
            <w:noWrap w:val="0"/>
            <w:vAlign w:val="center"/>
          </w:tcPr>
          <w:p w14:paraId="7C4DB415">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具有异常信息记录、上传功能，如零部件故障、超量程报警、超标报警、缺</w:t>
            </w:r>
          </w:p>
        </w:tc>
      </w:tr>
      <w:tr w14:paraId="295A0C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443" w:type="dxa"/>
            <w:vMerge w:val="continue"/>
            <w:noWrap w:val="0"/>
            <w:vAlign w:val="center"/>
          </w:tcPr>
          <w:p w14:paraId="12E59713">
            <w:pPr>
              <w:jc w:val="center"/>
              <w:rPr>
                <w:rFonts w:hint="default" w:ascii="Times New Roman" w:hAnsi="Times New Roman" w:eastAsia="宋体" w:cs="Times New Roman"/>
                <w:kern w:val="0"/>
                <w:sz w:val="21"/>
                <w:szCs w:val="24"/>
                <w:highlight w:val="none"/>
              </w:rPr>
            </w:pPr>
          </w:p>
        </w:tc>
        <w:tc>
          <w:tcPr>
            <w:tcW w:w="8185" w:type="dxa"/>
            <w:gridSpan w:val="3"/>
            <w:noWrap w:val="0"/>
            <w:vAlign w:val="center"/>
          </w:tcPr>
          <w:p w14:paraId="0C8634E8">
            <w:pPr>
              <w:jc w:val="center"/>
              <w:rPr>
                <w:rFonts w:hint="default" w:ascii="Times New Roman" w:hAnsi="Times New Roman" w:eastAsia="宋体" w:cs="Times New Roman"/>
                <w:kern w:val="0"/>
                <w:sz w:val="21"/>
                <w:szCs w:val="24"/>
                <w:highlight w:val="none"/>
              </w:rPr>
            </w:pPr>
          </w:p>
        </w:tc>
      </w:tr>
      <w:tr w14:paraId="795213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43" w:type="dxa"/>
            <w:vMerge w:val="continue"/>
            <w:noWrap w:val="0"/>
            <w:vAlign w:val="center"/>
          </w:tcPr>
          <w:p w14:paraId="0F7993CE">
            <w:pPr>
              <w:jc w:val="center"/>
              <w:rPr>
                <w:rFonts w:hint="default" w:ascii="Times New Roman" w:hAnsi="Times New Roman" w:eastAsia="宋体" w:cs="Times New Roman"/>
                <w:kern w:val="0"/>
                <w:sz w:val="21"/>
                <w:szCs w:val="24"/>
                <w:highlight w:val="none"/>
              </w:rPr>
            </w:pPr>
          </w:p>
        </w:tc>
        <w:tc>
          <w:tcPr>
            <w:tcW w:w="8185" w:type="dxa"/>
            <w:gridSpan w:val="3"/>
            <w:noWrap w:val="0"/>
            <w:vAlign w:val="center"/>
          </w:tcPr>
          <w:p w14:paraId="6B1F8E05">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试剂报警等信息</w:t>
            </w:r>
          </w:p>
        </w:tc>
      </w:tr>
      <w:tr w14:paraId="380B18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3" w:type="dxa"/>
            <w:vMerge w:val="continue"/>
            <w:noWrap w:val="0"/>
            <w:vAlign w:val="center"/>
          </w:tcPr>
          <w:p w14:paraId="677316AE">
            <w:pPr>
              <w:jc w:val="center"/>
              <w:rPr>
                <w:rFonts w:hint="default" w:ascii="Times New Roman" w:hAnsi="Times New Roman" w:eastAsia="宋体" w:cs="Times New Roman"/>
                <w:kern w:val="0"/>
                <w:sz w:val="21"/>
                <w:szCs w:val="24"/>
                <w:highlight w:val="none"/>
              </w:rPr>
            </w:pPr>
          </w:p>
        </w:tc>
        <w:tc>
          <w:tcPr>
            <w:tcW w:w="8185" w:type="dxa"/>
            <w:gridSpan w:val="3"/>
            <w:noWrap w:val="0"/>
            <w:vAlign w:val="center"/>
          </w:tcPr>
          <w:p w14:paraId="6B26623A">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具有仪器状态(如测量、空闲、故障、维护等)显示</w:t>
            </w:r>
          </w:p>
        </w:tc>
      </w:tr>
      <w:tr w14:paraId="0FEEF6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43" w:type="dxa"/>
            <w:vMerge w:val="continue"/>
            <w:noWrap w:val="0"/>
            <w:vAlign w:val="center"/>
          </w:tcPr>
          <w:p w14:paraId="2EEDC09F">
            <w:pPr>
              <w:jc w:val="center"/>
              <w:rPr>
                <w:rFonts w:hint="default" w:ascii="Times New Roman" w:hAnsi="Times New Roman" w:eastAsia="宋体" w:cs="Times New Roman"/>
                <w:kern w:val="0"/>
                <w:sz w:val="21"/>
                <w:szCs w:val="24"/>
                <w:highlight w:val="none"/>
              </w:rPr>
            </w:pPr>
          </w:p>
        </w:tc>
        <w:tc>
          <w:tcPr>
            <w:tcW w:w="8185" w:type="dxa"/>
            <w:gridSpan w:val="3"/>
            <w:noWrap w:val="0"/>
            <w:vAlign w:val="center"/>
          </w:tcPr>
          <w:p w14:paraId="1FAE4314">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具有RS-232或RS-485标准通讯接口</w:t>
            </w:r>
          </w:p>
        </w:tc>
      </w:tr>
      <w:tr w14:paraId="3EE819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3" w:type="dxa"/>
            <w:vMerge w:val="continue"/>
            <w:noWrap w:val="0"/>
            <w:vAlign w:val="center"/>
          </w:tcPr>
          <w:p w14:paraId="0BD0BF5B">
            <w:pPr>
              <w:jc w:val="center"/>
              <w:rPr>
                <w:rFonts w:hint="default" w:ascii="Times New Roman" w:hAnsi="Times New Roman" w:eastAsia="宋体" w:cs="Times New Roman"/>
                <w:kern w:val="0"/>
                <w:sz w:val="21"/>
                <w:szCs w:val="24"/>
                <w:highlight w:val="none"/>
              </w:rPr>
            </w:pPr>
          </w:p>
        </w:tc>
        <w:tc>
          <w:tcPr>
            <w:tcW w:w="8185" w:type="dxa"/>
            <w:gridSpan w:val="3"/>
            <w:noWrap w:val="0"/>
            <w:vAlign w:val="center"/>
          </w:tcPr>
          <w:p w14:paraId="3737FFC1">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必须支持《国家地表水监测仪器通信协议技术要求》</w:t>
            </w:r>
          </w:p>
        </w:tc>
      </w:tr>
      <w:tr w14:paraId="3E6FBE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3" w:type="dxa"/>
            <w:vMerge w:val="continue"/>
            <w:noWrap w:val="0"/>
            <w:vAlign w:val="center"/>
          </w:tcPr>
          <w:p w14:paraId="4033969D">
            <w:pPr>
              <w:jc w:val="center"/>
              <w:rPr>
                <w:rFonts w:hint="default" w:ascii="Times New Roman" w:hAnsi="Times New Roman" w:eastAsia="宋体" w:cs="Times New Roman"/>
                <w:kern w:val="0"/>
                <w:sz w:val="21"/>
                <w:szCs w:val="24"/>
                <w:highlight w:val="none"/>
              </w:rPr>
            </w:pPr>
          </w:p>
        </w:tc>
        <w:tc>
          <w:tcPr>
            <w:tcW w:w="8185" w:type="dxa"/>
            <w:gridSpan w:val="3"/>
            <w:noWrap w:val="0"/>
            <w:vAlign w:val="center"/>
          </w:tcPr>
          <w:p w14:paraId="2CFEA8EE">
            <w:pPr>
              <w:jc w:val="center"/>
              <w:rPr>
                <w:rFonts w:hint="default" w:ascii="Times New Roman" w:hAnsi="Times New Roman" w:eastAsia="宋体" w:cs="Times New Roman"/>
                <w:kern w:val="0"/>
                <w:sz w:val="21"/>
                <w:szCs w:val="24"/>
                <w:highlight w:val="none"/>
              </w:rPr>
            </w:pPr>
            <w:r>
              <w:rPr>
                <w:rFonts w:hint="default" w:ascii="Times New Roman" w:hAnsi="Times New Roman" w:eastAsia="宋体" w:cs="Times New Roman"/>
                <w:kern w:val="0"/>
                <w:sz w:val="21"/>
                <w:szCs w:val="24"/>
                <w:highlight w:val="none"/>
              </w:rPr>
              <w:t>监测频次4个小时1次，应具备1小时1次的监测能力</w:t>
            </w:r>
          </w:p>
        </w:tc>
      </w:tr>
    </w:tbl>
    <w:p w14:paraId="473214F2">
      <w:pPr>
        <w:tabs>
          <w:tab w:val="left" w:pos="2280"/>
        </w:tabs>
        <w:spacing w:line="560" w:lineRule="exact"/>
        <w:ind w:firstLine="241"/>
        <w:contextualSpacing/>
        <w:jc w:val="both"/>
        <w:rPr>
          <w:rFonts w:hint="default" w:ascii="Times New Roman" w:hAnsi="Times New Roman" w:eastAsia="宋体" w:cs="Times New Roman"/>
          <w:b/>
          <w:kern w:val="0"/>
          <w:sz w:val="24"/>
          <w:szCs w:val="24"/>
          <w:highlight w:val="none"/>
        </w:rPr>
      </w:pPr>
      <w:r>
        <w:rPr>
          <w:rFonts w:hint="eastAsia" w:ascii="宋体" w:hAnsi="宋体" w:eastAsia="宋体" w:cs="Times New Roman"/>
          <w:b/>
          <w:kern w:val="0"/>
          <w:sz w:val="24"/>
          <w:szCs w:val="24"/>
          <w:highlight w:val="none"/>
          <w:lang w:val="en-US" w:eastAsia="zh-CN"/>
        </w:rPr>
        <w:t xml:space="preserve">3.5 </w:t>
      </w:r>
      <w:r>
        <w:rPr>
          <w:rFonts w:hint="default" w:ascii="宋体" w:hAnsi="宋体" w:eastAsia="宋体" w:cs="Times New Roman"/>
          <w:b/>
          <w:kern w:val="0"/>
          <w:sz w:val="24"/>
          <w:szCs w:val="24"/>
          <w:highlight w:val="none"/>
        </w:rPr>
        <w:t>交接工作安排</w:t>
      </w:r>
    </w:p>
    <w:p w14:paraId="1A569B64">
      <w:pPr>
        <w:tabs>
          <w:tab w:val="left" w:pos="2280"/>
        </w:tabs>
        <w:spacing w:line="360" w:lineRule="auto"/>
        <w:ind w:firstLine="480"/>
        <w:contextualSpacing/>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成交单位负责与原业主方对水站正常运行所必须的资产进行清点、测试和查验，以及相关档案资料的移交等。交接内容主要包括：</w:t>
      </w:r>
    </w:p>
    <w:p w14:paraId="7A8FA973">
      <w:pPr>
        <w:tabs>
          <w:tab w:val="left" w:pos="2280"/>
        </w:tabs>
        <w:spacing w:line="360" w:lineRule="auto"/>
        <w:ind w:firstLine="24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 xml:space="preserve">3.5.1 </w:t>
      </w:r>
      <w:r>
        <w:rPr>
          <w:rFonts w:hint="default" w:ascii="宋体" w:hAnsi="宋体" w:eastAsia="宋体" w:cs="Times New Roman"/>
          <w:kern w:val="0"/>
          <w:sz w:val="24"/>
          <w:szCs w:val="24"/>
          <w:highlight w:val="none"/>
        </w:rPr>
        <w:t>站房及其配套设施。主要包括站房主体、防雷设施、质控间和值班室相关配套、供电设施、给排水设施、暖通设施、通讯设施等。</w:t>
      </w:r>
    </w:p>
    <w:p w14:paraId="73398AC6">
      <w:pPr>
        <w:tabs>
          <w:tab w:val="left" w:pos="2280"/>
        </w:tabs>
        <w:spacing w:line="360" w:lineRule="auto"/>
        <w:ind w:firstLine="24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 xml:space="preserve">3.5.2 </w:t>
      </w:r>
      <w:r>
        <w:rPr>
          <w:rFonts w:hint="default" w:ascii="宋体" w:hAnsi="宋体" w:eastAsia="宋体" w:cs="Times New Roman"/>
          <w:kern w:val="0"/>
          <w:sz w:val="24"/>
          <w:szCs w:val="24"/>
          <w:highlight w:val="none"/>
        </w:rPr>
        <w:t>采水设施。主要包括采水构筑物、采水泵、采水管道、清洗配套装置、防堵塞装置和保温配套装置等。</w:t>
      </w:r>
    </w:p>
    <w:p w14:paraId="7A73C65F">
      <w:pPr>
        <w:tabs>
          <w:tab w:val="left" w:pos="2280"/>
        </w:tabs>
        <w:spacing w:line="360" w:lineRule="auto"/>
        <w:ind w:firstLine="24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 xml:space="preserve">3.5.3 </w:t>
      </w:r>
      <w:r>
        <w:rPr>
          <w:rFonts w:hint="default" w:ascii="宋体" w:hAnsi="宋体" w:eastAsia="宋体" w:cs="Times New Roman"/>
          <w:kern w:val="0"/>
          <w:sz w:val="24"/>
          <w:szCs w:val="24"/>
          <w:highlight w:val="none"/>
        </w:rPr>
        <w:t>仪器设备。主要包括配水单元、分析单元、质控单元、留样单元、辅助单元、控制单元、数据采集与传输单元软硬件等。</w:t>
      </w:r>
    </w:p>
    <w:p w14:paraId="2DFD7FE3">
      <w:pPr>
        <w:tabs>
          <w:tab w:val="left" w:pos="2280"/>
        </w:tabs>
        <w:spacing w:line="360" w:lineRule="auto"/>
        <w:ind w:firstLine="24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 xml:space="preserve">3.5.4 </w:t>
      </w:r>
      <w:r>
        <w:rPr>
          <w:rFonts w:hint="default" w:ascii="宋体" w:hAnsi="宋体" w:eastAsia="宋体" w:cs="Times New Roman"/>
          <w:kern w:val="0"/>
          <w:sz w:val="24"/>
          <w:szCs w:val="24"/>
          <w:highlight w:val="none"/>
        </w:rPr>
        <w:t>视频监控及安防设施。主要包括视频监控、门禁、烟雾报警器、自动灭火器、站房钥匙等。</w:t>
      </w:r>
    </w:p>
    <w:p w14:paraId="7F15492C">
      <w:pPr>
        <w:tabs>
          <w:tab w:val="left" w:pos="2280"/>
        </w:tabs>
        <w:spacing w:line="360" w:lineRule="auto"/>
        <w:ind w:firstLine="24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 xml:space="preserve">3.5.5 </w:t>
      </w:r>
      <w:r>
        <w:rPr>
          <w:rFonts w:hint="default" w:ascii="宋体" w:hAnsi="宋体" w:eastAsia="宋体" w:cs="Times New Roman"/>
          <w:kern w:val="0"/>
          <w:sz w:val="24"/>
          <w:szCs w:val="24"/>
          <w:highlight w:val="none"/>
        </w:rPr>
        <w:t>文化建设有关内容。主要包括站房外部的水站标志牌、简介牌和水站LOGO，站房内部的站点流域表征图、运维管理体系图和水站系统流程图等。</w:t>
      </w:r>
    </w:p>
    <w:p w14:paraId="06A45BB3">
      <w:pPr>
        <w:tabs>
          <w:tab w:val="left" w:pos="2280"/>
        </w:tabs>
        <w:spacing w:line="360" w:lineRule="auto"/>
        <w:ind w:firstLine="24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 xml:space="preserve">3.5.6 </w:t>
      </w:r>
      <w:r>
        <w:rPr>
          <w:rFonts w:hint="default" w:ascii="宋体" w:hAnsi="宋体" w:eastAsia="宋体" w:cs="Times New Roman"/>
          <w:kern w:val="0"/>
          <w:sz w:val="24"/>
          <w:szCs w:val="24"/>
          <w:highlight w:val="none"/>
        </w:rPr>
        <w:t>档案资料。主要包括站房采水相关图纸、系统及仪器密码、仪器说明书、自查报告、交接报告等。</w:t>
      </w:r>
    </w:p>
    <w:p w14:paraId="498206DC">
      <w:pPr>
        <w:tabs>
          <w:tab w:val="left" w:pos="2280"/>
        </w:tabs>
        <w:spacing w:line="360" w:lineRule="auto"/>
        <w:ind w:firstLine="240"/>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 xml:space="preserve">3.5.7 </w:t>
      </w:r>
      <w:r>
        <w:rPr>
          <w:rFonts w:hint="default" w:ascii="宋体" w:hAnsi="宋体" w:eastAsia="宋体" w:cs="Times New Roman"/>
          <w:kern w:val="0"/>
          <w:sz w:val="24"/>
          <w:szCs w:val="24"/>
          <w:highlight w:val="none"/>
        </w:rPr>
        <w:t>其他设施。主要包括便携式仪表、备品备件、生活设施等。</w:t>
      </w:r>
    </w:p>
    <w:p w14:paraId="0132CF53">
      <w:pPr>
        <w:tabs>
          <w:tab w:val="left" w:pos="2280"/>
        </w:tabs>
        <w:spacing w:line="360" w:lineRule="auto"/>
        <w:ind w:firstLine="480"/>
        <w:contextualSpacing/>
        <w:jc w:val="both"/>
        <w:rPr>
          <w:rFonts w:hint="default" w:ascii="宋体" w:hAnsi="宋体" w:eastAsia="宋体" w:cs="Times New Roman"/>
          <w:kern w:val="0"/>
          <w:sz w:val="24"/>
          <w:szCs w:val="24"/>
          <w:highlight w:val="none"/>
        </w:rPr>
      </w:pPr>
      <w:r>
        <w:rPr>
          <w:rFonts w:hint="default" w:ascii="宋体" w:hAnsi="宋体" w:eastAsia="宋体" w:cs="Times New Roman"/>
          <w:kern w:val="0"/>
          <w:sz w:val="24"/>
          <w:szCs w:val="24"/>
          <w:highlight w:val="none"/>
        </w:rPr>
        <w:t>在采购前投标单位可与原业主方共同对水质自动监测系统的系统运行情况，仪器运行情况，数据采集情况进行实际考察，并且做好</w:t>
      </w:r>
      <w:r>
        <w:rPr>
          <w:rFonts w:hint="eastAsia" w:ascii="宋体" w:hAnsi="宋体" w:eastAsia="宋体" w:cs="Times New Roman"/>
          <w:kern w:val="0"/>
          <w:sz w:val="24"/>
          <w:szCs w:val="24"/>
          <w:highlight w:val="none"/>
        </w:rPr>
        <w:t>接收</w:t>
      </w:r>
      <w:r>
        <w:rPr>
          <w:rFonts w:hint="default" w:ascii="宋体" w:hAnsi="宋体" w:eastAsia="宋体" w:cs="Times New Roman"/>
          <w:kern w:val="0"/>
          <w:sz w:val="24"/>
          <w:szCs w:val="24"/>
          <w:highlight w:val="none"/>
        </w:rPr>
        <w:t>方案和后期运维工作方案。</w:t>
      </w:r>
    </w:p>
    <w:p w14:paraId="58B9CDC0">
      <w:pPr>
        <w:tabs>
          <w:tab w:val="left" w:pos="2280"/>
        </w:tabs>
        <w:spacing w:line="360" w:lineRule="auto"/>
        <w:ind w:firstLine="480"/>
        <w:contextualSpacing/>
        <w:jc w:val="both"/>
        <w:rPr>
          <w:rFonts w:hint="default" w:ascii="Times New Roman" w:hAnsi="Times New Roman" w:eastAsia="宋体" w:cs="Times New Roman"/>
          <w:b/>
          <w:kern w:val="0"/>
          <w:sz w:val="24"/>
          <w:szCs w:val="24"/>
          <w:highlight w:val="none"/>
        </w:rPr>
      </w:pPr>
      <w:r>
        <w:rPr>
          <w:rFonts w:hint="eastAsia" w:ascii="宋体" w:hAnsi="宋体" w:eastAsia="宋体" w:cs="Times New Roman"/>
          <w:b/>
          <w:kern w:val="0"/>
          <w:sz w:val="24"/>
          <w:szCs w:val="24"/>
          <w:highlight w:val="none"/>
          <w:lang w:val="en-US" w:eastAsia="zh-CN"/>
        </w:rPr>
        <w:t xml:space="preserve">3.6 </w:t>
      </w:r>
      <w:r>
        <w:rPr>
          <w:rFonts w:hint="default" w:ascii="宋体" w:hAnsi="宋体" w:eastAsia="宋体" w:cs="Times New Roman"/>
          <w:b/>
          <w:kern w:val="0"/>
          <w:sz w:val="24"/>
          <w:szCs w:val="24"/>
          <w:highlight w:val="none"/>
        </w:rPr>
        <w:t>参考</w:t>
      </w:r>
      <w:r>
        <w:rPr>
          <w:rFonts w:hint="eastAsia" w:ascii="宋体" w:hAnsi="宋体" w:eastAsia="宋体" w:cs="Times New Roman"/>
          <w:b/>
          <w:kern w:val="0"/>
          <w:sz w:val="24"/>
          <w:szCs w:val="24"/>
          <w:highlight w:val="none"/>
          <w:lang w:eastAsia="zh-CN"/>
        </w:rPr>
        <w:t>或参照</w:t>
      </w:r>
      <w:r>
        <w:rPr>
          <w:rFonts w:hint="default" w:ascii="宋体" w:hAnsi="宋体" w:eastAsia="宋体" w:cs="Times New Roman"/>
          <w:b/>
          <w:kern w:val="0"/>
          <w:sz w:val="24"/>
          <w:szCs w:val="24"/>
          <w:highlight w:val="none"/>
        </w:rPr>
        <w:t>技术规范和标准</w:t>
      </w:r>
    </w:p>
    <w:p w14:paraId="6F05B105">
      <w:pPr>
        <w:spacing w:line="360" w:lineRule="auto"/>
        <w:ind w:firstLine="480"/>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1.国家环境保护总局发布的相关水质在线监测技术标准</w:t>
      </w:r>
    </w:p>
    <w:p w14:paraId="1897B1CF">
      <w:pPr>
        <w:spacing w:line="360" w:lineRule="auto"/>
        <w:ind w:firstLine="480"/>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2.国家标准方法和《水和废水监测分析方法》</w:t>
      </w:r>
    </w:p>
    <w:p w14:paraId="54BA4D34">
      <w:pPr>
        <w:spacing w:line="360" w:lineRule="auto"/>
        <w:ind w:firstLine="480"/>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3.《国家地表水水质自动监测站运行管理办法》</w:t>
      </w:r>
    </w:p>
    <w:p w14:paraId="3B598AED">
      <w:pPr>
        <w:spacing w:line="360" w:lineRule="auto"/>
        <w:ind w:firstLine="480"/>
        <w:jc w:val="both"/>
        <w:rPr>
          <w:rFonts w:hint="eastAsia" w:ascii="宋体" w:hAnsi="宋体" w:eastAsia="宋体" w:cs="Times New Roman"/>
          <w:kern w:val="0"/>
          <w:sz w:val="24"/>
          <w:szCs w:val="24"/>
          <w:highlight w:val="none"/>
          <w:lang w:val="en-US" w:eastAsia="zh-CN"/>
        </w:rPr>
      </w:pPr>
      <w:r>
        <w:rPr>
          <w:rFonts w:hint="default" w:ascii="宋体" w:hAnsi="宋体" w:eastAsia="宋体" w:cs="Times New Roman"/>
          <w:kern w:val="0"/>
          <w:sz w:val="24"/>
          <w:szCs w:val="24"/>
          <w:highlight w:val="none"/>
        </w:rPr>
        <w:t>4.</w:t>
      </w:r>
      <w:r>
        <w:rPr>
          <w:rFonts w:hint="eastAsia" w:ascii="宋体" w:hAnsi="宋体" w:eastAsia="宋体" w:cs="Times New Roman"/>
          <w:kern w:val="0"/>
          <w:sz w:val="24"/>
          <w:szCs w:val="24"/>
          <w:highlight w:val="none"/>
        </w:rPr>
        <w:t>《</w:t>
      </w:r>
      <w:r>
        <w:rPr>
          <w:rFonts w:hint="eastAsia" w:ascii="宋体" w:hAnsi="宋体" w:eastAsia="宋体" w:cs="Times New Roman"/>
          <w:kern w:val="0"/>
          <w:sz w:val="24"/>
          <w:szCs w:val="24"/>
          <w:highlight w:val="none"/>
          <w:lang w:val="en-US" w:eastAsia="zh-CN"/>
        </w:rPr>
        <w:t>环境水质（地表水）自动监测站运行维护技术规范</w:t>
      </w:r>
      <w:r>
        <w:rPr>
          <w:rFonts w:hint="eastAsia" w:ascii="宋体" w:hAnsi="宋体" w:eastAsia="宋体" w:cs="Times New Roman"/>
          <w:kern w:val="0"/>
          <w:sz w:val="24"/>
          <w:szCs w:val="24"/>
          <w:highlight w:val="none"/>
        </w:rPr>
        <w:t>》</w:t>
      </w: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lang w:val="en-US" w:eastAsia="zh-CN"/>
        </w:rPr>
        <w:t>DB32/T4536-2023</w:t>
      </w:r>
      <w:r>
        <w:rPr>
          <w:rFonts w:hint="eastAsia" w:ascii="宋体" w:hAnsi="宋体" w:eastAsia="宋体" w:cs="Times New Roman"/>
          <w:kern w:val="0"/>
          <w:sz w:val="24"/>
          <w:szCs w:val="24"/>
          <w:highlight w:val="none"/>
          <w:lang w:eastAsia="zh-CN"/>
        </w:rPr>
        <w:t>）</w:t>
      </w:r>
    </w:p>
    <w:p w14:paraId="3F1BA4B3">
      <w:pPr>
        <w:spacing w:line="360" w:lineRule="auto"/>
        <w:ind w:firstLine="480"/>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5.《环境水质监测质量保证手册》</w:t>
      </w:r>
    </w:p>
    <w:p w14:paraId="0703C201">
      <w:pPr>
        <w:spacing w:line="360" w:lineRule="auto"/>
        <w:ind w:firstLine="480"/>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6.《地表水和污水监测技术规范》（HJ/T91-2002 ）</w:t>
      </w:r>
    </w:p>
    <w:p w14:paraId="6F2BCC68">
      <w:pPr>
        <w:spacing w:line="360" w:lineRule="auto"/>
        <w:ind w:firstLine="480"/>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7.《水质河流采样技术指导》（HJ/T52-1999）</w:t>
      </w:r>
    </w:p>
    <w:p w14:paraId="56B9FB71">
      <w:pPr>
        <w:spacing w:line="360" w:lineRule="auto"/>
        <w:ind w:firstLine="480"/>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8.《pH水质自动分析仪技术要求》（HJ/T96-2003）</w:t>
      </w:r>
    </w:p>
    <w:p w14:paraId="219C0D33">
      <w:pPr>
        <w:spacing w:line="360" w:lineRule="auto"/>
        <w:ind w:firstLine="480"/>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9.《电导率水质自动分析仪技术要求》（HJ/T97-2003）</w:t>
      </w:r>
    </w:p>
    <w:p w14:paraId="30BC54C0">
      <w:pPr>
        <w:spacing w:line="360" w:lineRule="auto"/>
        <w:ind w:firstLine="480"/>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10.《浊度水质自动分析仪技术要求》（HJ/T98-2003）</w:t>
      </w:r>
    </w:p>
    <w:p w14:paraId="17DB3702">
      <w:pPr>
        <w:spacing w:line="360" w:lineRule="auto"/>
        <w:ind w:firstLine="480"/>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11.《溶解氧（DO）水质自动分析仪技术要求》（HJ/T99-2003）</w:t>
      </w:r>
    </w:p>
    <w:p w14:paraId="5A1CB554">
      <w:pPr>
        <w:spacing w:line="360" w:lineRule="auto"/>
        <w:ind w:firstLine="480"/>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12.《高锰酸盐指数水质自动分析仪技术要求》（HJ/T100-2003）</w:t>
      </w:r>
    </w:p>
    <w:p w14:paraId="7F0EDE27">
      <w:pPr>
        <w:spacing w:line="360" w:lineRule="auto"/>
        <w:ind w:firstLine="480"/>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13.《氨氮水质自动分析仪技术要求》（HJ/T101-2003）</w:t>
      </w:r>
    </w:p>
    <w:p w14:paraId="565115CD">
      <w:pPr>
        <w:spacing w:line="360" w:lineRule="auto"/>
        <w:ind w:firstLine="480"/>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14.《总氮水质自动分析仪技术要求》（HJ/T102-2003）</w:t>
      </w:r>
    </w:p>
    <w:p w14:paraId="65035BFF">
      <w:pPr>
        <w:spacing w:line="360" w:lineRule="auto"/>
        <w:ind w:firstLine="480"/>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15.《总磷水质自动分析仪技术要求》（HJ/T103-2003）</w:t>
      </w:r>
    </w:p>
    <w:p w14:paraId="11F0DB36">
      <w:pPr>
        <w:spacing w:line="360" w:lineRule="auto"/>
        <w:ind w:firstLine="480"/>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16.《声学多普勒流量测验规范》（SL337-2006）</w:t>
      </w:r>
    </w:p>
    <w:p w14:paraId="6B7E89D4">
      <w:pPr>
        <w:spacing w:line="360" w:lineRule="auto"/>
        <w:ind w:firstLine="480"/>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17.《户外标识牌技术规程》（CECS148:2003）</w:t>
      </w:r>
    </w:p>
    <w:p w14:paraId="4C9F68AA">
      <w:pPr>
        <w:spacing w:line="360" w:lineRule="auto"/>
        <w:ind w:firstLine="480"/>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18.《建筑物防雷设计规范》（GB 50057-2010）</w:t>
      </w:r>
    </w:p>
    <w:p w14:paraId="2C5FBABC">
      <w:pPr>
        <w:spacing w:line="360" w:lineRule="auto"/>
        <w:ind w:firstLine="480"/>
        <w:jc w:val="both"/>
        <w:rPr>
          <w:rFonts w:hint="default" w:ascii="Times New Roman" w:hAnsi="Times New Roman" w:eastAsia="宋体" w:cs="Times New Roman"/>
          <w:kern w:val="0"/>
          <w:sz w:val="24"/>
          <w:szCs w:val="24"/>
          <w:highlight w:val="none"/>
        </w:rPr>
      </w:pPr>
      <w:r>
        <w:rPr>
          <w:rFonts w:hint="default" w:ascii="宋体" w:hAnsi="宋体" w:eastAsia="宋体" w:cs="Times New Roman"/>
          <w:kern w:val="0"/>
          <w:sz w:val="24"/>
          <w:szCs w:val="24"/>
          <w:highlight w:val="none"/>
        </w:rPr>
        <w:t>19.《建筑设计防火规范》（GB 50016-2015）</w:t>
      </w:r>
    </w:p>
    <w:p w14:paraId="572555A3">
      <w:pPr>
        <w:spacing w:line="360" w:lineRule="auto"/>
        <w:ind w:firstLine="480"/>
        <w:jc w:val="both"/>
        <w:rPr>
          <w:rFonts w:hint="default" w:ascii="宋体" w:hAnsi="宋体" w:eastAsia="宋体" w:cs="Times New Roman"/>
          <w:kern w:val="0"/>
          <w:sz w:val="24"/>
          <w:szCs w:val="24"/>
          <w:highlight w:val="none"/>
        </w:rPr>
      </w:pPr>
      <w:r>
        <w:rPr>
          <w:rFonts w:hint="default" w:ascii="宋体" w:hAnsi="宋体" w:eastAsia="宋体" w:cs="Times New Roman"/>
          <w:kern w:val="0"/>
          <w:sz w:val="24"/>
          <w:szCs w:val="24"/>
          <w:highlight w:val="none"/>
        </w:rPr>
        <w:t>20.《智能建筑标准》（GB/T50314-2006）</w:t>
      </w:r>
    </w:p>
    <w:p w14:paraId="2C1E36AC">
      <w:pPr>
        <w:tabs>
          <w:tab w:val="left" w:pos="2280"/>
        </w:tabs>
        <w:spacing w:line="560" w:lineRule="exact"/>
        <w:contextualSpacing/>
        <w:jc w:val="both"/>
        <w:rPr>
          <w:rFonts w:hint="eastAsia" w:ascii="宋体" w:hAnsi="宋体" w:eastAsia="宋体" w:cs="Times New Roman"/>
          <w:b/>
          <w:kern w:val="0"/>
          <w:sz w:val="24"/>
          <w:szCs w:val="24"/>
          <w:highlight w:val="none"/>
          <w:lang w:val="en-US" w:eastAsia="zh-CN"/>
        </w:rPr>
      </w:pPr>
      <w:r>
        <w:rPr>
          <w:rFonts w:hint="eastAsia" w:ascii="宋体" w:hAnsi="宋体" w:eastAsia="宋体" w:cs="Times New Roman"/>
          <w:b/>
          <w:kern w:val="0"/>
          <w:sz w:val="24"/>
          <w:szCs w:val="24"/>
          <w:highlight w:val="none"/>
          <w:lang w:val="en-US" w:eastAsia="zh-CN"/>
        </w:rPr>
        <w:t>4、监督管理</w:t>
      </w:r>
    </w:p>
    <w:p w14:paraId="03F86451">
      <w:pPr>
        <w:spacing w:line="480" w:lineRule="exact"/>
        <w:ind w:firstLine="480"/>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4.</w:t>
      </w:r>
      <w:r>
        <w:rPr>
          <w:rFonts w:hint="default" w:ascii="宋体" w:hAnsi="宋体" w:eastAsia="宋体" w:cs="Times New Roman"/>
          <w:kern w:val="0"/>
          <w:sz w:val="24"/>
          <w:szCs w:val="24"/>
          <w:highlight w:val="none"/>
        </w:rPr>
        <w:t>1</w:t>
      </w:r>
      <w:r>
        <w:rPr>
          <w:rFonts w:hint="eastAsia" w:ascii="宋体" w:hAnsi="宋体" w:eastAsia="宋体" w:cs="Times New Roman"/>
          <w:kern w:val="0"/>
          <w:sz w:val="24"/>
          <w:szCs w:val="24"/>
          <w:highlight w:val="none"/>
          <w:lang w:val="en-US" w:eastAsia="zh-CN"/>
        </w:rPr>
        <w:t xml:space="preserve"> </w:t>
      </w:r>
      <w:r>
        <w:rPr>
          <w:rFonts w:hint="default" w:ascii="宋体" w:hAnsi="宋体" w:eastAsia="宋体" w:cs="Times New Roman"/>
          <w:kern w:val="0"/>
          <w:sz w:val="24"/>
          <w:szCs w:val="24"/>
          <w:highlight w:val="none"/>
        </w:rPr>
        <w:t>数据必须真实有效，供应商近3年内，在环境监测服务活动中必须没有弄虚作假行为（请供应商根据本单位实际情况咨询承诺，若有不实，按提供虚假资料处理，并承担相关法律责任）</w:t>
      </w:r>
    </w:p>
    <w:p w14:paraId="0951BAC3">
      <w:pPr>
        <w:spacing w:line="480" w:lineRule="exact"/>
        <w:ind w:firstLine="480"/>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4</w:t>
      </w:r>
      <w:r>
        <w:rPr>
          <w:rFonts w:hint="default" w:ascii="宋体" w:hAnsi="宋体" w:eastAsia="宋体" w:cs="Times New Roman"/>
          <w:kern w:val="0"/>
          <w:sz w:val="24"/>
          <w:szCs w:val="24"/>
          <w:highlight w:val="none"/>
        </w:rPr>
        <w:t>.2</w:t>
      </w:r>
      <w:r>
        <w:rPr>
          <w:rFonts w:hint="eastAsia" w:ascii="宋体" w:hAnsi="宋体" w:eastAsia="宋体" w:cs="Times New Roman"/>
          <w:kern w:val="0"/>
          <w:sz w:val="24"/>
          <w:szCs w:val="24"/>
          <w:highlight w:val="none"/>
          <w:lang w:val="en-US" w:eastAsia="zh-CN"/>
        </w:rPr>
        <w:t xml:space="preserve"> </w:t>
      </w:r>
      <w:r>
        <w:rPr>
          <w:rFonts w:hint="default" w:ascii="宋体" w:hAnsi="宋体" w:eastAsia="宋体" w:cs="Times New Roman"/>
          <w:kern w:val="0"/>
          <w:sz w:val="24"/>
          <w:szCs w:val="24"/>
          <w:highlight w:val="none"/>
        </w:rPr>
        <w:t>供应商应承担监测数据的保密责任（签订保密协议），不得利用本项目的数据、档案或有关资料对外开展技术交流、业务联系、数据交换等。否则</w:t>
      </w:r>
      <w:r>
        <w:rPr>
          <w:rFonts w:hint="eastAsia" w:ascii="宋体" w:hAnsi="宋体" w:eastAsia="宋体" w:cs="宋体"/>
          <w:bCs/>
          <w:color w:val="000000"/>
          <w:kern w:val="0"/>
          <w:sz w:val="24"/>
          <w:szCs w:val="24"/>
          <w:highlight w:val="none"/>
        </w:rPr>
        <w:t>徐州市丰县生态环境局</w:t>
      </w:r>
      <w:r>
        <w:rPr>
          <w:rFonts w:hint="default" w:ascii="宋体" w:hAnsi="宋体" w:eastAsia="宋体" w:cs="Times New Roman"/>
          <w:kern w:val="0"/>
          <w:sz w:val="24"/>
          <w:szCs w:val="24"/>
          <w:highlight w:val="none"/>
        </w:rPr>
        <w:t>有权终止合同。</w:t>
      </w:r>
    </w:p>
    <w:p w14:paraId="7D520162">
      <w:pPr>
        <w:spacing w:line="480" w:lineRule="exact"/>
        <w:ind w:firstLine="480"/>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4.</w:t>
      </w:r>
      <w:r>
        <w:rPr>
          <w:rFonts w:hint="default" w:ascii="宋体" w:hAnsi="宋体" w:eastAsia="宋体" w:cs="Times New Roman"/>
          <w:kern w:val="0"/>
          <w:sz w:val="24"/>
          <w:szCs w:val="24"/>
          <w:highlight w:val="none"/>
        </w:rPr>
        <w:t>3</w:t>
      </w:r>
      <w:r>
        <w:rPr>
          <w:rFonts w:hint="eastAsia" w:ascii="宋体" w:hAnsi="宋体" w:eastAsia="宋体" w:cs="Times New Roman"/>
          <w:kern w:val="0"/>
          <w:sz w:val="24"/>
          <w:szCs w:val="24"/>
          <w:highlight w:val="none"/>
          <w:lang w:val="en-US" w:eastAsia="zh-CN"/>
        </w:rPr>
        <w:t xml:space="preserve"> </w:t>
      </w:r>
      <w:r>
        <w:rPr>
          <w:rFonts w:hint="default" w:ascii="宋体" w:hAnsi="宋体" w:eastAsia="宋体" w:cs="Times New Roman"/>
          <w:kern w:val="0"/>
          <w:sz w:val="24"/>
          <w:szCs w:val="24"/>
          <w:highlight w:val="none"/>
        </w:rPr>
        <w:t>运维期间出现调整数据、修改参数、改动设备、质控结果与平台采集结果不一致、弄虚作假等违规行为的，一经查实</w:t>
      </w:r>
      <w:r>
        <w:rPr>
          <w:rFonts w:hint="eastAsia" w:ascii="宋体" w:hAnsi="宋体" w:eastAsia="宋体" w:cs="宋体"/>
          <w:bCs/>
          <w:color w:val="000000"/>
          <w:kern w:val="0"/>
          <w:sz w:val="24"/>
          <w:szCs w:val="24"/>
          <w:highlight w:val="none"/>
        </w:rPr>
        <w:t>徐州市丰县生态环境局</w:t>
      </w:r>
      <w:r>
        <w:rPr>
          <w:rFonts w:hint="default" w:ascii="宋体" w:hAnsi="宋体" w:eastAsia="宋体" w:cs="Times New Roman"/>
          <w:kern w:val="0"/>
          <w:sz w:val="24"/>
          <w:szCs w:val="24"/>
          <w:highlight w:val="none"/>
        </w:rPr>
        <w:t>有权终止运维合同。</w:t>
      </w:r>
    </w:p>
    <w:p w14:paraId="1E62F7DE">
      <w:pPr>
        <w:spacing w:line="480" w:lineRule="exact"/>
        <w:ind w:firstLine="480"/>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4.</w:t>
      </w:r>
      <w:r>
        <w:rPr>
          <w:rFonts w:hint="default" w:ascii="宋体" w:hAnsi="宋体" w:eastAsia="宋体" w:cs="Times New Roman"/>
          <w:kern w:val="0"/>
          <w:sz w:val="24"/>
          <w:szCs w:val="24"/>
          <w:highlight w:val="none"/>
        </w:rPr>
        <w:t>4</w:t>
      </w:r>
      <w:r>
        <w:rPr>
          <w:rFonts w:hint="eastAsia" w:ascii="宋体" w:hAnsi="宋体" w:eastAsia="宋体" w:cs="Times New Roman"/>
          <w:kern w:val="0"/>
          <w:sz w:val="24"/>
          <w:szCs w:val="24"/>
          <w:highlight w:val="none"/>
          <w:lang w:val="en-US" w:eastAsia="zh-CN"/>
        </w:rPr>
        <w:t xml:space="preserve"> </w:t>
      </w:r>
      <w:r>
        <w:rPr>
          <w:rFonts w:hint="eastAsia" w:ascii="宋体" w:hAnsi="宋体" w:eastAsia="宋体" w:cs="宋体"/>
          <w:bCs/>
          <w:color w:val="000000"/>
          <w:kern w:val="0"/>
          <w:sz w:val="24"/>
          <w:szCs w:val="24"/>
          <w:highlight w:val="none"/>
        </w:rPr>
        <w:t>徐州市丰县生态环境局</w:t>
      </w:r>
      <w:r>
        <w:rPr>
          <w:rFonts w:hint="default" w:ascii="宋体" w:hAnsi="宋体" w:eastAsia="宋体" w:cs="Times New Roman"/>
          <w:kern w:val="0"/>
          <w:sz w:val="24"/>
          <w:szCs w:val="24"/>
          <w:highlight w:val="none"/>
        </w:rPr>
        <w:t>组织开展运维管理和质控考核，对达不到运维要求或违规操作的，可以取消该公司在江苏区域内相关运维投标资格或扣减相应的运维经费，并有权终止运维合同。</w:t>
      </w:r>
    </w:p>
    <w:p w14:paraId="40642165">
      <w:pPr>
        <w:spacing w:line="480" w:lineRule="exact"/>
        <w:ind w:firstLine="480"/>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4.</w:t>
      </w:r>
      <w:r>
        <w:rPr>
          <w:rFonts w:hint="default" w:ascii="宋体" w:hAnsi="宋体" w:eastAsia="宋体" w:cs="Times New Roman"/>
          <w:kern w:val="0"/>
          <w:sz w:val="24"/>
          <w:szCs w:val="24"/>
          <w:highlight w:val="none"/>
        </w:rPr>
        <w:t>5</w:t>
      </w:r>
      <w:r>
        <w:rPr>
          <w:rFonts w:hint="eastAsia" w:ascii="宋体" w:hAnsi="宋体" w:eastAsia="宋体" w:cs="Times New Roman"/>
          <w:kern w:val="0"/>
          <w:sz w:val="24"/>
          <w:szCs w:val="24"/>
          <w:highlight w:val="none"/>
          <w:lang w:val="en-US" w:eastAsia="zh-CN"/>
        </w:rPr>
        <w:t xml:space="preserve"> </w:t>
      </w:r>
      <w:r>
        <w:rPr>
          <w:rFonts w:hint="default" w:ascii="宋体" w:hAnsi="宋体" w:eastAsia="宋体" w:cs="Times New Roman"/>
          <w:kern w:val="0"/>
          <w:sz w:val="24"/>
          <w:szCs w:val="24"/>
          <w:highlight w:val="none"/>
        </w:rPr>
        <w:t>违反江苏省水质自动站管理办法等违规行为的，一经查实</w:t>
      </w:r>
      <w:r>
        <w:rPr>
          <w:rFonts w:hint="eastAsia" w:ascii="宋体" w:hAnsi="宋体" w:eastAsia="宋体" w:cs="宋体"/>
          <w:bCs/>
          <w:color w:val="000000"/>
          <w:kern w:val="0"/>
          <w:sz w:val="24"/>
          <w:szCs w:val="24"/>
          <w:highlight w:val="none"/>
        </w:rPr>
        <w:t>徐州市丰县生态环境局</w:t>
      </w:r>
      <w:r>
        <w:rPr>
          <w:rFonts w:hint="default" w:ascii="宋体" w:hAnsi="宋体" w:eastAsia="宋体" w:cs="Times New Roman"/>
          <w:kern w:val="0"/>
          <w:sz w:val="24"/>
          <w:szCs w:val="24"/>
          <w:highlight w:val="none"/>
        </w:rPr>
        <w:t>有权终止运维合同。</w:t>
      </w:r>
    </w:p>
    <w:p w14:paraId="36269A51">
      <w:pPr>
        <w:tabs>
          <w:tab w:val="left" w:pos="2280"/>
        </w:tabs>
        <w:spacing w:line="360" w:lineRule="auto"/>
        <w:ind w:right="45" w:firstLine="482"/>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 xml:space="preserve">4.6 </w:t>
      </w:r>
      <w:r>
        <w:rPr>
          <w:rFonts w:hint="default" w:ascii="宋体" w:hAnsi="宋体" w:eastAsia="宋体" w:cs="Times New Roman"/>
          <w:kern w:val="0"/>
          <w:sz w:val="24"/>
          <w:szCs w:val="24"/>
          <w:highlight w:val="none"/>
        </w:rPr>
        <w:t>运维机构有下列情形之一的，</w:t>
      </w:r>
      <w:r>
        <w:rPr>
          <w:rFonts w:hint="eastAsia" w:ascii="宋体" w:hAnsi="宋体" w:eastAsia="宋体" w:cs="宋体"/>
          <w:bCs/>
          <w:color w:val="000000"/>
          <w:kern w:val="0"/>
          <w:sz w:val="24"/>
          <w:szCs w:val="24"/>
          <w:highlight w:val="none"/>
        </w:rPr>
        <w:t>徐州市丰县生态环境局</w:t>
      </w:r>
      <w:r>
        <w:rPr>
          <w:rFonts w:hint="default" w:ascii="宋体" w:hAnsi="宋体" w:eastAsia="宋体" w:cs="Times New Roman"/>
          <w:kern w:val="0"/>
          <w:sz w:val="24"/>
          <w:szCs w:val="24"/>
          <w:highlight w:val="none"/>
        </w:rPr>
        <w:t>将扣除相应站点当月运行经费：迟报、漏报或不报审核数据的；拖延、阻碍、拒绝质量检查或飞行检查的；发现采样、分析、数据采集和传输等过程人为干扰，发现非运维人员进出站房，未按要求及时向</w:t>
      </w:r>
      <w:r>
        <w:rPr>
          <w:rFonts w:hint="eastAsia" w:ascii="宋体" w:hAnsi="宋体" w:eastAsia="宋体" w:cs="宋体"/>
          <w:bCs/>
          <w:color w:val="000000"/>
          <w:kern w:val="0"/>
          <w:sz w:val="24"/>
          <w:szCs w:val="24"/>
          <w:highlight w:val="none"/>
        </w:rPr>
        <w:t>徐州市丰县生态环境局</w:t>
      </w:r>
      <w:r>
        <w:rPr>
          <w:rFonts w:hint="default" w:ascii="宋体" w:hAnsi="宋体" w:eastAsia="宋体" w:cs="Times New Roman"/>
          <w:kern w:val="0"/>
          <w:sz w:val="24"/>
          <w:szCs w:val="24"/>
          <w:highlight w:val="none"/>
        </w:rPr>
        <w:t>报告的；其他不履行规定职责的情形。</w:t>
      </w:r>
    </w:p>
    <w:p w14:paraId="71E604CE">
      <w:pPr>
        <w:tabs>
          <w:tab w:val="left" w:pos="2280"/>
        </w:tabs>
        <w:spacing w:line="360" w:lineRule="auto"/>
        <w:ind w:right="45" w:firstLine="482"/>
        <w:contextualSpacing/>
        <w:jc w:val="both"/>
        <w:rPr>
          <w:rFonts w:hint="default"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 xml:space="preserve">4.7 </w:t>
      </w:r>
      <w:r>
        <w:rPr>
          <w:rFonts w:hint="default" w:ascii="宋体" w:hAnsi="宋体" w:eastAsia="宋体" w:cs="Times New Roman"/>
          <w:kern w:val="0"/>
          <w:sz w:val="24"/>
          <w:szCs w:val="24"/>
          <w:highlight w:val="none"/>
        </w:rPr>
        <w:t>在各类专项质量检查中，发现运维单位未达到</w:t>
      </w:r>
      <w:r>
        <w:rPr>
          <w:rFonts w:hint="eastAsia" w:ascii="宋体" w:hAnsi="宋体" w:eastAsia="宋体" w:cs="宋体"/>
          <w:bCs/>
          <w:color w:val="000000"/>
          <w:kern w:val="0"/>
          <w:sz w:val="24"/>
          <w:szCs w:val="24"/>
          <w:highlight w:val="none"/>
        </w:rPr>
        <w:t>徐州市丰县生态环境局</w:t>
      </w:r>
      <w:r>
        <w:rPr>
          <w:rFonts w:hint="default" w:ascii="宋体" w:hAnsi="宋体" w:eastAsia="宋体" w:cs="Times New Roman"/>
          <w:kern w:val="0"/>
          <w:sz w:val="24"/>
          <w:szCs w:val="24"/>
          <w:highlight w:val="none"/>
        </w:rPr>
        <w:t>运维质控要求时，根据对数据质量造成的影响程度，扣减相应站点当季度10%～100%运维经费；如未及时整改，加倍扣款。</w:t>
      </w:r>
    </w:p>
    <w:p w14:paraId="4D9BCE70">
      <w:pPr>
        <w:tabs>
          <w:tab w:val="left" w:pos="2280"/>
        </w:tabs>
        <w:spacing w:line="360" w:lineRule="auto"/>
        <w:ind w:right="45" w:firstLine="482"/>
        <w:contextualSpacing/>
        <w:jc w:val="both"/>
        <w:rPr>
          <w:rFonts w:hint="default" w:ascii="Times New Roman" w:hAnsi="Times New Roman" w:eastAsia="宋体" w:cs="Times New Roman"/>
          <w:kern w:val="0"/>
          <w:sz w:val="24"/>
          <w:szCs w:val="24"/>
          <w:highlight w:val="none"/>
        </w:rPr>
      </w:pPr>
      <w:r>
        <w:rPr>
          <w:rFonts w:hint="eastAsia" w:ascii="宋体" w:hAnsi="宋体" w:eastAsia="宋体" w:cs="宋体"/>
          <w:bCs/>
          <w:color w:val="000000"/>
          <w:kern w:val="0"/>
          <w:sz w:val="24"/>
          <w:szCs w:val="24"/>
          <w:highlight w:val="none"/>
          <w:lang w:val="en-US" w:eastAsia="zh-CN"/>
        </w:rPr>
        <w:t xml:space="preserve">4.8 </w:t>
      </w:r>
      <w:r>
        <w:rPr>
          <w:rFonts w:hint="eastAsia" w:ascii="宋体" w:hAnsi="宋体" w:eastAsia="宋体" w:cs="宋体"/>
          <w:bCs/>
          <w:color w:val="000000"/>
          <w:kern w:val="0"/>
          <w:sz w:val="24"/>
          <w:szCs w:val="24"/>
          <w:highlight w:val="none"/>
        </w:rPr>
        <w:t>徐州市丰县生态环境局</w:t>
      </w:r>
      <w:r>
        <w:rPr>
          <w:rFonts w:hint="default" w:ascii="宋体" w:hAnsi="宋体" w:eastAsia="宋体" w:cs="Times New Roman"/>
          <w:kern w:val="0"/>
          <w:sz w:val="24"/>
          <w:szCs w:val="24"/>
          <w:highlight w:val="none"/>
        </w:rPr>
        <w:t>有权根据相关规定对扣除的运维费进行重新支配，用于开展其它与</w:t>
      </w:r>
      <w:r>
        <w:rPr>
          <w:rFonts w:hint="eastAsia" w:ascii="宋体" w:hAnsi="宋体" w:eastAsia="宋体" w:cs="Times New Roman"/>
          <w:kern w:val="0"/>
          <w:sz w:val="24"/>
          <w:szCs w:val="24"/>
          <w:highlight w:val="none"/>
        </w:rPr>
        <w:t>水</w:t>
      </w:r>
      <w:r>
        <w:rPr>
          <w:rFonts w:hint="default" w:ascii="宋体" w:hAnsi="宋体" w:eastAsia="宋体" w:cs="Times New Roman"/>
          <w:kern w:val="0"/>
          <w:sz w:val="24"/>
          <w:szCs w:val="24"/>
          <w:highlight w:val="none"/>
        </w:rPr>
        <w:t>站运维管理相关的工作。</w:t>
      </w:r>
    </w:p>
    <w:p w14:paraId="3F50C095">
      <w:pPr>
        <w:rPr>
          <w:highlight w:val="none"/>
        </w:rPr>
      </w:pPr>
    </w:p>
    <w:bookmarkEnd w:id="1"/>
    <w:sectPr>
      <w:pgSz w:w="11910" w:h="16840"/>
      <w:pgMar w:top="1440" w:right="1230" w:bottom="1440" w:left="1230" w:header="1452" w:footer="1542" w:gutter="0"/>
      <w:cols w:space="425"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0NTM5MGY2ZmUwNjJhNjA1YzgwZjRlZWM1YTkwZmEifQ=="/>
  </w:docVars>
  <w:rsids>
    <w:rsidRoot w:val="00327996"/>
    <w:rsid w:val="0016322D"/>
    <w:rsid w:val="001645CE"/>
    <w:rsid w:val="00327996"/>
    <w:rsid w:val="0041077F"/>
    <w:rsid w:val="00452B57"/>
    <w:rsid w:val="006740EA"/>
    <w:rsid w:val="006D59F8"/>
    <w:rsid w:val="006E639F"/>
    <w:rsid w:val="009B07F3"/>
    <w:rsid w:val="00B449DD"/>
    <w:rsid w:val="00C509A8"/>
    <w:rsid w:val="00DA4574"/>
    <w:rsid w:val="00DB47B6"/>
    <w:rsid w:val="00E962A1"/>
    <w:rsid w:val="00EC2C9D"/>
    <w:rsid w:val="00FF4FB0"/>
    <w:rsid w:val="187B0F4D"/>
    <w:rsid w:val="448518AC"/>
    <w:rsid w:val="4D1C5F12"/>
    <w:rsid w:val="4F692B60"/>
    <w:rsid w:val="52B94F35"/>
    <w:rsid w:val="79AD5A2A"/>
    <w:rsid w:val="7D520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0"/>
      <w:szCs w:val="20"/>
      <w:lang w:val="en-US" w:eastAsia="zh-CN" w:bidi="ar-SA"/>
    </w:rPr>
  </w:style>
  <w:style w:type="paragraph" w:styleId="3">
    <w:name w:val="heading 1"/>
    <w:basedOn w:val="1"/>
    <w:next w:val="1"/>
    <w:link w:val="10"/>
    <w:autoRedefine/>
    <w:qFormat/>
    <w:uiPriority w:val="0"/>
    <w:pPr>
      <w:keepNext/>
      <w:keepLines/>
      <w:spacing w:line="578" w:lineRule="auto"/>
      <w:jc w:val="center"/>
      <w:outlineLvl w:val="0"/>
    </w:pPr>
    <w:rPr>
      <w:rFonts w:eastAsia="新宋体"/>
      <w:b/>
      <w:bCs/>
      <w:sz w:val="30"/>
      <w:szCs w:val="44"/>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unhideWhenUsed/>
    <w:qFormat/>
    <w:uiPriority w:val="0"/>
  </w:style>
  <w:style w:type="paragraph" w:styleId="4">
    <w:name w:val="footer"/>
    <w:basedOn w:val="1"/>
    <w:link w:val="9"/>
    <w:autoRedefine/>
    <w:unhideWhenUsed/>
    <w:qFormat/>
    <w:uiPriority w:val="99"/>
    <w:pPr>
      <w:tabs>
        <w:tab w:val="center" w:pos="4153"/>
        <w:tab w:val="right" w:pos="8306"/>
      </w:tabs>
      <w:snapToGrid w:val="0"/>
    </w:pPr>
    <w:rPr>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autoRedefine/>
    <w:qFormat/>
    <w:uiPriority w:val="99"/>
    <w:rPr>
      <w:sz w:val="18"/>
      <w:szCs w:val="18"/>
    </w:rPr>
  </w:style>
  <w:style w:type="character" w:customStyle="1" w:styleId="9">
    <w:name w:val="页脚 字符"/>
    <w:basedOn w:val="7"/>
    <w:link w:val="4"/>
    <w:autoRedefine/>
    <w:qFormat/>
    <w:uiPriority w:val="99"/>
    <w:rPr>
      <w:sz w:val="18"/>
      <w:szCs w:val="18"/>
    </w:rPr>
  </w:style>
  <w:style w:type="character" w:customStyle="1" w:styleId="10">
    <w:name w:val="标题 1 字符"/>
    <w:basedOn w:val="7"/>
    <w:link w:val="3"/>
    <w:autoRedefine/>
    <w:qFormat/>
    <w:uiPriority w:val="0"/>
    <w:rPr>
      <w:rFonts w:ascii="Times New Roman" w:hAnsi="Times New Roman" w:eastAsia="新宋体" w:cs="Times New Roman"/>
      <w:b/>
      <w:bCs/>
      <w:kern w:val="0"/>
      <w:sz w:val="30"/>
      <w:szCs w:val="44"/>
    </w:rPr>
  </w:style>
  <w:style w:type="character" w:customStyle="1" w:styleId="11">
    <w:name w:val="NormalCharacter"/>
    <w:autoRedefine/>
    <w:semiHidden/>
    <w:qFormat/>
    <w:uiPriority w:val="0"/>
    <w:rPr>
      <w:sz w:val="28"/>
      <w:lang w:val="en-US" w:eastAsia="zh-CN" w:bidi="ar-SA"/>
    </w:rPr>
  </w:style>
  <w:style w:type="paragraph" w:customStyle="1" w:styleId="12">
    <w:name w:val="Default"/>
    <w:autoRedefine/>
    <w:qFormat/>
    <w:uiPriority w:val="0"/>
    <w:pPr>
      <w:widowControl w:val="0"/>
    </w:pPr>
    <w:rPr>
      <w:rFonts w:ascii="宋体" w:hAnsi="Times New Roman" w:eastAsia="宋体" w:cs="Times New Roman"/>
      <w:color w:val="000000"/>
      <w:kern w:val="0"/>
      <w:sz w:val="24"/>
      <w:szCs w:val="24"/>
      <w:lang w:val="en-US" w:eastAsia="zh-CN" w:bidi="ar-SA"/>
    </w:rPr>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33</Pages>
  <Words>9314</Words>
  <Characters>9950</Characters>
  <Lines>26</Lines>
  <Paragraphs>7</Paragraphs>
  <TotalTime>2</TotalTime>
  <ScaleCrop>false</ScaleCrop>
  <LinksUpToDate>false</LinksUpToDate>
  <CharactersWithSpaces>9984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2024-06-07T03:59:00Z</dcterms:created>
  <dc:creator>微软用户</dc:creator>
  <cp:lastModifiedBy>紫雨</cp:lastModifiedBy>
  <dcterms:modified xsi:type="dcterms:W3CDTF">2025-01-21T08:08:41Z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3B65D101BE8D4C66BD67870F8D7BFA64_13</vt:lpwstr>
  </property>
  <property fmtid="{D5CDD505-2E9C-101B-9397-08002B2CF9AE}" pid="4" name="KSOTemplateDocerSaveRecord">
    <vt:lpwstr>eyJoZGlkIjoiNzMxMGU5Nzg3MmY3ODc4OGY0NjA5ODJhY2VhNzA1YzgiLCJ1c2VySWQiOiIzNjQxOTEyMTcifQ==</vt:lpwstr>
  </property>
</Properties>
</file>