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1、更正（澄清）内容（一）</w:t>
      </w:r>
    </w:p>
    <w:tbl>
      <w:tblPr>
        <w:tblStyle w:val="7"/>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944"/>
        <w:gridCol w:w="136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原招标文件</w:t>
            </w:r>
          </w:p>
        </w:tc>
        <w:tc>
          <w:tcPr>
            <w:tcW w:w="4550"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现更正为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0" w:hRule="atLeast"/>
        </w:trPr>
        <w:tc>
          <w:tcPr>
            <w:tcW w:w="13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电瓶车检测设备</w:t>
            </w:r>
          </w:p>
        </w:tc>
        <w:tc>
          <w:tcPr>
            <w:tcW w:w="2944" w:type="dxa"/>
            <w:vAlign w:val="top"/>
          </w:tcPr>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电梯电瓶车识别网络摄像机,主码流支持1920x1080@25fps,最低照度彩色0.002lx。</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2、内置1个GPU芯片，1个麦克风，1个扬声器。</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内置1颗红外补光灯，1颗白光闪光灯。</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内置 ToF 传感器，可通过IE浏览器设置遮挡报警距离、时长及布防时间，当在布防时间内检测到有物体距离样机的距离低于设定阈值且达到设置遮挡时长时，可在客户端给出报警提示，并可联动声音报警、上传中心、录像、发送邮件及触发报警输出。</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当报警输入、报警输出时，可在报警时间内联动声音报警。报警声音模式可设为警戒音、提示音或自定义3种模式，警戒音具有不低于11种不同的语音播报类型可选，报警音量和重复次数可设置。</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具有电梯内危险物品检测功能，当检测到煤气罐、电瓶进入电梯内时，可触发声光报警、上传中心、上传云服务器、上传FTP/SD卡/NAS、发送邮件、联动报警输出。</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7、支持多边形电瓶车检测区域，并可实时统计区域中的电瓶车数量及位置；可设置报警触发条件，满足条件时，可触发报警信息。</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可通过IE浏览器或客户端软件开启/关闭电瓶车遗留侦测功能，可设置警戒区域，可对电瓶车停留时间进行设置，可对停留时间超过设置阈值的电瓶车进行检测，叠加目标提示框，并产生报警。</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样机检测到电瓶车车身的30~50%的比例进入警戒画面并达到停留时间时，可自动识别并触发报警。</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当自行车、玩具车、婴儿车、手推车或超市推车等目标进入监控区域时，不应产生报警。</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可开启/关闭持续报警输出，启用后，电瓶车遗留侦测报警可联动持续的报警输出，在布控区域内会保持报警状态，电瓶车离开布防区域后报警输出可自动关闭。</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支持多边形人数检测区域，可实时统计区域中人员数量及位置，支持在预览画面上实时显示统计人数，支持将检测结果定时上传。</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t>13、▲具有数据管理分析能力，可定期提交报警信息统计分析数据。</w:t>
            </w:r>
          </w:p>
        </w:tc>
        <w:tc>
          <w:tcPr>
            <w:tcW w:w="1362"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电瓶车检测设备</w:t>
            </w:r>
          </w:p>
        </w:tc>
        <w:tc>
          <w:tcPr>
            <w:tcW w:w="3188" w:type="dxa"/>
            <w:tcBorders/>
            <w:vAlign w:val="top"/>
          </w:tcPr>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电梯电瓶车识别网络摄像</w:t>
            </w:r>
            <w:bookmarkStart w:id="0" w:name="_GoBack"/>
            <w:bookmarkEnd w:id="0"/>
            <w:r>
              <w:rPr>
                <w:rFonts w:hint="eastAsia" w:ascii="宋体" w:hAnsi="宋体" w:eastAsia="宋体" w:cs="宋体"/>
                <w:color w:val="auto"/>
                <w:sz w:val="24"/>
                <w:szCs w:val="24"/>
              </w:rPr>
              <w:t>机,主码流支持1920x1080@25fps,最低照度彩色0.002lx。</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2、内置1个GPU芯片，1个麦克风，1个扬声器。</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内置1颗红外补光灯，1颗白光闪光灯。</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内置 ToF 传感器，可通过IE浏览器设置遮挡报警距离、时长及布防时间，当在布防时间内检测到有物体距离样机的距离低于设定阈值且达到设置遮挡时长时，可在客户端给出报警提示，并可联动声音报警、上传中心、录像、发送邮件及触发报警输出。</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当报警输入、报警输出时，可在报警时间内联动声音报警。报警声音模式可设为警戒音、提示音或自定义3种模式，警戒音具有不低于11种不同的语音播报类型可选，报警音量和重复次数可设置。</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具有电梯内危险物品检测功能，当检测到煤气罐、电瓶进入电梯内时，可触发声光报警、上传中心、上传云服务器、上传FTP/SD卡/NAS、发送邮件、联动报警输出。</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7、支持多边形电瓶车检测区域，并可实时统计区域中的电瓶车数量及位置；可设置报警触发条件，满足条件时，可触发报警信息。</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可通过IE浏览器或客户端软件开启/关闭电瓶车遗留侦测功能，可设置警戒区域，可对电瓶车停留时间进行设置，可对停留时间超过设置阈值的电瓶车进行检测，叠加目标提示框，并产生报警。</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样机检测到电瓶车车身的30~50%的比例进入警戒画面并达到停留时间时，可自动识别并触发报警。</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当自行车、玩具车、婴儿车、手推车或超市推车等目标进入监控区域时，不应产生报警。</w:t>
            </w:r>
          </w:p>
          <w:p>
            <w:pPr>
              <w:widowControl/>
              <w:spacing w:after="0"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可开启/关闭持续报警输出，启用后，电瓶车遗留侦测报警可联动持续的报警输出，在布控区域内会保持报警状态，电瓶车离开布防区域后报警输出可自动关闭。</w:t>
            </w:r>
          </w:p>
          <w:p>
            <w:pPr>
              <w:widowControl/>
              <w:spacing w:after="0" w:line="300" w:lineRule="exact"/>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支持多边形人数检测区域，可实时统计区域中人员数量及位置，支持在预览画面上实时显示统计人数，支持将检测结果定时上传。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7" w:type="dxa"/>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配套电源</w:t>
            </w:r>
          </w:p>
        </w:tc>
        <w:tc>
          <w:tcPr>
            <w:tcW w:w="2944" w:type="dxa"/>
            <w:vAlign w:val="top"/>
          </w:tcPr>
          <w:p>
            <w:pPr>
              <w:widowControl/>
              <w:numPr>
                <w:ilvl w:val="0"/>
                <w:numId w:val="1"/>
              </w:numPr>
              <w:spacing w:after="0" w:line="3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配套电源</w:t>
            </w:r>
          </w:p>
          <w:p>
            <w:pPr>
              <w:widowControl/>
              <w:numPr>
                <w:ilvl w:val="0"/>
                <w:numId w:val="1"/>
              </w:numPr>
              <w:spacing w:after="0"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国标</w:t>
            </w:r>
          </w:p>
          <w:p>
            <w:pPr>
              <w:widowControl/>
              <w:numPr>
                <w:ilvl w:val="0"/>
                <w:numId w:val="1"/>
              </w:numPr>
              <w:spacing w:after="0"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12V1A输出</w:t>
            </w:r>
          </w:p>
          <w:p>
            <w:pPr>
              <w:widowControl/>
              <w:numPr>
                <w:ilvl w:val="0"/>
                <w:numId w:val="1"/>
              </w:numPr>
              <w:spacing w:after="0"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Φ2.1圆头</w:t>
            </w:r>
          </w:p>
          <w:p>
            <w:pPr>
              <w:widowControl/>
              <w:numPr>
                <w:ilvl w:val="0"/>
                <w:numId w:val="1"/>
              </w:numPr>
              <w:spacing w:after="0"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桌面式</w:t>
            </w:r>
          </w:p>
          <w:p>
            <w:pPr>
              <w:widowControl/>
              <w:numPr>
                <w:ilvl w:val="0"/>
                <w:numId w:val="1"/>
              </w:numPr>
              <w:spacing w:after="0"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输入350mm</w:t>
            </w:r>
          </w:p>
          <w:p>
            <w:pPr>
              <w:widowControl/>
              <w:numPr>
                <w:ilvl w:val="0"/>
                <w:numId w:val="1"/>
              </w:numPr>
              <w:spacing w:after="0" w:line="3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输出800mm</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输入电压：AC170V~240V</w:t>
            </w:r>
          </w:p>
        </w:tc>
        <w:tc>
          <w:tcPr>
            <w:tcW w:w="1362" w:type="dxa"/>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配套电源</w:t>
            </w:r>
          </w:p>
        </w:tc>
        <w:tc>
          <w:tcPr>
            <w:tcW w:w="3188" w:type="dxa"/>
            <w:vAlign w:val="top"/>
          </w:tcPr>
          <w:p>
            <w:pPr>
              <w:widowControl/>
              <w:numPr>
                <w:ilvl w:val="0"/>
                <w:numId w:val="2"/>
              </w:numPr>
              <w:spacing w:after="0" w:line="3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配套电源</w:t>
            </w:r>
          </w:p>
          <w:p>
            <w:pPr>
              <w:widowControl/>
              <w:numPr>
                <w:ilvl w:val="0"/>
                <w:numId w:val="2"/>
              </w:numPr>
              <w:spacing w:after="0" w:line="300" w:lineRule="exact"/>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国标</w:t>
            </w:r>
          </w:p>
          <w:p>
            <w:pPr>
              <w:widowControl/>
              <w:numPr>
                <w:ilvl w:val="0"/>
                <w:numId w:val="2"/>
              </w:numPr>
              <w:spacing w:after="0" w:line="300" w:lineRule="exact"/>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12V1A输出</w:t>
            </w:r>
          </w:p>
          <w:p>
            <w:pPr>
              <w:widowControl/>
              <w:numPr>
                <w:ilvl w:val="0"/>
                <w:numId w:val="2"/>
              </w:numPr>
              <w:spacing w:after="0" w:line="300" w:lineRule="exact"/>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Φ2.1圆头</w:t>
            </w:r>
          </w:p>
          <w:p>
            <w:pPr>
              <w:widowControl/>
              <w:numPr>
                <w:ilvl w:val="0"/>
                <w:numId w:val="2"/>
              </w:numPr>
              <w:spacing w:after="0" w:line="300" w:lineRule="exact"/>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桌面式</w:t>
            </w:r>
          </w:p>
          <w:p>
            <w:pPr>
              <w:widowControl/>
              <w:numPr>
                <w:numId w:val="0"/>
              </w:numPr>
              <w:spacing w:after="0" w:line="30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6、输入电压：AC170V~240V</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2、其他事项不变</w:t>
      </w:r>
      <w:r>
        <w:rPr>
          <w:rFonts w:hint="eastAsia" w:ascii="宋体" w:hAnsi="宋体" w:cs="宋体" w:eastAsiaTheme="minorEastAsia"/>
          <w:b/>
          <w:bCs/>
          <w:color w:val="000000" w:themeColor="text1"/>
          <w:kern w:val="2"/>
          <w:sz w:val="28"/>
          <w:szCs w:val="28"/>
          <w:lang w:val="en-US" w:eastAsia="zh-CN" w:bidi="ar-SA"/>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78D4EB"/>
    <w:multiLevelType w:val="singleLevel"/>
    <w:tmpl w:val="C878D4EB"/>
    <w:lvl w:ilvl="0" w:tentative="0">
      <w:start w:val="1"/>
      <w:numFmt w:val="decimal"/>
      <w:suff w:val="nothing"/>
      <w:lvlText w:val="%1、"/>
      <w:lvlJc w:val="left"/>
    </w:lvl>
  </w:abstractNum>
  <w:abstractNum w:abstractNumId="1">
    <w:nsid w:val="D7492010"/>
    <w:multiLevelType w:val="singleLevel"/>
    <w:tmpl w:val="D749201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5256"/>
    <w:rsid w:val="0219237F"/>
    <w:rsid w:val="03CE1BEB"/>
    <w:rsid w:val="08F23C3E"/>
    <w:rsid w:val="0C8218C8"/>
    <w:rsid w:val="0CEA12C0"/>
    <w:rsid w:val="0D4633E2"/>
    <w:rsid w:val="0FA027A9"/>
    <w:rsid w:val="1278117C"/>
    <w:rsid w:val="12E5288F"/>
    <w:rsid w:val="132A1CFF"/>
    <w:rsid w:val="14933A05"/>
    <w:rsid w:val="193818B3"/>
    <w:rsid w:val="1B61011A"/>
    <w:rsid w:val="1B953EE3"/>
    <w:rsid w:val="1D3959F6"/>
    <w:rsid w:val="22804CA2"/>
    <w:rsid w:val="228D69A7"/>
    <w:rsid w:val="245737A0"/>
    <w:rsid w:val="24C72FAB"/>
    <w:rsid w:val="253A41A3"/>
    <w:rsid w:val="25CF65B4"/>
    <w:rsid w:val="294D5A62"/>
    <w:rsid w:val="305F1A47"/>
    <w:rsid w:val="343106FF"/>
    <w:rsid w:val="372D1296"/>
    <w:rsid w:val="376901F9"/>
    <w:rsid w:val="3A78161A"/>
    <w:rsid w:val="3B577D39"/>
    <w:rsid w:val="3CD36D4C"/>
    <w:rsid w:val="43692641"/>
    <w:rsid w:val="438643B2"/>
    <w:rsid w:val="44267DA8"/>
    <w:rsid w:val="4C1A1AE7"/>
    <w:rsid w:val="50BC4AE5"/>
    <w:rsid w:val="58AA4307"/>
    <w:rsid w:val="612E25F8"/>
    <w:rsid w:val="66A32DF3"/>
    <w:rsid w:val="684B33F5"/>
    <w:rsid w:val="6B364973"/>
    <w:rsid w:val="73987BFD"/>
    <w:rsid w:val="76322097"/>
    <w:rsid w:val="7656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文本11"/>
    <w:basedOn w:val="1"/>
    <w:next w:val="1"/>
    <w:unhideWhenUsed/>
    <w:qFormat/>
    <w:uiPriority w:val="99"/>
    <w:pPr>
      <w:spacing w:after="120"/>
    </w:pPr>
    <w:rPr>
      <w:szCs w:val="24"/>
    </w:rPr>
  </w:style>
  <w:style w:type="paragraph" w:styleId="3">
    <w:name w:val="Body Text"/>
    <w:basedOn w:val="1"/>
    <w:qFormat/>
    <w:uiPriority w:val="0"/>
    <w:pPr>
      <w:spacing w:after="120" w:afterLines="0" w:afterAutospacing="0"/>
    </w:pPr>
  </w:style>
  <w:style w:type="paragraph" w:styleId="4">
    <w:name w:val="Normal (Web)"/>
    <w:basedOn w:val="1"/>
    <w:qFormat/>
    <w:uiPriority w:val="99"/>
    <w:pPr>
      <w:spacing w:before="100" w:beforeAutospacing="1" w:after="100" w:afterAutospacing="1"/>
    </w:pPr>
    <w:rPr>
      <w:rFonts w:ascii="宋体" w:hAnsi="宋体" w:cs="宋体"/>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qFormat/>
    <w:uiPriority w:val="0"/>
    <w:pPr>
      <w:widowControl w:val="0"/>
    </w:pPr>
    <w:rPr>
      <w:rFonts w:ascii="宋体" w:hAnsi="Times New Roman" w:eastAsia="宋体" w:cs="Times New Roman"/>
      <w:color w:val="000000"/>
      <w:sz w:val="24"/>
      <w:szCs w:val="24"/>
      <w:lang w:val="en-US" w:eastAsia="zh-CN" w:bidi="ar-SA"/>
    </w:rPr>
  </w:style>
  <w:style w:type="paragraph" w:customStyle="1" w:styleId="9">
    <w:name w:val="正文1"/>
    <w:basedOn w:val="10"/>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11"/>
    <w:next w:val="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
    <w:name w:val="目录 11"/>
    <w:basedOn w:val="12"/>
    <w:next w:val="10"/>
    <w:qFormat/>
    <w:uiPriority w:val="0"/>
  </w:style>
  <w:style w:type="paragraph" w:customStyle="1" w:styleId="12">
    <w:name w:val="正文12"/>
    <w:next w:val="13"/>
    <w:qFormat/>
    <w:uiPriority w:val="0"/>
    <w:pPr>
      <w:widowControl w:val="0"/>
      <w:jc w:val="both"/>
    </w:pPr>
    <w:rPr>
      <w:rFonts w:ascii="Calibri" w:hAnsi="Calibri" w:eastAsia="Calibri" w:cs="Times New Roman"/>
      <w:sz w:val="21"/>
      <w:szCs w:val="24"/>
      <w:lang w:val="en-US" w:eastAsia="zh-CN" w:bidi="ar-SA"/>
    </w:rPr>
  </w:style>
  <w:style w:type="paragraph" w:customStyle="1" w:styleId="13">
    <w:name w:val="脚注文本1"/>
    <w:basedOn w:val="9"/>
    <w:next w:val="14"/>
    <w:qFormat/>
    <w:uiPriority w:val="0"/>
    <w:pPr>
      <w:jc w:val="left"/>
    </w:pPr>
    <w:rPr>
      <w:rFonts w:ascii="宋体" w:eastAsia="Times New Roman"/>
      <w:sz w:val="18"/>
      <w:szCs w:val="18"/>
    </w:rPr>
  </w:style>
  <w:style w:type="paragraph" w:customStyle="1" w:styleId="14">
    <w:name w:val="索引 51"/>
    <w:basedOn w:val="9"/>
    <w:next w:val="9"/>
    <w:qFormat/>
    <w:uiPriority w:val="0"/>
    <w:pPr>
      <w:ind w:left="798"/>
      <w:jc w:val="left"/>
    </w:pPr>
    <w:rPr>
      <w:rFonts w:ascii="Calibri" w:hAnsi="Calibri"/>
    </w:rPr>
  </w:style>
  <w:style w:type="paragraph" w:customStyle="1" w:styleId="15">
    <w:name w:val="正文文本1"/>
    <w:basedOn w:val="10"/>
    <w:next w:val="16"/>
    <w:qFormat/>
    <w:uiPriority w:val="0"/>
    <w:pPr>
      <w:spacing w:after="120"/>
    </w:pPr>
    <w:rPr>
      <w:rFonts w:ascii="Calibri" w:hAnsi="Calibri"/>
    </w:rPr>
  </w:style>
  <w:style w:type="paragraph" w:customStyle="1" w:styleId="16">
    <w:name w:val="一级条标题"/>
    <w:basedOn w:val="17"/>
    <w:next w:val="1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7">
    <w:name w:val="章标题"/>
    <w:next w:val="9"/>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18">
    <w:name w:val="段"/>
    <w:basedOn w:val="9"/>
    <w:next w:val="1"/>
    <w:qFormat/>
    <w:uiPriority w:val="0"/>
    <w:pPr>
      <w:widowControl/>
      <w:ind w:firstLine="200"/>
    </w:pPr>
    <w:rPr>
      <w:rFonts w:ascii="宋体"/>
      <w:sz w:val="20"/>
      <w:szCs w:val="20"/>
    </w:rPr>
  </w:style>
  <w:style w:type="paragraph" w:customStyle="1" w:styleId="19">
    <w:name w:val="首行缩进"/>
    <w:basedOn w:val="9"/>
    <w:qFormat/>
    <w:uiPriority w:val="0"/>
    <w:pPr>
      <w:ind w:firstLine="480"/>
    </w:pPr>
    <w:rPr>
      <w:sz w:val="20"/>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1166</Words>
  <Characters>1280</Characters>
  <Lines>0</Lines>
  <Paragraphs>0</Paragraphs>
  <TotalTime>3</TotalTime>
  <ScaleCrop>false</ScaleCrop>
  <LinksUpToDate>false</LinksUpToDate>
  <CharactersWithSpaces>1286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孟凡恩</cp:lastModifiedBy>
  <dcterms:modified xsi:type="dcterms:W3CDTF">2024-12-11T07:07:00Z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BA0D81866ACC41D5BFA90F3123B94EA8_12</vt:lpwstr>
  </property>
</Properties>
</file>