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021DB">
      <w:pPr>
        <w:pStyle w:val="4"/>
        <w:ind w:firstLine="560"/>
        <w:rPr>
          <w:rFonts w:hint="eastAsia"/>
          <w:lang w:val="en-US"/>
        </w:rPr>
      </w:pPr>
      <w:r>
        <w:rPr>
          <w:rFonts w:hint="eastAsia" w:ascii="宋体" w:hAnsi="宋体" w:eastAsia="宋体" w:cs="宋体"/>
          <w:sz w:val="28"/>
          <w:szCs w:val="28"/>
        </w:rPr>
        <w:t>如有建议或意见，请以书面形式并加盖公章、注明联系人、联系方式，于</w:t>
      </w:r>
      <w:r>
        <w:rPr>
          <w:rFonts w:hint="eastAsia" w:ascii="宋体" w:hAnsi="宋体" w:cs="宋体"/>
          <w:sz w:val="28"/>
          <w:szCs w:val="28"/>
          <w:lang w:eastAsia="zh-CN"/>
        </w:rPr>
        <w:t>2024年</w:t>
      </w:r>
      <w:r>
        <w:rPr>
          <w:rFonts w:hint="eastAsia" w:ascii="宋体" w:hAnsi="宋体" w:cs="宋体"/>
          <w:sz w:val="28"/>
          <w:szCs w:val="28"/>
          <w:lang w:val="en-US" w:eastAsia="zh-CN"/>
        </w:rPr>
        <w:t>11</w:t>
      </w:r>
      <w:r>
        <w:rPr>
          <w:rFonts w:hint="eastAsia" w:ascii="宋体" w:hAnsi="宋体" w:cs="宋体"/>
          <w:sz w:val="28"/>
          <w:szCs w:val="28"/>
          <w:lang w:eastAsia="zh-CN"/>
        </w:rPr>
        <w:t>月</w:t>
      </w:r>
      <w:r>
        <w:rPr>
          <w:rFonts w:hint="eastAsia" w:ascii="宋体" w:hAnsi="宋体" w:cs="宋体"/>
          <w:sz w:val="28"/>
          <w:szCs w:val="28"/>
          <w:lang w:val="en-US" w:eastAsia="zh-CN"/>
        </w:rPr>
        <w:t>12</w:t>
      </w:r>
      <w:r>
        <w:rPr>
          <w:rFonts w:hint="eastAsia" w:ascii="宋体" w:hAnsi="宋体" w:cs="宋体"/>
          <w:sz w:val="28"/>
          <w:szCs w:val="28"/>
          <w:lang w:eastAsia="zh-CN"/>
        </w:rPr>
        <w:t>日</w:t>
      </w:r>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rPr>
        <w:t>:00之前送至我单位，逾期不受理（如邮寄，</w:t>
      </w:r>
      <w:r>
        <w:rPr>
          <w:rFonts w:hint="eastAsia" w:ascii="宋体" w:hAnsi="宋体" w:cs="宋体"/>
          <w:sz w:val="28"/>
          <w:szCs w:val="28"/>
          <w:lang w:eastAsia="zh-CN"/>
        </w:rPr>
        <w:t>2024年</w:t>
      </w:r>
      <w:r>
        <w:rPr>
          <w:rFonts w:hint="eastAsia" w:ascii="宋体" w:hAnsi="宋体" w:cs="宋体"/>
          <w:sz w:val="28"/>
          <w:szCs w:val="28"/>
          <w:lang w:val="en-US" w:eastAsia="zh-CN"/>
        </w:rPr>
        <w:t>11</w:t>
      </w:r>
      <w:r>
        <w:rPr>
          <w:rFonts w:hint="eastAsia" w:ascii="宋体" w:hAnsi="宋体" w:cs="宋体"/>
          <w:sz w:val="28"/>
          <w:szCs w:val="28"/>
          <w:lang w:eastAsia="zh-CN"/>
        </w:rPr>
        <w:t>月</w:t>
      </w:r>
      <w:r>
        <w:rPr>
          <w:rFonts w:hint="eastAsia" w:ascii="宋体" w:hAnsi="宋体" w:cs="宋体"/>
          <w:sz w:val="28"/>
          <w:szCs w:val="28"/>
          <w:lang w:val="en-US" w:eastAsia="zh-CN"/>
        </w:rPr>
        <w:t>12</w:t>
      </w:r>
      <w:r>
        <w:rPr>
          <w:rFonts w:hint="eastAsia" w:ascii="宋体" w:hAnsi="宋体" w:cs="宋体"/>
          <w:sz w:val="28"/>
          <w:szCs w:val="28"/>
          <w:lang w:eastAsia="zh-CN"/>
        </w:rPr>
        <w:t>日</w:t>
      </w:r>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rPr>
        <w:t>:00之后到达本公司的邮件将不再受理）</w:t>
      </w:r>
    </w:p>
    <w:p w14:paraId="2ECD9250"/>
    <w:p w14:paraId="783BE5C5"/>
    <w:p w14:paraId="14B7B018"/>
    <w:p w14:paraId="5923C9CA"/>
    <w:p w14:paraId="0CD8164A"/>
    <w:p w14:paraId="7581BEFB"/>
    <w:p w14:paraId="3793C90E"/>
    <w:p w14:paraId="329B4FC4"/>
    <w:p w14:paraId="3128BED5"/>
    <w:p w14:paraId="20635D65"/>
    <w:p w14:paraId="23DEF22C"/>
    <w:p w14:paraId="34C87013"/>
    <w:p w14:paraId="4FA5D6E2"/>
    <w:p w14:paraId="32B8A714"/>
    <w:p w14:paraId="242A01A9"/>
    <w:p w14:paraId="18478208"/>
    <w:p w14:paraId="52EACAA1"/>
    <w:p w14:paraId="756B029A"/>
    <w:p w14:paraId="40E10C57"/>
    <w:p w14:paraId="3CA901F3"/>
    <w:p w14:paraId="537A28DD"/>
    <w:p w14:paraId="6D200D36"/>
    <w:p w14:paraId="176117AA"/>
    <w:p w14:paraId="6B48B80E"/>
    <w:p w14:paraId="3E488161"/>
    <w:p w14:paraId="332B53B8"/>
    <w:p w14:paraId="0A304EFB"/>
    <w:p w14:paraId="1ECF5EBC"/>
    <w:p w14:paraId="4B6AC861"/>
    <w:p w14:paraId="25743128"/>
    <w:p w14:paraId="2D69933C"/>
    <w:p w14:paraId="39B1578A"/>
    <w:p w14:paraId="3A6099FF"/>
    <w:p w14:paraId="3A3FAD4F"/>
    <w:p w14:paraId="475BA8E3"/>
    <w:p w14:paraId="20E14CF0"/>
    <w:p w14:paraId="2B93B26E"/>
    <w:p w14:paraId="354B268F"/>
    <w:p w14:paraId="147E2B82">
      <w:pPr>
        <w:spacing w:before="120" w:after="120" w:line="400" w:lineRule="exact"/>
        <w:jc w:val="center"/>
        <w:rPr>
          <w:rFonts w:hint="default" w:asciiTheme="minorEastAsia" w:hAnsiTheme="minorEastAsia" w:eastAsiaTheme="minorEastAsia" w:cstheme="minorEastAsia"/>
          <w:b/>
          <w:sz w:val="32"/>
          <w:szCs w:val="32"/>
          <w:highlight w:val="none"/>
          <w:lang w:val="en-US" w:eastAsia="zh-CN"/>
        </w:rPr>
      </w:pPr>
      <w:r>
        <w:rPr>
          <w:rFonts w:hint="eastAsia" w:asciiTheme="minorEastAsia" w:hAnsiTheme="minorEastAsia" w:eastAsiaTheme="minorEastAsia" w:cstheme="minorEastAsia"/>
          <w:b/>
          <w:sz w:val="32"/>
          <w:szCs w:val="32"/>
          <w:highlight w:val="none"/>
        </w:rPr>
        <w:t xml:space="preserve">第六章  </w:t>
      </w:r>
      <w:r>
        <w:rPr>
          <w:rFonts w:hint="eastAsia" w:asciiTheme="minorEastAsia" w:hAnsiTheme="minorEastAsia" w:eastAsiaTheme="minorEastAsia" w:cstheme="minorEastAsia"/>
          <w:b/>
          <w:sz w:val="32"/>
          <w:szCs w:val="32"/>
          <w:highlight w:val="none"/>
          <w:lang w:val="en-US" w:eastAsia="zh-CN"/>
        </w:rPr>
        <w:t>采购需求</w:t>
      </w:r>
    </w:p>
    <w:p w14:paraId="6D21D122">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both"/>
        <w:textAlignment w:val="auto"/>
        <w:outlineLvl w:val="1"/>
        <w:rPr>
          <w:rFonts w:hint="eastAsia" w:asciiTheme="minorEastAsia" w:hAnsiTheme="minorEastAsia" w:eastAsiaTheme="minorEastAsia" w:cstheme="minorEastAsia"/>
          <w:b/>
          <w:bCs/>
          <w:sz w:val="24"/>
          <w:szCs w:val="24"/>
          <w:lang w:val="en-US" w:eastAsia="zh-CN"/>
        </w:rPr>
      </w:pPr>
      <w:bookmarkStart w:id="0" w:name="_Toc10585"/>
      <w:r>
        <w:rPr>
          <w:rFonts w:hint="eastAsia" w:asciiTheme="minorEastAsia" w:hAnsiTheme="minorEastAsia" w:eastAsiaTheme="minorEastAsia" w:cstheme="minorEastAsia"/>
          <w:b/>
          <w:bCs/>
          <w:sz w:val="24"/>
          <w:szCs w:val="24"/>
          <w:lang w:val="en-US" w:eastAsia="zh-CN"/>
        </w:rPr>
        <w:t>一、本项目采购预算金额如下</w:t>
      </w:r>
      <w:bookmarkEnd w:id="0"/>
    </w:p>
    <w:p w14:paraId="6BC722D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本项目不接受超</w:t>
      </w:r>
      <w:r>
        <w:rPr>
          <w:rFonts w:hint="eastAsia" w:asciiTheme="minorEastAsia" w:hAnsiTheme="minorEastAsia" w:eastAsiaTheme="minorEastAsia" w:cstheme="minorEastAsia"/>
          <w:b w:val="0"/>
          <w:bCs w:val="0"/>
          <w:sz w:val="24"/>
          <w:szCs w:val="24"/>
          <w:u w:val="none"/>
          <w:lang w:val="en-US" w:eastAsia="zh-CN"/>
        </w:rPr>
        <w:t>过1400万元人民币的投标报价；服务期限为2年。</w:t>
      </w:r>
    </w:p>
    <w:p w14:paraId="7182FB13">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outlineLvl w:val="1"/>
        <w:rPr>
          <w:rFonts w:hint="eastAsia" w:asciiTheme="minorEastAsia" w:hAnsiTheme="minorEastAsia" w:eastAsiaTheme="minorEastAsia" w:cstheme="minorEastAsia"/>
          <w:b w:val="0"/>
          <w:bCs w:val="0"/>
          <w:sz w:val="24"/>
          <w:szCs w:val="24"/>
          <w:lang w:val="en-US" w:eastAsia="zh-CN"/>
        </w:rPr>
      </w:pPr>
      <w:bookmarkStart w:id="1" w:name="_Toc25527"/>
      <w:r>
        <w:rPr>
          <w:rFonts w:hint="eastAsia" w:asciiTheme="minorEastAsia" w:hAnsiTheme="minorEastAsia" w:eastAsiaTheme="minorEastAsia" w:cstheme="minorEastAsia"/>
          <w:b w:val="0"/>
          <w:bCs w:val="0"/>
          <w:sz w:val="24"/>
          <w:szCs w:val="24"/>
          <w:lang w:val="en-US" w:eastAsia="zh-CN"/>
        </w:rPr>
        <w:t>总报价包括人工费、资料费、服装、清扫工具、耗材、相关税金、合理利润以及投标人认为完成本项目所需要的其他费用等。招标人不再支付报价以外的任何费用。</w:t>
      </w:r>
    </w:p>
    <w:p w14:paraId="56FDE357">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both"/>
        <w:textAlignment w:val="auto"/>
        <w:outlineLvl w:val="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二、项目概况</w:t>
      </w:r>
      <w:bookmarkEnd w:id="1"/>
    </w:p>
    <w:p w14:paraId="4F733B4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沛县安国镇五网协同市场化运营体系实施方案》｛沛政办发〔2021〕8号｝的通知要求，结合我镇实际情况，构建环卫保洁、垃圾分类、再生资源回收、公共设施管护、便民服务“五网协同”市场化运行体系。</w:t>
      </w:r>
    </w:p>
    <w:p w14:paraId="402F4B73">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both"/>
        <w:textAlignment w:val="auto"/>
        <w:outlineLvl w:val="1"/>
        <w:rPr>
          <w:rFonts w:hint="eastAsia" w:asciiTheme="minorEastAsia" w:hAnsiTheme="minorEastAsia" w:eastAsiaTheme="minorEastAsia" w:cstheme="minorEastAsia"/>
          <w:b/>
          <w:bCs/>
          <w:sz w:val="24"/>
          <w:szCs w:val="24"/>
          <w:lang w:val="en-US" w:eastAsia="zh-CN"/>
        </w:rPr>
      </w:pPr>
      <w:bookmarkStart w:id="2" w:name="_Toc24970"/>
      <w:r>
        <w:rPr>
          <w:rFonts w:hint="eastAsia" w:asciiTheme="minorEastAsia" w:hAnsiTheme="minorEastAsia" w:eastAsiaTheme="minorEastAsia" w:cstheme="minorEastAsia"/>
          <w:b/>
          <w:bCs/>
          <w:sz w:val="24"/>
          <w:szCs w:val="24"/>
          <w:lang w:val="en-US" w:eastAsia="zh-CN"/>
        </w:rPr>
        <w:t>三、项目实施范围</w:t>
      </w:r>
      <w:bookmarkEnd w:id="2"/>
    </w:p>
    <w:p w14:paraId="26FCCB97">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安国镇全辖区范围</w:t>
      </w:r>
    </w:p>
    <w:p w14:paraId="75E402AE">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both"/>
        <w:textAlignment w:val="auto"/>
        <w:outlineLvl w:val="1"/>
        <w:rPr>
          <w:rFonts w:hint="eastAsia" w:asciiTheme="minorEastAsia" w:hAnsiTheme="minorEastAsia" w:eastAsiaTheme="minorEastAsia" w:cstheme="minorEastAsia"/>
          <w:b/>
          <w:bCs/>
          <w:sz w:val="24"/>
          <w:szCs w:val="24"/>
          <w:lang w:val="en-US" w:eastAsia="zh-CN"/>
        </w:rPr>
      </w:pPr>
      <w:bookmarkStart w:id="3" w:name="_Toc22463"/>
      <w:r>
        <w:rPr>
          <w:rFonts w:hint="eastAsia" w:asciiTheme="minorEastAsia" w:hAnsiTheme="minorEastAsia" w:eastAsiaTheme="minorEastAsia" w:cstheme="minorEastAsia"/>
          <w:b/>
          <w:bCs/>
          <w:sz w:val="24"/>
          <w:szCs w:val="24"/>
          <w:lang w:val="en-US" w:eastAsia="zh-CN"/>
        </w:rPr>
        <w:t>四、项目实施内容</w:t>
      </w:r>
      <w:bookmarkEnd w:id="3"/>
    </w:p>
    <w:p w14:paraId="1608FC09">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构建环卫保洁、垃圾分类、再生资源回收、公共设施管护、便民服务“五网协同”市场化运行体系。</w:t>
      </w:r>
    </w:p>
    <w:p w14:paraId="7CB20051">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1、环卫保洁</w:t>
      </w:r>
    </w:p>
    <w:p w14:paraId="5FB3C63D">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（1）镇区的主干道、街区道路，背街小巷等公共区域保洁作业采取人工清扫和机械化保洁相结合的方式。每天早上7点前完成道路普扫后，转入正常巡回保洁，巡回保洁时间内，不得出 现断档期。</w:t>
      </w:r>
    </w:p>
    <w:p w14:paraId="7E10A8C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镇区主干道每天机扫2遍，最低气温高于0°的天气洒水每天3遍。街区道路每天洒水1遍，实行单班制作业，作业时间为夏季上午6：00-11：00，下午2：00-5：00；冬季上午6：30-11：30，下午1：30-5：30。作业时间内保洁人员统一着标志服，保洁工具齐全。遇到重大检查突击活动，乙方配合甲方，需要增加额外突击整治费用由甲方负责。</w:t>
      </w:r>
    </w:p>
    <w:p w14:paraId="0D179D83">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（2）村庄公共区域及周边</w:t>
      </w:r>
    </w:p>
    <w:p w14:paraId="11CB104C">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采取村庄道路普扫和巡回保洁的方式，每周道路普扫至少2遍，巡回保洁不得出现断档期。实行单班制作业，作业时间为夏季上午7：00-11：00，下午2：30-6：00；冬季上午7：30-11：30，下午1：30-5：00。作业时间内保洁人员统一着标志服，保洁工具齐全。村庄保洁员管理由甲方安排环卫所进行管理，乙方负责发放工资劳保和保险福利等。</w:t>
      </w:r>
    </w:p>
    <w:p w14:paraId="2E8092E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（3）农村公厕</w:t>
      </w:r>
    </w:p>
    <w:p w14:paraId="6746EB63">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实现全天候开放，全时段保洁。做到定时消杀、无异味，秋季节和疫情期间，应增加消毒次数；地面清洁、无积水、无纸屑烟头等杂物，每天上下午各应打扫、清理废弃物收集容器不少于1次，人流量大的公厕应增加清理频次；墙面、天花板、门窗、洗手盆、隔板整洁，无乱涂乱画、无污迹、无 积灰、无蜘蛛网，每天清理不少于1次；小便池、大便槽（蹲坑）保持整洁，无蝇蛆孳生、无堵塞、满溢等现象，无明显生锈、尿垢、粪迹、垃圾，管道畅通；公厕周围环境干净整洁，每天保洁不少于1次，化粪池应及时抽取，杜绝粪污满溢（不包含公厕水电费）。</w:t>
      </w:r>
    </w:p>
    <w:p w14:paraId="32347D4A">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2、垃圾分类</w:t>
      </w:r>
    </w:p>
    <w:p w14:paraId="68ADE77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（1）垃圾分类投放</w:t>
      </w:r>
    </w:p>
    <w:p w14:paraId="03DC94B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实行“厨余垃圾、可回收物、有害垃圾、其他垃圾”四分类。240L垃圾桶由甲方进行按照上级要求配备，甲方负责为村民配备户垃圾分类收集桶，分别是“厨余垃圾收集桶”和“其他垃圾收集桶”。村内设置有害垃圾和可回收物暂存点，由村民自行投放后，保洁员实行分类收集。</w:t>
      </w:r>
    </w:p>
    <w:p w14:paraId="328D04F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（2）垃圾分类收运处置</w:t>
      </w:r>
    </w:p>
    <w:p w14:paraId="5571DFA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甲方负责建设镇级可回收物站及有害垃圾归集点。保洁员收集村民户“厨余垃圾”和“其他垃圾”，村民自行投放有害垃圾和可回收物至村暂存点，保洁员定时定点分类收集。村民分类投放的生活垃圾严格按照“不同垃圾、不同车辆、不同去向”的原则，实施分类转运，将其他垃圾和厨余垃圾送至垃圾分类中转房后，其他垃圾用压缩车转运至镇垃圾中转站，经再次压缩后送至县垃圾焚烧发电厂，临近县垃圾焚烧发电厂的镇、街道垃圾中转房，其他垃圾经压缩后也可直运至县垃圾焚烧发电厂进行处置。厨余垃圾由保洁员使用厨余垃圾收运车送至附近村庄厌氧发酵池或阳光堆肥房。有害垃圾送至镇有害垃圾归集点，可回收物送至镇大件垃圾和可回收物分拣中心。</w:t>
      </w:r>
    </w:p>
    <w:p w14:paraId="421C3DD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（3）浓厚宣传氛围</w:t>
      </w:r>
    </w:p>
    <w:p w14:paraId="11BD4147">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乙方负责在辖区内定期开展垃圾分类上门宣传活动；甲方负责营造宣传氛围，每个自然村设置宣传阵地（上墙宣传和宣传栏），提高村民参与率和知晓率。</w:t>
      </w:r>
    </w:p>
    <w:p w14:paraId="758C281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（4）落实激励制度</w:t>
      </w:r>
    </w:p>
    <w:p w14:paraId="2DA45C07">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为保障垃圾分类工作正常运行，提高村民垃圾分类的意识和行动，通过设立公示栏、红黑榜、点赞墙、笑脸墙等形式落实评比制度。严格按照《安国镇垃圾分类积分兑换办法》实施。积极推进刘邦点店试点村的积分兑换政策。</w:t>
      </w:r>
    </w:p>
    <w:p w14:paraId="51F10E8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（5）垃圾中转站管理</w:t>
      </w:r>
    </w:p>
    <w:p w14:paraId="2E646AF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按照《沛县农村生活垃圾转运站建设标准及管理规范》文件要求，进一步规范转运站建设和管理，完善设施设备使用功能，提升转运承载能力，确保转运站正常运行。</w:t>
      </w:r>
    </w:p>
    <w:p w14:paraId="16C9B451">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3、再生资源回收</w:t>
      </w:r>
    </w:p>
    <w:p w14:paraId="2D9AC4E0">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推进再生资源回收“一镇一站、一村一点”网格化布点建设与运营，依托环卫保洁网和垃圾分类收运网，落实好保洁员前端上门收集可回收物、分拣运输，实现再生资源回收利用和垃圾分类处理的融合运行，推动再生资源规范化、专业化处理和利用。配合取缔无证照废品收购站（点），对证照齐全的废品收购站（点）依据镇区规划进行优化整合后，可与市场化企业采取融合的方式经营。</w:t>
      </w:r>
    </w:p>
    <w:p w14:paraId="69A956AE">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4、公共设施管护</w:t>
      </w:r>
    </w:p>
    <w:p w14:paraId="3EA922D5">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建立2人管养队伍，负责镇免费公厕的普通器件维修、粪池粪污抽取等（不包含公厕主体和装修的管护）。</w:t>
      </w:r>
    </w:p>
    <w:p w14:paraId="5DFDE08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5、便民服务</w:t>
      </w:r>
    </w:p>
    <w:p w14:paraId="007897D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对五网协同运营试点村便民服务增设便民服务超市，由镇或者村进行超市招租并配合市场化公司进行积分兑换。同时五网协同站点对本村村民提供免费便民服务，同时作为垃圾分类宣传阵地。</w:t>
      </w:r>
    </w:p>
    <w:p w14:paraId="41EBC292">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both"/>
        <w:textAlignment w:val="auto"/>
        <w:outlineLvl w:val="1"/>
        <w:rPr>
          <w:rFonts w:hint="eastAsia" w:asciiTheme="minorEastAsia" w:hAnsiTheme="minorEastAsia" w:eastAsiaTheme="minorEastAsia" w:cstheme="minorEastAsia"/>
          <w:b/>
          <w:bCs/>
          <w:sz w:val="24"/>
          <w:szCs w:val="24"/>
          <w:lang w:val="en-US" w:eastAsia="zh-CN"/>
        </w:rPr>
      </w:pPr>
      <w:bookmarkStart w:id="4" w:name="_Toc706"/>
      <w:r>
        <w:rPr>
          <w:rFonts w:hint="eastAsia" w:asciiTheme="minorEastAsia" w:hAnsiTheme="minorEastAsia" w:eastAsiaTheme="minorEastAsia" w:cstheme="minorEastAsia"/>
          <w:b/>
          <w:bCs/>
          <w:sz w:val="24"/>
          <w:szCs w:val="24"/>
          <w:lang w:val="en-US" w:eastAsia="zh-CN"/>
        </w:rPr>
        <w:t>五、市场化运行公司工作责任</w:t>
      </w:r>
      <w:bookmarkEnd w:id="4"/>
    </w:p>
    <w:p w14:paraId="517D28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负责各类车辆投入及标准化配置；负责按照标准配备各类人员；负责运营镇级可回收物站及有害垃圾归集点；负责运营各镇（场）街道交由完好的中转站、垃圾分类处置设施、公厕、可回收物站点、有害垃圾归集点、村垃圾分类中转房等设施的管理、运行等（不包含水电费）；负责巡查柴草、秸秆、粪堆等乱堆乱放情况，并及时向镇（场）街道汇报（不包含人居环境整治）；主管部门交办的临时性任务等。组织机构健全，应当按照企业规范管理要求设立各相关内部管理机构，管理人员规范着装、挂牌上岗；必须配备足够的通讯设备并保持畅通。各项管理制度健全，制定各岗位操作规范，定期组织安全生产教育，具有完善的突发事件应急预案。</w:t>
      </w:r>
    </w:p>
    <w:p w14:paraId="1A18FBAE">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both"/>
        <w:textAlignment w:val="auto"/>
        <w:outlineLvl w:val="1"/>
        <w:rPr>
          <w:rFonts w:hint="eastAsia" w:asciiTheme="minorEastAsia" w:hAnsiTheme="minorEastAsia" w:eastAsiaTheme="minorEastAsia" w:cstheme="minorEastAsia"/>
          <w:b/>
          <w:bCs/>
          <w:sz w:val="24"/>
          <w:szCs w:val="24"/>
          <w:lang w:val="en-US" w:eastAsia="zh-CN"/>
        </w:rPr>
      </w:pPr>
      <w:bookmarkStart w:id="5" w:name="_Toc709"/>
      <w:r>
        <w:rPr>
          <w:rFonts w:hint="eastAsia" w:asciiTheme="minorEastAsia" w:hAnsiTheme="minorEastAsia" w:eastAsiaTheme="minorEastAsia" w:cstheme="minorEastAsia"/>
          <w:b/>
          <w:bCs/>
          <w:sz w:val="24"/>
          <w:szCs w:val="24"/>
          <w:lang w:val="en-US" w:eastAsia="zh-CN"/>
        </w:rPr>
        <w:t>六、</w:t>
      </w:r>
      <w:bookmarkEnd w:id="5"/>
      <w:r>
        <w:rPr>
          <w:rFonts w:hint="eastAsia" w:asciiTheme="minorEastAsia" w:hAnsiTheme="minorEastAsia" w:eastAsiaTheme="minorEastAsia" w:cstheme="minorEastAsia"/>
          <w:b/>
          <w:bCs/>
          <w:sz w:val="24"/>
          <w:szCs w:val="24"/>
          <w:lang w:val="en-US" w:eastAsia="zh-CN"/>
        </w:rPr>
        <w:t>采购需求</w:t>
      </w:r>
    </w:p>
    <w:p w14:paraId="0831B60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1、市场化运行公司必须遵守劳动法，依法规范用工，符合条件的须参加基本社会养老保险，按法律、法规及文件规定执行。</w:t>
      </w:r>
    </w:p>
    <w:p w14:paraId="075D577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2、按采购人要求在每月25日前向采购人提供相关运行资料，包括但不限于人员信息、工资和加班费发放、设备（车辆）信息、垃圾清运量等，并确保资料信息的真实性。</w:t>
      </w:r>
    </w:p>
    <w:p w14:paraId="463AF23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3、如投标人为非项目所在地注册登记的单位，则必须在投标文件中承诺中标后于合同签订前在项目所在地设立分（子）公司并在项目所在地纳税，能够满足办公、仓储、停车等要求。</w:t>
      </w:r>
    </w:p>
    <w:p w14:paraId="3FFB1B7C">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说明：投标文件中必须提供“中标后于合同签订前在项目所在地设立分支机构并在项目所在地纳税，能够满足办公、仓储、停车等要求”的承诺文件。否则按照无效投标处理。</w:t>
      </w:r>
    </w:p>
    <w:p w14:paraId="2651E36D">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both"/>
        <w:textAlignment w:val="auto"/>
        <w:outlineLvl w:val="1"/>
        <w:rPr>
          <w:rFonts w:hint="eastAsia" w:asciiTheme="minorEastAsia" w:hAnsiTheme="minorEastAsia" w:eastAsiaTheme="minorEastAsia" w:cstheme="minorEastAsia"/>
          <w:b/>
          <w:bCs/>
          <w:sz w:val="24"/>
          <w:szCs w:val="24"/>
          <w:lang w:val="en-US" w:eastAsia="zh-CN"/>
        </w:rPr>
      </w:pPr>
      <w:bookmarkStart w:id="6" w:name="_Toc16841"/>
      <w:r>
        <w:rPr>
          <w:rFonts w:hint="eastAsia" w:asciiTheme="minorEastAsia" w:hAnsiTheme="minorEastAsia" w:eastAsiaTheme="minorEastAsia" w:cstheme="minorEastAsia"/>
          <w:b/>
          <w:bCs/>
          <w:sz w:val="24"/>
          <w:szCs w:val="24"/>
          <w:lang w:val="en-US" w:eastAsia="zh-CN"/>
        </w:rPr>
        <w:t>七、人员、设备配置要求（本项不允许负偏离，否则按废标处理）</w:t>
      </w:r>
      <w:bookmarkEnd w:id="6"/>
    </w:p>
    <w:p w14:paraId="41A6F28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（一）人员、设备专用原则</w:t>
      </w:r>
    </w:p>
    <w:p w14:paraId="11EFF88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人员专用原则：项目所有人员专门服务于本项目，不得用于其他项目中。项目负责人应为投标人本单位人员（提供3个月（含）以上社保缴纳证明），必须具有两年以上环卫管理经验，提供相关主管单位证明，且需常驻本项目。</w:t>
      </w:r>
    </w:p>
    <w:p w14:paraId="75B7618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2、设备（车辆）专用原则：投标人必须按照招标文件要求配备相关车辆设备，且承诺投入各标段车辆不得用于其他标段或其他项目。</w:t>
      </w:r>
    </w:p>
    <w:p w14:paraId="27AF8AC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（二）人员配置基本要求</w:t>
      </w:r>
    </w:p>
    <w:p w14:paraId="27369AF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1、环卫作业人员年龄要求</w:t>
      </w:r>
    </w:p>
    <w:p w14:paraId="5AF565A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（1）符合相关法律、法规规定。</w:t>
      </w:r>
    </w:p>
    <w:p w14:paraId="4077776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（2）人员总数最低应满足下表要求：</w:t>
      </w:r>
    </w:p>
    <w:tbl>
      <w:tblPr>
        <w:tblStyle w:val="8"/>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97"/>
        <w:gridCol w:w="1675"/>
        <w:gridCol w:w="1018"/>
        <w:gridCol w:w="926"/>
        <w:gridCol w:w="1097"/>
        <w:gridCol w:w="818"/>
        <w:gridCol w:w="818"/>
        <w:gridCol w:w="1034"/>
        <w:gridCol w:w="1034"/>
      </w:tblGrid>
      <w:tr w14:paraId="4BB8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74" w:hRule="atLeast"/>
        </w:trPr>
        <w:tc>
          <w:tcPr>
            <w:tcW w:w="997" w:type="dxa"/>
            <w:vAlign w:val="center"/>
          </w:tcPr>
          <w:p w14:paraId="07294FB2">
            <w:pPr>
              <w:spacing w:before="767" w:line="255" w:lineRule="exact"/>
              <w:ind w:left="8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项目经理</w:t>
            </w:r>
            <w:r>
              <w:rPr>
                <w:rFonts w:hint="eastAsia" w:asciiTheme="minorEastAsia" w:hAnsiTheme="minorEastAsia" w:eastAsiaTheme="minorEastAsia" w:cstheme="minorEastAsia"/>
                <w:color w:val="000000"/>
                <w:sz w:val="24"/>
                <w:szCs w:val="24"/>
              </w:rPr>
              <w:t>员</w:t>
            </w:r>
          </w:p>
        </w:tc>
        <w:tc>
          <w:tcPr>
            <w:tcW w:w="1675" w:type="dxa"/>
            <w:vAlign w:val="center"/>
          </w:tcPr>
          <w:p w14:paraId="45FF01BB">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镇区保洁员</w:t>
            </w:r>
          </w:p>
        </w:tc>
        <w:tc>
          <w:tcPr>
            <w:tcW w:w="1018" w:type="dxa"/>
            <w:vAlign w:val="center"/>
          </w:tcPr>
          <w:p w14:paraId="19D29A98">
            <w:pPr>
              <w:spacing w:before="422" w:line="460" w:lineRule="exact"/>
              <w:ind w:left="8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村庄保洁员</w:t>
            </w:r>
          </w:p>
        </w:tc>
        <w:tc>
          <w:tcPr>
            <w:tcW w:w="926" w:type="dxa"/>
            <w:vAlign w:val="center"/>
          </w:tcPr>
          <w:p w14:paraId="213484A4">
            <w:pPr>
              <w:spacing w:before="422" w:line="460" w:lineRule="exact"/>
              <w:ind w:left="6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公厕保洁员</w:t>
            </w:r>
          </w:p>
        </w:tc>
        <w:tc>
          <w:tcPr>
            <w:tcW w:w="1097" w:type="dxa"/>
            <w:vAlign w:val="center"/>
          </w:tcPr>
          <w:p w14:paraId="4EB7D07C">
            <w:pPr>
              <w:spacing w:before="208" w:line="440" w:lineRule="exact"/>
              <w:ind w:left="8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垃圾分类处置设施管理员</w:t>
            </w:r>
          </w:p>
        </w:tc>
        <w:tc>
          <w:tcPr>
            <w:tcW w:w="818" w:type="dxa"/>
            <w:vAlign w:val="center"/>
          </w:tcPr>
          <w:p w14:paraId="12487F9D">
            <w:pPr>
              <w:spacing w:before="767" w:line="255" w:lineRule="exact"/>
              <w:ind w:firstLine="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公厕</w:t>
            </w:r>
            <w:r>
              <w:rPr>
                <w:rFonts w:hint="eastAsia" w:asciiTheme="minorEastAsia" w:hAnsiTheme="minorEastAsia" w:eastAsiaTheme="minorEastAsia" w:cstheme="minorEastAsia"/>
                <w:color w:val="000000"/>
                <w:sz w:val="24"/>
                <w:szCs w:val="24"/>
                <w:lang w:eastAsia="zh-CN"/>
              </w:rPr>
              <w:t>维修工</w:t>
            </w:r>
          </w:p>
        </w:tc>
        <w:tc>
          <w:tcPr>
            <w:tcW w:w="818" w:type="dxa"/>
            <w:vAlign w:val="center"/>
          </w:tcPr>
          <w:p w14:paraId="7FAA104F">
            <w:pPr>
              <w:spacing w:before="767" w:line="255" w:lineRule="exact"/>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驾驶员</w:t>
            </w:r>
          </w:p>
        </w:tc>
        <w:tc>
          <w:tcPr>
            <w:tcW w:w="1034" w:type="dxa"/>
            <w:vAlign w:val="center"/>
          </w:tcPr>
          <w:p w14:paraId="3C17B533">
            <w:pPr>
              <w:spacing w:before="767" w:line="255" w:lineRule="exact"/>
              <w:ind w:firstLine="0"/>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挂桶工</w:t>
            </w:r>
          </w:p>
        </w:tc>
        <w:tc>
          <w:tcPr>
            <w:tcW w:w="1034" w:type="dxa"/>
            <w:vAlign w:val="center"/>
          </w:tcPr>
          <w:p w14:paraId="6DCCE5A5">
            <w:pPr>
              <w:spacing w:before="767" w:line="255" w:lineRule="exact"/>
              <w:ind w:firstLine="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主副镇区管理员</w:t>
            </w:r>
          </w:p>
        </w:tc>
      </w:tr>
      <w:tr w14:paraId="51DC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atLeast"/>
        </w:trPr>
        <w:tc>
          <w:tcPr>
            <w:tcW w:w="997" w:type="dxa"/>
            <w:vAlign w:val="center"/>
          </w:tcPr>
          <w:p w14:paraId="63B32E2C">
            <w:pPr>
              <w:spacing w:line="240" w:lineRule="exact"/>
              <w:ind w:firstLine="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1</w:t>
            </w:r>
          </w:p>
        </w:tc>
        <w:tc>
          <w:tcPr>
            <w:tcW w:w="1675" w:type="dxa"/>
            <w:vAlign w:val="center"/>
          </w:tcPr>
          <w:p w14:paraId="2BED4E95">
            <w:pPr>
              <w:spacing w:line="216" w:lineRule="exact"/>
              <w:ind w:left="80" w:firstLine="0"/>
              <w:jc w:val="center"/>
              <w:rPr>
                <w:rFonts w:hint="eastAsia" w:asciiTheme="minorEastAsia" w:hAnsiTheme="minorEastAsia" w:eastAsiaTheme="minorEastAsia" w:cstheme="minorEastAsia"/>
                <w:sz w:val="24"/>
                <w:szCs w:val="24"/>
              </w:rPr>
            </w:pPr>
            <w:r>
              <w:rPr>
                <w:rFonts w:hint="eastAsia"/>
              </w:rPr>
              <w:t>65</w:t>
            </w:r>
          </w:p>
        </w:tc>
        <w:tc>
          <w:tcPr>
            <w:tcW w:w="1018" w:type="dxa"/>
            <w:vAlign w:val="center"/>
          </w:tcPr>
          <w:p w14:paraId="31FACB6F">
            <w:pPr>
              <w:spacing w:line="240" w:lineRule="exact"/>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125</w:t>
            </w:r>
          </w:p>
        </w:tc>
        <w:tc>
          <w:tcPr>
            <w:tcW w:w="926" w:type="dxa"/>
            <w:vAlign w:val="center"/>
          </w:tcPr>
          <w:p w14:paraId="6574F8E3">
            <w:pPr>
              <w:spacing w:line="240" w:lineRule="exact"/>
              <w:ind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175</w:t>
            </w:r>
          </w:p>
        </w:tc>
        <w:tc>
          <w:tcPr>
            <w:tcW w:w="1097" w:type="dxa"/>
            <w:vAlign w:val="center"/>
          </w:tcPr>
          <w:p w14:paraId="39B24CE4">
            <w:pPr>
              <w:spacing w:line="240" w:lineRule="exact"/>
              <w:ind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11</w:t>
            </w:r>
          </w:p>
        </w:tc>
        <w:tc>
          <w:tcPr>
            <w:tcW w:w="818" w:type="dxa"/>
            <w:vAlign w:val="center"/>
          </w:tcPr>
          <w:p w14:paraId="05BB3EFF">
            <w:pPr>
              <w:spacing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818" w:type="dxa"/>
            <w:vAlign w:val="center"/>
          </w:tcPr>
          <w:p w14:paraId="730DCD54">
            <w:pPr>
              <w:spacing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11</w:t>
            </w:r>
          </w:p>
        </w:tc>
        <w:tc>
          <w:tcPr>
            <w:tcW w:w="1034" w:type="dxa"/>
            <w:vAlign w:val="center"/>
          </w:tcPr>
          <w:p w14:paraId="2C90B06D">
            <w:pPr>
              <w:spacing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8</w:t>
            </w:r>
          </w:p>
        </w:tc>
        <w:tc>
          <w:tcPr>
            <w:tcW w:w="1034" w:type="dxa"/>
            <w:vAlign w:val="center"/>
          </w:tcPr>
          <w:p w14:paraId="517E9532">
            <w:pPr>
              <w:spacing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p>
        </w:tc>
      </w:tr>
    </w:tbl>
    <w:p w14:paraId="6DA6375E">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备注：</w:t>
      </w:r>
    </w:p>
    <w:p w14:paraId="15E0FA4F">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上述人数不含法定节假日、周末调休人数；管理人员包括班长、主管、车队长，不包括项目部组成人员；道路保洁人员包括一线道路清扫、捡拾、快速巡回保洁人员等道路一线作业人员；项目经理、会计等项目部组成人员不统计在人员配置要求内。</w:t>
      </w:r>
    </w:p>
    <w:p w14:paraId="0285C10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2、中标人承担所有人员及设备的安全责任及费用。</w:t>
      </w:r>
    </w:p>
    <w:p w14:paraId="1E6DC7B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3、中标人须为作业人员提供工作服及必要的劳动防护用品。</w:t>
      </w:r>
    </w:p>
    <w:p w14:paraId="2FF974C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4、投标文件中提供</w:t>
      </w:r>
      <w:r>
        <w:rPr>
          <w:rFonts w:hint="eastAsia" w:asciiTheme="minorEastAsia" w:hAnsiTheme="minorEastAsia" w:eastAsiaTheme="minorEastAsia" w:cstheme="minorEastAsia"/>
          <w:b/>
          <w:bCs/>
          <w:sz w:val="24"/>
          <w:szCs w:val="24"/>
          <w:lang w:val="en-US" w:eastAsia="zh-CN"/>
        </w:rPr>
        <w:t>“中标后作业人员配置”的承诺文件</w:t>
      </w:r>
      <w:r>
        <w:rPr>
          <w:rFonts w:hint="eastAsia" w:asciiTheme="minorEastAsia" w:hAnsiTheme="minorEastAsia" w:eastAsiaTheme="minorEastAsia" w:cstheme="minorEastAsia"/>
          <w:b w:val="0"/>
          <w:bCs w:val="0"/>
          <w:sz w:val="24"/>
          <w:szCs w:val="24"/>
          <w:lang w:val="en-US" w:eastAsia="zh-CN"/>
        </w:rPr>
        <w:t>，否则按照无效投标处理。</w:t>
      </w:r>
    </w:p>
    <w:p w14:paraId="38B15836">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（三）设备（车辆）、工具配置基本要求</w:t>
      </w:r>
    </w:p>
    <w:p w14:paraId="7EC22A9C">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1、设备（车辆）、工具配置基本要求</w:t>
      </w:r>
    </w:p>
    <w:tbl>
      <w:tblPr>
        <w:tblStyle w:val="8"/>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34"/>
        <w:gridCol w:w="750"/>
        <w:gridCol w:w="1016"/>
        <w:gridCol w:w="767"/>
        <w:gridCol w:w="1000"/>
        <w:gridCol w:w="1267"/>
        <w:gridCol w:w="1033"/>
        <w:gridCol w:w="783"/>
        <w:gridCol w:w="750"/>
        <w:gridCol w:w="1012"/>
      </w:tblGrid>
      <w:tr w14:paraId="3FD0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1" w:hRule="atLeast"/>
          <w:jc w:val="center"/>
        </w:trPr>
        <w:tc>
          <w:tcPr>
            <w:tcW w:w="934" w:type="dxa"/>
            <w:vAlign w:val="center"/>
          </w:tcPr>
          <w:p w14:paraId="17BEF09E">
            <w:pPr>
              <w:spacing w:before="678"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压缩式收运车辆</w:t>
            </w:r>
          </w:p>
        </w:tc>
        <w:tc>
          <w:tcPr>
            <w:tcW w:w="750" w:type="dxa"/>
            <w:vAlign w:val="center"/>
          </w:tcPr>
          <w:p w14:paraId="2D273F04">
            <w:pPr>
              <w:spacing w:before="468" w:line="44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移动式垃圾压缩箱车</w:t>
            </w:r>
          </w:p>
        </w:tc>
        <w:tc>
          <w:tcPr>
            <w:tcW w:w="1016" w:type="dxa"/>
            <w:vAlign w:val="center"/>
          </w:tcPr>
          <w:p w14:paraId="6ABE9F38">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洒水车（需配100米雾炮）</w:t>
            </w:r>
          </w:p>
        </w:tc>
        <w:tc>
          <w:tcPr>
            <w:tcW w:w="767" w:type="dxa"/>
            <w:vAlign w:val="center"/>
          </w:tcPr>
          <w:p w14:paraId="5B4785F4">
            <w:pPr>
              <w:spacing w:before="468" w:line="440" w:lineRule="exact"/>
              <w:ind w:left="8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机扫车</w:t>
            </w:r>
          </w:p>
        </w:tc>
        <w:tc>
          <w:tcPr>
            <w:tcW w:w="1000" w:type="dxa"/>
            <w:vAlign w:val="center"/>
          </w:tcPr>
          <w:p w14:paraId="0C0902B1">
            <w:pPr>
              <w:spacing w:before="205"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保洁员专用电动收集车</w:t>
            </w:r>
          </w:p>
        </w:tc>
        <w:tc>
          <w:tcPr>
            <w:tcW w:w="1267" w:type="dxa"/>
            <w:vAlign w:val="center"/>
          </w:tcPr>
          <w:p w14:paraId="0E2133CE">
            <w:pPr>
              <w:spacing w:before="428"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保洁员垃圾分类收集车（载桶式）</w:t>
            </w:r>
          </w:p>
        </w:tc>
        <w:tc>
          <w:tcPr>
            <w:tcW w:w="1033" w:type="dxa"/>
            <w:vAlign w:val="center"/>
          </w:tcPr>
          <w:p w14:paraId="0F20C77B">
            <w:pPr>
              <w:spacing w:before="205"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公共设施维护专业维护车辆</w:t>
            </w:r>
          </w:p>
        </w:tc>
        <w:tc>
          <w:tcPr>
            <w:tcW w:w="783" w:type="dxa"/>
            <w:vAlign w:val="center"/>
          </w:tcPr>
          <w:p w14:paraId="4D92E017">
            <w:pPr>
              <w:spacing w:before="465" w:line="420" w:lineRule="exact"/>
              <w:ind w:left="100" w:firstLine="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洒水车</w:t>
            </w:r>
          </w:p>
        </w:tc>
        <w:tc>
          <w:tcPr>
            <w:tcW w:w="750" w:type="dxa"/>
            <w:vAlign w:val="center"/>
          </w:tcPr>
          <w:p w14:paraId="7B711A74">
            <w:pPr>
              <w:spacing w:before="465" w:line="420" w:lineRule="exact"/>
              <w:ind w:left="10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抽粪车</w:t>
            </w:r>
          </w:p>
        </w:tc>
        <w:tc>
          <w:tcPr>
            <w:tcW w:w="1012" w:type="dxa"/>
            <w:vAlign w:val="center"/>
          </w:tcPr>
          <w:p w14:paraId="0D43373A">
            <w:pPr>
              <w:spacing w:before="465" w:line="420" w:lineRule="exact"/>
              <w:ind w:left="100" w:firstLine="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电动压缩垃圾车</w:t>
            </w:r>
          </w:p>
        </w:tc>
      </w:tr>
      <w:tr w14:paraId="1930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7" w:hRule="atLeast"/>
          <w:jc w:val="center"/>
        </w:trPr>
        <w:tc>
          <w:tcPr>
            <w:tcW w:w="934" w:type="dxa"/>
            <w:vAlign w:val="center"/>
          </w:tcPr>
          <w:p w14:paraId="362B78C3">
            <w:pPr>
              <w:spacing w:before="214" w:line="1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6</w:t>
            </w:r>
          </w:p>
        </w:tc>
        <w:tc>
          <w:tcPr>
            <w:tcW w:w="750" w:type="dxa"/>
            <w:vAlign w:val="center"/>
          </w:tcPr>
          <w:p w14:paraId="4696A3CA">
            <w:pPr>
              <w:spacing w:before="207" w:line="210" w:lineRule="exact"/>
              <w:ind w:firstLine="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1</w:t>
            </w:r>
          </w:p>
        </w:tc>
        <w:tc>
          <w:tcPr>
            <w:tcW w:w="1016" w:type="dxa"/>
            <w:vAlign w:val="center"/>
          </w:tcPr>
          <w:p w14:paraId="6260EEDD">
            <w:pPr>
              <w:spacing w:before="209" w:line="210" w:lineRule="exact"/>
              <w:ind w:left="80" w:firstLine="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1</w:t>
            </w:r>
          </w:p>
        </w:tc>
        <w:tc>
          <w:tcPr>
            <w:tcW w:w="767" w:type="dxa"/>
            <w:vAlign w:val="center"/>
          </w:tcPr>
          <w:p w14:paraId="0D813196">
            <w:pPr>
              <w:spacing w:before="207" w:line="210" w:lineRule="exact"/>
              <w:ind w:firstLine="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1</w:t>
            </w:r>
          </w:p>
        </w:tc>
        <w:tc>
          <w:tcPr>
            <w:tcW w:w="1000" w:type="dxa"/>
            <w:vAlign w:val="center"/>
          </w:tcPr>
          <w:p w14:paraId="53F80B7C">
            <w:pPr>
              <w:spacing w:line="210" w:lineRule="exact"/>
              <w:ind w:left="6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65</w:t>
            </w:r>
          </w:p>
        </w:tc>
        <w:tc>
          <w:tcPr>
            <w:tcW w:w="1267" w:type="dxa"/>
            <w:vAlign w:val="center"/>
          </w:tcPr>
          <w:p w14:paraId="7E507E7B">
            <w:pPr>
              <w:spacing w:line="210" w:lineRule="exact"/>
              <w:ind w:left="80" w:firstLine="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lang w:val="en-US" w:eastAsia="zh-CN"/>
              </w:rPr>
              <w:t>125</w:t>
            </w:r>
          </w:p>
        </w:tc>
        <w:tc>
          <w:tcPr>
            <w:tcW w:w="1033" w:type="dxa"/>
            <w:vAlign w:val="center"/>
          </w:tcPr>
          <w:p w14:paraId="0663AE49">
            <w:pPr>
              <w:spacing w:before="196" w:line="180" w:lineRule="exact"/>
              <w:ind w:left="8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p>
        </w:tc>
        <w:tc>
          <w:tcPr>
            <w:tcW w:w="783" w:type="dxa"/>
            <w:vAlign w:val="center"/>
          </w:tcPr>
          <w:p w14:paraId="757B2297">
            <w:pPr>
              <w:spacing w:before="207" w:line="210" w:lineRule="exact"/>
              <w:ind w:left="60" w:firstLine="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750" w:type="dxa"/>
            <w:vAlign w:val="center"/>
          </w:tcPr>
          <w:p w14:paraId="04893672">
            <w:pPr>
              <w:spacing w:before="207" w:line="210" w:lineRule="exact"/>
              <w:ind w:left="6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p>
        </w:tc>
        <w:tc>
          <w:tcPr>
            <w:tcW w:w="1012" w:type="dxa"/>
            <w:vAlign w:val="center"/>
          </w:tcPr>
          <w:p w14:paraId="7048B1F2">
            <w:pPr>
              <w:spacing w:before="207" w:line="210" w:lineRule="exact"/>
              <w:ind w:left="60" w:firstLine="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r>
    </w:tbl>
    <w:p w14:paraId="4D0824F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注：1、镇现有压缩式收运车1辆、移动式垃圾压缩箱车1辆、洒水车1辆、机扫车1辆，以上现有车辆中标后镇政府无偿提供使用，需配置专职驾驶员。</w:t>
      </w:r>
    </w:p>
    <w:p w14:paraId="7A333A1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市场化公司负责压缩式收运车1辆、洒水车1辆、移动式垃圾压缩箱车1辆车辆和机扫车1辆的车辆维修和保险。</w:t>
      </w:r>
    </w:p>
    <w:p w14:paraId="0DCC97FD">
      <w:pPr>
        <w:keepNext w:val="0"/>
        <w:keepLines w:val="0"/>
        <w:pageBreakBefore w:val="0"/>
        <w:widowControl w:val="0"/>
        <w:kinsoku/>
        <w:wordWrap/>
        <w:overflowPunct/>
        <w:topLinePunct w:val="0"/>
        <w:autoSpaceDE/>
        <w:autoSpaceDN/>
        <w:bidi w:val="0"/>
        <w:adjustRightInd w:val="0"/>
        <w:snapToGrid w:val="0"/>
        <w:spacing w:line="288" w:lineRule="auto"/>
        <w:ind w:firstLine="960" w:firstLineChars="4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2、设备（车辆）外观要求标识统一，中标后，必须按采购方要求进行车辆涂装，相关费用包含于投标报价内。</w:t>
      </w:r>
    </w:p>
    <w:p w14:paraId="25044508">
      <w:pPr>
        <w:keepNext w:val="0"/>
        <w:keepLines w:val="0"/>
        <w:pageBreakBefore w:val="0"/>
        <w:widowControl w:val="0"/>
        <w:kinsoku/>
        <w:wordWrap/>
        <w:overflowPunct/>
        <w:topLinePunct w:val="0"/>
        <w:autoSpaceDE/>
        <w:autoSpaceDN/>
        <w:bidi w:val="0"/>
        <w:adjustRightInd w:val="0"/>
        <w:snapToGrid w:val="0"/>
        <w:spacing w:line="288" w:lineRule="auto"/>
        <w:ind w:firstLine="482" w:firstLineChars="200"/>
        <w:jc w:val="both"/>
        <w:textAlignment w:val="auto"/>
        <w:outlineLvl w:val="1"/>
        <w:rPr>
          <w:rFonts w:hint="eastAsia" w:asciiTheme="minorEastAsia" w:hAnsiTheme="minorEastAsia" w:eastAsiaTheme="minorEastAsia" w:cstheme="minorEastAsia"/>
          <w:b/>
          <w:bCs/>
          <w:sz w:val="24"/>
          <w:szCs w:val="24"/>
          <w:lang w:val="en-US" w:eastAsia="zh-CN"/>
        </w:rPr>
      </w:pPr>
      <w:bookmarkStart w:id="7" w:name="_Toc16639"/>
      <w:r>
        <w:rPr>
          <w:rFonts w:hint="eastAsia" w:asciiTheme="minorEastAsia" w:hAnsiTheme="minorEastAsia" w:eastAsiaTheme="minorEastAsia" w:cstheme="minorEastAsia"/>
          <w:b/>
          <w:bCs/>
          <w:sz w:val="24"/>
          <w:szCs w:val="24"/>
          <w:lang w:val="en-US" w:eastAsia="zh-CN"/>
        </w:rPr>
        <w:t>八、实施要求</w:t>
      </w:r>
      <w:bookmarkEnd w:id="7"/>
    </w:p>
    <w:p w14:paraId="3144961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（一）投标人应针对本项目加强组织领导，制定农村“五网协同”市场化运行体系服务方案，服务方案至少应包含以下部分</w:t>
      </w:r>
    </w:p>
    <w:p w14:paraId="3CA81C5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1、项目分析</w:t>
      </w:r>
    </w:p>
    <w:p w14:paraId="5641F075">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投标人根据招标文件、地方情况和个人理解等方面，对项目整体、作业范围、实施内容、人员及设备、工具配备、监督考核、作业难点重点、应急、突击、重大活动保障、安全作业管理等进行分析。</w:t>
      </w:r>
    </w:p>
    <w:p w14:paraId="777A392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1、项目管理团队、场所配备方案</w:t>
      </w:r>
    </w:p>
    <w:p w14:paraId="1B678ADE">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投标人应根据项目特点建立项目管理小组，项目管理小组应包含项目经理一名和管理小组成员若干，提供停车场地、办公场所等使用方案，内部管理、设施设备管养等制度。投标文件中应编制《项目管理团队、场所配备方案》并提供《项目组织架构表》格式自拟。</w:t>
      </w:r>
    </w:p>
    <w:p w14:paraId="679E212C">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（二）环卫保洁</w:t>
      </w:r>
    </w:p>
    <w:p w14:paraId="6C6CF985">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1、人工保洁管理方案</w:t>
      </w:r>
    </w:p>
    <w:p w14:paraId="4CC53DB9">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方案内容中至少包含道路的排班、组织、岗位设置、人工作业规范、内部人员管理制度、内部人员岗位职责等内容，填写《道路清扫保洁人员配备表》格式如下：</w:t>
      </w:r>
    </w:p>
    <w:tbl>
      <w:tblPr>
        <w:tblStyle w:val="8"/>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847"/>
        <w:gridCol w:w="1848"/>
        <w:gridCol w:w="1848"/>
        <w:gridCol w:w="1282"/>
        <w:gridCol w:w="1304"/>
        <w:gridCol w:w="1611"/>
      </w:tblGrid>
      <w:tr w14:paraId="317F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atLeast"/>
        </w:trPr>
        <w:tc>
          <w:tcPr>
            <w:tcW w:w="9740" w:type="dxa"/>
            <w:gridSpan w:val="6"/>
            <w:vAlign w:val="center"/>
          </w:tcPr>
          <w:p w14:paraId="4FF9F179">
            <w:pPr>
              <w:spacing w:line="225" w:lineRule="exact"/>
              <w:ind w:left="42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道路清扫保洁人员配备表</w:t>
            </w:r>
          </w:p>
        </w:tc>
      </w:tr>
      <w:tr w14:paraId="269F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atLeast"/>
        </w:trPr>
        <w:tc>
          <w:tcPr>
            <w:tcW w:w="1847" w:type="dxa"/>
            <w:vAlign w:val="center"/>
          </w:tcPr>
          <w:p w14:paraId="1D311377">
            <w:pPr>
              <w:spacing w:line="300" w:lineRule="exact"/>
              <w:ind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序号</w:t>
            </w:r>
          </w:p>
        </w:tc>
        <w:tc>
          <w:tcPr>
            <w:tcW w:w="1848" w:type="dxa"/>
            <w:vAlign w:val="center"/>
          </w:tcPr>
          <w:p w14:paraId="1202BCD7">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道路名称</w:t>
            </w:r>
          </w:p>
        </w:tc>
        <w:tc>
          <w:tcPr>
            <w:tcW w:w="1848" w:type="dxa"/>
            <w:vAlign w:val="center"/>
          </w:tcPr>
          <w:p w14:paraId="1F8F537D">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起点</w:t>
            </w:r>
          </w:p>
        </w:tc>
        <w:tc>
          <w:tcPr>
            <w:tcW w:w="1282" w:type="dxa"/>
            <w:vAlign w:val="center"/>
          </w:tcPr>
          <w:p w14:paraId="2BE976BB">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终点</w:t>
            </w:r>
          </w:p>
        </w:tc>
        <w:tc>
          <w:tcPr>
            <w:tcW w:w="1304" w:type="dxa"/>
            <w:vAlign w:val="center"/>
          </w:tcPr>
          <w:p w14:paraId="7EB03246">
            <w:pPr>
              <w:spacing w:line="30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岗位数</w:t>
            </w:r>
          </w:p>
        </w:tc>
        <w:tc>
          <w:tcPr>
            <w:tcW w:w="1611" w:type="dxa"/>
            <w:vAlign w:val="center"/>
          </w:tcPr>
          <w:p w14:paraId="133C6B6E">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人员数</w:t>
            </w:r>
          </w:p>
        </w:tc>
      </w:tr>
      <w:tr w14:paraId="35C6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atLeast"/>
        </w:trPr>
        <w:tc>
          <w:tcPr>
            <w:tcW w:w="1847" w:type="dxa"/>
            <w:vAlign w:val="center"/>
          </w:tcPr>
          <w:p w14:paraId="7FA6EAE2">
            <w:pPr>
              <w:spacing w:line="300" w:lineRule="exact"/>
              <w:ind w:firstLine="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848" w:type="dxa"/>
            <w:vAlign w:val="center"/>
          </w:tcPr>
          <w:p w14:paraId="6BB29C4E">
            <w:pPr>
              <w:spacing w:line="300" w:lineRule="exact"/>
              <w:jc w:val="center"/>
              <w:rPr>
                <w:rFonts w:hint="eastAsia" w:asciiTheme="minorEastAsia" w:hAnsiTheme="minorEastAsia" w:eastAsiaTheme="minorEastAsia" w:cstheme="minorEastAsia"/>
                <w:color w:val="000000"/>
                <w:sz w:val="24"/>
                <w:szCs w:val="24"/>
              </w:rPr>
            </w:pPr>
          </w:p>
        </w:tc>
        <w:tc>
          <w:tcPr>
            <w:tcW w:w="1848" w:type="dxa"/>
            <w:vAlign w:val="center"/>
          </w:tcPr>
          <w:p w14:paraId="5AC4C6D0">
            <w:pPr>
              <w:spacing w:line="300" w:lineRule="exact"/>
              <w:jc w:val="center"/>
              <w:rPr>
                <w:rFonts w:hint="eastAsia" w:asciiTheme="minorEastAsia" w:hAnsiTheme="minorEastAsia" w:eastAsiaTheme="minorEastAsia" w:cstheme="minorEastAsia"/>
                <w:color w:val="000000"/>
                <w:sz w:val="24"/>
                <w:szCs w:val="24"/>
              </w:rPr>
            </w:pPr>
          </w:p>
        </w:tc>
        <w:tc>
          <w:tcPr>
            <w:tcW w:w="1282" w:type="dxa"/>
            <w:vAlign w:val="center"/>
          </w:tcPr>
          <w:p w14:paraId="1346241E">
            <w:pPr>
              <w:spacing w:line="300" w:lineRule="exact"/>
              <w:jc w:val="center"/>
              <w:rPr>
                <w:rFonts w:hint="eastAsia" w:asciiTheme="minorEastAsia" w:hAnsiTheme="minorEastAsia" w:eastAsiaTheme="minorEastAsia" w:cstheme="minorEastAsia"/>
                <w:color w:val="000000"/>
                <w:sz w:val="24"/>
                <w:szCs w:val="24"/>
              </w:rPr>
            </w:pPr>
          </w:p>
        </w:tc>
        <w:tc>
          <w:tcPr>
            <w:tcW w:w="1304" w:type="dxa"/>
            <w:vAlign w:val="center"/>
          </w:tcPr>
          <w:p w14:paraId="2D01CD7B">
            <w:pPr>
              <w:spacing w:line="300" w:lineRule="exact"/>
              <w:ind w:left="440" w:firstLine="0"/>
              <w:jc w:val="right"/>
              <w:rPr>
                <w:rFonts w:hint="eastAsia" w:asciiTheme="minorEastAsia" w:hAnsiTheme="minorEastAsia" w:eastAsiaTheme="minorEastAsia" w:cstheme="minorEastAsia"/>
                <w:color w:val="000000"/>
                <w:sz w:val="24"/>
                <w:szCs w:val="24"/>
              </w:rPr>
            </w:pPr>
          </w:p>
        </w:tc>
        <w:tc>
          <w:tcPr>
            <w:tcW w:w="1611" w:type="dxa"/>
            <w:vAlign w:val="center"/>
          </w:tcPr>
          <w:p w14:paraId="31593102">
            <w:pPr>
              <w:spacing w:line="300" w:lineRule="exact"/>
              <w:jc w:val="center"/>
              <w:rPr>
                <w:rFonts w:hint="eastAsia" w:asciiTheme="minorEastAsia" w:hAnsiTheme="minorEastAsia" w:eastAsiaTheme="minorEastAsia" w:cstheme="minorEastAsia"/>
                <w:color w:val="000000"/>
                <w:sz w:val="24"/>
                <w:szCs w:val="24"/>
              </w:rPr>
            </w:pPr>
          </w:p>
        </w:tc>
      </w:tr>
      <w:tr w14:paraId="14EC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atLeast"/>
        </w:trPr>
        <w:tc>
          <w:tcPr>
            <w:tcW w:w="1847" w:type="dxa"/>
            <w:vAlign w:val="center"/>
          </w:tcPr>
          <w:p w14:paraId="38D04650">
            <w:pPr>
              <w:spacing w:line="300" w:lineRule="exact"/>
              <w:ind w:firstLine="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w:t>
            </w:r>
          </w:p>
        </w:tc>
        <w:tc>
          <w:tcPr>
            <w:tcW w:w="1848" w:type="dxa"/>
            <w:vAlign w:val="center"/>
          </w:tcPr>
          <w:p w14:paraId="3C2B123D">
            <w:pPr>
              <w:spacing w:line="300" w:lineRule="exact"/>
              <w:jc w:val="center"/>
              <w:rPr>
                <w:rFonts w:hint="eastAsia" w:asciiTheme="minorEastAsia" w:hAnsiTheme="minorEastAsia" w:eastAsiaTheme="minorEastAsia" w:cstheme="minorEastAsia"/>
                <w:color w:val="000000"/>
                <w:sz w:val="24"/>
                <w:szCs w:val="24"/>
              </w:rPr>
            </w:pPr>
          </w:p>
        </w:tc>
        <w:tc>
          <w:tcPr>
            <w:tcW w:w="1848" w:type="dxa"/>
            <w:vAlign w:val="center"/>
          </w:tcPr>
          <w:p w14:paraId="7C1FC816">
            <w:pPr>
              <w:spacing w:line="300" w:lineRule="exact"/>
              <w:jc w:val="center"/>
              <w:rPr>
                <w:rFonts w:hint="eastAsia" w:asciiTheme="minorEastAsia" w:hAnsiTheme="minorEastAsia" w:eastAsiaTheme="minorEastAsia" w:cstheme="minorEastAsia"/>
                <w:color w:val="000000"/>
                <w:sz w:val="24"/>
                <w:szCs w:val="24"/>
              </w:rPr>
            </w:pPr>
          </w:p>
        </w:tc>
        <w:tc>
          <w:tcPr>
            <w:tcW w:w="1282" w:type="dxa"/>
            <w:vAlign w:val="center"/>
          </w:tcPr>
          <w:p w14:paraId="0FD7EF9E">
            <w:pPr>
              <w:spacing w:line="300" w:lineRule="exact"/>
              <w:jc w:val="center"/>
              <w:rPr>
                <w:rFonts w:hint="eastAsia" w:asciiTheme="minorEastAsia" w:hAnsiTheme="minorEastAsia" w:eastAsiaTheme="minorEastAsia" w:cstheme="minorEastAsia"/>
                <w:color w:val="000000"/>
                <w:sz w:val="24"/>
                <w:szCs w:val="24"/>
              </w:rPr>
            </w:pPr>
          </w:p>
        </w:tc>
        <w:tc>
          <w:tcPr>
            <w:tcW w:w="1304" w:type="dxa"/>
            <w:vAlign w:val="center"/>
          </w:tcPr>
          <w:p w14:paraId="454109FB">
            <w:pPr>
              <w:spacing w:line="300" w:lineRule="exact"/>
              <w:ind w:left="440" w:firstLine="0"/>
              <w:jc w:val="right"/>
              <w:rPr>
                <w:rFonts w:hint="eastAsia" w:asciiTheme="minorEastAsia" w:hAnsiTheme="minorEastAsia" w:eastAsiaTheme="minorEastAsia" w:cstheme="minorEastAsia"/>
                <w:color w:val="000000"/>
                <w:sz w:val="24"/>
                <w:szCs w:val="24"/>
              </w:rPr>
            </w:pPr>
          </w:p>
        </w:tc>
        <w:tc>
          <w:tcPr>
            <w:tcW w:w="1611" w:type="dxa"/>
            <w:vAlign w:val="center"/>
          </w:tcPr>
          <w:p w14:paraId="0E06BC31">
            <w:pPr>
              <w:spacing w:line="300" w:lineRule="exact"/>
              <w:jc w:val="center"/>
              <w:rPr>
                <w:rFonts w:hint="eastAsia" w:asciiTheme="minorEastAsia" w:hAnsiTheme="minorEastAsia" w:eastAsiaTheme="minorEastAsia" w:cstheme="minorEastAsia"/>
                <w:color w:val="000000"/>
                <w:sz w:val="24"/>
                <w:szCs w:val="24"/>
              </w:rPr>
            </w:pPr>
          </w:p>
        </w:tc>
      </w:tr>
      <w:tr w14:paraId="5AE0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atLeast"/>
        </w:trPr>
        <w:tc>
          <w:tcPr>
            <w:tcW w:w="1847" w:type="dxa"/>
            <w:vAlign w:val="center"/>
          </w:tcPr>
          <w:p w14:paraId="1E2AFF0A">
            <w:pPr>
              <w:spacing w:line="300" w:lineRule="exact"/>
              <w:ind w:firstLine="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p>
        </w:tc>
        <w:tc>
          <w:tcPr>
            <w:tcW w:w="1848" w:type="dxa"/>
            <w:vAlign w:val="center"/>
          </w:tcPr>
          <w:p w14:paraId="3185EB5B">
            <w:pPr>
              <w:spacing w:line="300" w:lineRule="exact"/>
              <w:jc w:val="center"/>
              <w:rPr>
                <w:rFonts w:hint="eastAsia" w:asciiTheme="minorEastAsia" w:hAnsiTheme="minorEastAsia" w:eastAsiaTheme="minorEastAsia" w:cstheme="minorEastAsia"/>
                <w:color w:val="000000"/>
                <w:sz w:val="24"/>
                <w:szCs w:val="24"/>
              </w:rPr>
            </w:pPr>
          </w:p>
        </w:tc>
        <w:tc>
          <w:tcPr>
            <w:tcW w:w="1848" w:type="dxa"/>
            <w:vAlign w:val="center"/>
          </w:tcPr>
          <w:p w14:paraId="39432B91">
            <w:pPr>
              <w:spacing w:line="300" w:lineRule="exact"/>
              <w:jc w:val="center"/>
              <w:rPr>
                <w:rFonts w:hint="eastAsia" w:asciiTheme="minorEastAsia" w:hAnsiTheme="minorEastAsia" w:eastAsiaTheme="minorEastAsia" w:cstheme="minorEastAsia"/>
                <w:color w:val="000000"/>
                <w:sz w:val="24"/>
                <w:szCs w:val="24"/>
              </w:rPr>
            </w:pPr>
          </w:p>
        </w:tc>
        <w:tc>
          <w:tcPr>
            <w:tcW w:w="1282" w:type="dxa"/>
            <w:vAlign w:val="center"/>
          </w:tcPr>
          <w:p w14:paraId="641F82FA">
            <w:pPr>
              <w:spacing w:line="300" w:lineRule="exact"/>
              <w:jc w:val="center"/>
              <w:rPr>
                <w:rFonts w:hint="eastAsia" w:asciiTheme="minorEastAsia" w:hAnsiTheme="minorEastAsia" w:eastAsiaTheme="minorEastAsia" w:cstheme="minorEastAsia"/>
                <w:color w:val="000000"/>
                <w:sz w:val="24"/>
                <w:szCs w:val="24"/>
              </w:rPr>
            </w:pPr>
          </w:p>
        </w:tc>
        <w:tc>
          <w:tcPr>
            <w:tcW w:w="1304" w:type="dxa"/>
            <w:vAlign w:val="center"/>
          </w:tcPr>
          <w:p w14:paraId="3297DEC4">
            <w:pPr>
              <w:spacing w:line="300" w:lineRule="exact"/>
              <w:ind w:left="440" w:firstLine="0"/>
              <w:jc w:val="right"/>
              <w:rPr>
                <w:rFonts w:hint="eastAsia" w:asciiTheme="minorEastAsia" w:hAnsiTheme="minorEastAsia" w:eastAsiaTheme="minorEastAsia" w:cstheme="minorEastAsia"/>
                <w:color w:val="000000"/>
                <w:sz w:val="24"/>
                <w:szCs w:val="24"/>
              </w:rPr>
            </w:pPr>
          </w:p>
        </w:tc>
        <w:tc>
          <w:tcPr>
            <w:tcW w:w="1611" w:type="dxa"/>
            <w:vAlign w:val="center"/>
          </w:tcPr>
          <w:p w14:paraId="5BAA0F26">
            <w:pPr>
              <w:spacing w:line="300" w:lineRule="exact"/>
              <w:jc w:val="center"/>
              <w:rPr>
                <w:rFonts w:hint="eastAsia" w:asciiTheme="minorEastAsia" w:hAnsiTheme="minorEastAsia" w:eastAsiaTheme="minorEastAsia" w:cstheme="minorEastAsia"/>
                <w:color w:val="000000"/>
                <w:sz w:val="24"/>
                <w:szCs w:val="24"/>
              </w:rPr>
            </w:pPr>
          </w:p>
        </w:tc>
      </w:tr>
      <w:tr w14:paraId="0375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4" w:hRule="atLeast"/>
        </w:trPr>
        <w:tc>
          <w:tcPr>
            <w:tcW w:w="1847" w:type="dxa"/>
            <w:vAlign w:val="center"/>
          </w:tcPr>
          <w:p w14:paraId="2AD67942">
            <w:pPr>
              <w:spacing w:line="300" w:lineRule="exact"/>
              <w:ind w:firstLine="0"/>
              <w:jc w:val="center"/>
              <w:rPr>
                <w:rFonts w:hint="eastAsia" w:asciiTheme="minorEastAsia" w:hAnsiTheme="minorEastAsia" w:eastAsiaTheme="minorEastAsia" w:cstheme="minorEastAsia"/>
                <w:color w:val="000000"/>
                <w:sz w:val="24"/>
                <w:szCs w:val="24"/>
                <w:lang w:val="en-US" w:eastAsia="zh-CN"/>
              </w:rPr>
            </w:pPr>
            <w:bookmarkStart w:id="9" w:name="_GoBack" w:colFirst="0" w:colLast="5"/>
            <w:r>
              <w:rPr>
                <w:rFonts w:hint="eastAsia" w:asciiTheme="minorEastAsia" w:hAnsiTheme="minorEastAsia" w:eastAsiaTheme="minorEastAsia" w:cstheme="minorEastAsia"/>
                <w:color w:val="000000"/>
                <w:sz w:val="24"/>
                <w:szCs w:val="24"/>
                <w:lang w:val="en-US" w:eastAsia="zh-CN"/>
              </w:rPr>
              <w:t>4</w:t>
            </w:r>
          </w:p>
        </w:tc>
        <w:tc>
          <w:tcPr>
            <w:tcW w:w="1848" w:type="dxa"/>
            <w:vAlign w:val="center"/>
          </w:tcPr>
          <w:p w14:paraId="2B5FC6EE">
            <w:pPr>
              <w:spacing w:line="300" w:lineRule="exact"/>
              <w:jc w:val="center"/>
              <w:rPr>
                <w:rFonts w:hint="eastAsia" w:asciiTheme="minorEastAsia" w:hAnsiTheme="minorEastAsia" w:eastAsiaTheme="minorEastAsia" w:cstheme="minorEastAsia"/>
                <w:color w:val="000000"/>
                <w:sz w:val="24"/>
                <w:szCs w:val="24"/>
              </w:rPr>
            </w:pPr>
          </w:p>
        </w:tc>
        <w:tc>
          <w:tcPr>
            <w:tcW w:w="1848" w:type="dxa"/>
            <w:vAlign w:val="center"/>
          </w:tcPr>
          <w:p w14:paraId="674DE66A">
            <w:pPr>
              <w:spacing w:line="300" w:lineRule="exact"/>
              <w:jc w:val="center"/>
              <w:rPr>
                <w:rFonts w:hint="eastAsia" w:asciiTheme="minorEastAsia" w:hAnsiTheme="minorEastAsia" w:eastAsiaTheme="minorEastAsia" w:cstheme="minorEastAsia"/>
                <w:color w:val="000000"/>
                <w:sz w:val="24"/>
                <w:szCs w:val="24"/>
              </w:rPr>
            </w:pPr>
          </w:p>
        </w:tc>
        <w:tc>
          <w:tcPr>
            <w:tcW w:w="1282" w:type="dxa"/>
            <w:vAlign w:val="center"/>
          </w:tcPr>
          <w:p w14:paraId="091C07FA">
            <w:pPr>
              <w:spacing w:line="300" w:lineRule="exact"/>
              <w:jc w:val="center"/>
              <w:rPr>
                <w:rFonts w:hint="eastAsia" w:asciiTheme="minorEastAsia" w:hAnsiTheme="minorEastAsia" w:eastAsiaTheme="minorEastAsia" w:cstheme="minorEastAsia"/>
                <w:color w:val="000000"/>
                <w:sz w:val="24"/>
                <w:szCs w:val="24"/>
              </w:rPr>
            </w:pPr>
          </w:p>
        </w:tc>
        <w:tc>
          <w:tcPr>
            <w:tcW w:w="1304" w:type="dxa"/>
            <w:vAlign w:val="center"/>
          </w:tcPr>
          <w:p w14:paraId="48E8EDF8">
            <w:pPr>
              <w:spacing w:line="300" w:lineRule="exact"/>
              <w:ind w:left="440" w:firstLine="0"/>
              <w:jc w:val="right"/>
              <w:rPr>
                <w:rFonts w:hint="eastAsia" w:asciiTheme="minorEastAsia" w:hAnsiTheme="minorEastAsia" w:eastAsiaTheme="minorEastAsia" w:cstheme="minorEastAsia"/>
                <w:color w:val="000000"/>
                <w:sz w:val="24"/>
                <w:szCs w:val="24"/>
              </w:rPr>
            </w:pPr>
          </w:p>
        </w:tc>
        <w:tc>
          <w:tcPr>
            <w:tcW w:w="1611" w:type="dxa"/>
            <w:vAlign w:val="center"/>
          </w:tcPr>
          <w:p w14:paraId="4FE01B1C">
            <w:pPr>
              <w:spacing w:line="300" w:lineRule="exact"/>
              <w:jc w:val="center"/>
              <w:rPr>
                <w:rFonts w:hint="eastAsia" w:asciiTheme="minorEastAsia" w:hAnsiTheme="minorEastAsia" w:eastAsiaTheme="minorEastAsia" w:cstheme="minorEastAsia"/>
                <w:color w:val="000000"/>
                <w:sz w:val="24"/>
                <w:szCs w:val="24"/>
              </w:rPr>
            </w:pPr>
          </w:p>
        </w:tc>
      </w:tr>
      <w:bookmarkEnd w:id="9"/>
      <w:tr w14:paraId="6DFB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rPr>
        <w:tc>
          <w:tcPr>
            <w:tcW w:w="1847" w:type="dxa"/>
            <w:vAlign w:val="center"/>
          </w:tcPr>
          <w:p w14:paraId="2DF31D07">
            <w:pPr>
              <w:spacing w:line="300" w:lineRule="exact"/>
              <w:ind w:firstLine="0"/>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w:t>
            </w:r>
          </w:p>
        </w:tc>
        <w:tc>
          <w:tcPr>
            <w:tcW w:w="1848" w:type="dxa"/>
            <w:vAlign w:val="center"/>
          </w:tcPr>
          <w:p w14:paraId="689C78CB">
            <w:pPr>
              <w:spacing w:line="300" w:lineRule="exact"/>
              <w:jc w:val="center"/>
              <w:rPr>
                <w:rFonts w:hint="eastAsia" w:asciiTheme="minorEastAsia" w:hAnsiTheme="minorEastAsia" w:eastAsiaTheme="minorEastAsia" w:cstheme="minorEastAsia"/>
                <w:color w:val="000000"/>
                <w:sz w:val="24"/>
                <w:szCs w:val="24"/>
              </w:rPr>
            </w:pPr>
          </w:p>
        </w:tc>
        <w:tc>
          <w:tcPr>
            <w:tcW w:w="1848" w:type="dxa"/>
            <w:vAlign w:val="center"/>
          </w:tcPr>
          <w:p w14:paraId="08148130">
            <w:pPr>
              <w:spacing w:line="300" w:lineRule="exact"/>
              <w:jc w:val="center"/>
              <w:rPr>
                <w:rFonts w:hint="eastAsia" w:asciiTheme="minorEastAsia" w:hAnsiTheme="minorEastAsia" w:eastAsiaTheme="minorEastAsia" w:cstheme="minorEastAsia"/>
                <w:color w:val="000000"/>
                <w:sz w:val="24"/>
                <w:szCs w:val="24"/>
              </w:rPr>
            </w:pPr>
          </w:p>
        </w:tc>
        <w:tc>
          <w:tcPr>
            <w:tcW w:w="1282" w:type="dxa"/>
            <w:vAlign w:val="center"/>
          </w:tcPr>
          <w:p w14:paraId="524AD165">
            <w:pPr>
              <w:spacing w:line="300" w:lineRule="exact"/>
              <w:jc w:val="center"/>
              <w:rPr>
                <w:rFonts w:hint="eastAsia" w:asciiTheme="minorEastAsia" w:hAnsiTheme="minorEastAsia" w:eastAsiaTheme="minorEastAsia" w:cstheme="minorEastAsia"/>
                <w:color w:val="000000"/>
                <w:sz w:val="24"/>
                <w:szCs w:val="24"/>
              </w:rPr>
            </w:pPr>
          </w:p>
        </w:tc>
        <w:tc>
          <w:tcPr>
            <w:tcW w:w="1304" w:type="dxa"/>
            <w:vAlign w:val="center"/>
          </w:tcPr>
          <w:p w14:paraId="6DAA5790">
            <w:pPr>
              <w:spacing w:line="300" w:lineRule="exact"/>
              <w:ind w:left="440" w:firstLine="0"/>
              <w:jc w:val="right"/>
              <w:rPr>
                <w:rFonts w:hint="eastAsia" w:asciiTheme="minorEastAsia" w:hAnsiTheme="minorEastAsia" w:eastAsiaTheme="minorEastAsia" w:cstheme="minorEastAsia"/>
                <w:color w:val="000000"/>
                <w:sz w:val="24"/>
                <w:szCs w:val="24"/>
              </w:rPr>
            </w:pPr>
          </w:p>
        </w:tc>
        <w:tc>
          <w:tcPr>
            <w:tcW w:w="1611" w:type="dxa"/>
            <w:vAlign w:val="center"/>
          </w:tcPr>
          <w:p w14:paraId="7233AA46">
            <w:pPr>
              <w:spacing w:line="300" w:lineRule="exact"/>
              <w:jc w:val="center"/>
              <w:rPr>
                <w:rFonts w:hint="eastAsia" w:asciiTheme="minorEastAsia" w:hAnsiTheme="minorEastAsia" w:eastAsiaTheme="minorEastAsia" w:cstheme="minorEastAsia"/>
                <w:color w:val="000000"/>
                <w:sz w:val="24"/>
                <w:szCs w:val="24"/>
              </w:rPr>
            </w:pPr>
          </w:p>
        </w:tc>
      </w:tr>
    </w:tbl>
    <w:p w14:paraId="6EB0235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2、环卫机械化作业管理方案</w:t>
      </w:r>
    </w:p>
    <w:p w14:paraId="0C4BE05A">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方案内容中至少包含机械化设备配备、作业方案、日常和季节性作业时间安排、停车场地、机械化设备管理制度、内部人员管理制度、内部人员岗位职责、设备保养等内容进行综合评价。</w:t>
      </w:r>
    </w:p>
    <w:p w14:paraId="7B1F6310">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3、公厕保洁管理方案</w:t>
      </w:r>
    </w:p>
    <w:p w14:paraId="170E2466">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方案内容中至少包含公厕保洁方案。方案中须至少体现人员配备、作业时间、保洁标准、内部人员管理制度、岗位工作要求、运行台帐记录等基本要求，填写《公厕保洁人员表》格式如下：</w:t>
      </w:r>
    </w:p>
    <w:tbl>
      <w:tblPr>
        <w:tblStyle w:val="8"/>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911"/>
        <w:gridCol w:w="1912"/>
        <w:gridCol w:w="3433"/>
        <w:gridCol w:w="2544"/>
      </w:tblGrid>
      <w:tr w14:paraId="5E06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8" w:hRule="atLeast"/>
        </w:trPr>
        <w:tc>
          <w:tcPr>
            <w:tcW w:w="9800" w:type="dxa"/>
            <w:gridSpan w:val="4"/>
            <w:vAlign w:val="center"/>
          </w:tcPr>
          <w:p w14:paraId="454EF695">
            <w:pPr>
              <w:spacing w:line="48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公厕保洁人员表</w:t>
            </w:r>
          </w:p>
        </w:tc>
      </w:tr>
      <w:tr w14:paraId="746D7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atLeast"/>
        </w:trPr>
        <w:tc>
          <w:tcPr>
            <w:tcW w:w="1911" w:type="dxa"/>
            <w:vAlign w:val="center"/>
          </w:tcPr>
          <w:p w14:paraId="0A1E388F">
            <w:pPr>
              <w:spacing w:line="270" w:lineRule="exact"/>
              <w:ind w:left="44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序号</w:t>
            </w:r>
          </w:p>
        </w:tc>
        <w:tc>
          <w:tcPr>
            <w:tcW w:w="1912" w:type="dxa"/>
            <w:vAlign w:val="center"/>
          </w:tcPr>
          <w:p w14:paraId="2C12200C">
            <w:pPr>
              <w:spacing w:line="27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公厕名称</w:t>
            </w:r>
          </w:p>
        </w:tc>
        <w:tc>
          <w:tcPr>
            <w:tcW w:w="3433" w:type="dxa"/>
            <w:vAlign w:val="center"/>
          </w:tcPr>
          <w:p w14:paraId="0AAEE15C">
            <w:pPr>
              <w:spacing w:line="270" w:lineRule="exact"/>
              <w:ind w:left="42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公厕地点</w:t>
            </w:r>
          </w:p>
        </w:tc>
        <w:tc>
          <w:tcPr>
            <w:tcW w:w="2544" w:type="dxa"/>
            <w:vAlign w:val="center"/>
          </w:tcPr>
          <w:p w14:paraId="07D5D4C0">
            <w:pPr>
              <w:spacing w:line="270" w:lineRule="exact"/>
              <w:ind w:left="42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人员数</w:t>
            </w:r>
          </w:p>
        </w:tc>
      </w:tr>
      <w:tr w14:paraId="7533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atLeast"/>
        </w:trPr>
        <w:tc>
          <w:tcPr>
            <w:tcW w:w="1911" w:type="dxa"/>
            <w:vAlign w:val="center"/>
          </w:tcPr>
          <w:p w14:paraId="28233CC2">
            <w:pPr>
              <w:spacing w:line="210" w:lineRule="exact"/>
              <w:ind w:left="42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p>
        </w:tc>
        <w:tc>
          <w:tcPr>
            <w:tcW w:w="1912" w:type="dxa"/>
            <w:vAlign w:val="center"/>
          </w:tcPr>
          <w:p w14:paraId="06C2EAE3">
            <w:pPr>
              <w:rPr>
                <w:rFonts w:hint="eastAsia" w:asciiTheme="minorEastAsia" w:hAnsiTheme="minorEastAsia" w:eastAsiaTheme="minorEastAsia" w:cstheme="minorEastAsia"/>
                <w:sz w:val="24"/>
                <w:szCs w:val="24"/>
              </w:rPr>
            </w:pPr>
          </w:p>
        </w:tc>
        <w:tc>
          <w:tcPr>
            <w:tcW w:w="3433" w:type="dxa"/>
            <w:vAlign w:val="center"/>
          </w:tcPr>
          <w:p w14:paraId="4E663047">
            <w:pPr>
              <w:rPr>
                <w:rFonts w:hint="eastAsia" w:asciiTheme="minorEastAsia" w:hAnsiTheme="minorEastAsia" w:eastAsiaTheme="minorEastAsia" w:cstheme="minorEastAsia"/>
                <w:sz w:val="24"/>
                <w:szCs w:val="24"/>
              </w:rPr>
            </w:pPr>
          </w:p>
        </w:tc>
        <w:tc>
          <w:tcPr>
            <w:tcW w:w="2544" w:type="dxa"/>
            <w:vAlign w:val="center"/>
          </w:tcPr>
          <w:p w14:paraId="3ACE6E70">
            <w:pPr>
              <w:rPr>
                <w:rFonts w:hint="eastAsia" w:asciiTheme="minorEastAsia" w:hAnsiTheme="minorEastAsia" w:eastAsiaTheme="minorEastAsia" w:cstheme="minorEastAsia"/>
                <w:sz w:val="24"/>
                <w:szCs w:val="24"/>
              </w:rPr>
            </w:pPr>
          </w:p>
        </w:tc>
      </w:tr>
      <w:tr w14:paraId="7174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atLeast"/>
        </w:trPr>
        <w:tc>
          <w:tcPr>
            <w:tcW w:w="1911" w:type="dxa"/>
            <w:vAlign w:val="center"/>
          </w:tcPr>
          <w:p w14:paraId="4EB35730">
            <w:pPr>
              <w:spacing w:line="240" w:lineRule="exact"/>
              <w:ind w:left="42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2</w:t>
            </w:r>
          </w:p>
        </w:tc>
        <w:tc>
          <w:tcPr>
            <w:tcW w:w="1912" w:type="dxa"/>
            <w:vAlign w:val="center"/>
          </w:tcPr>
          <w:p w14:paraId="0D103801">
            <w:pPr>
              <w:rPr>
                <w:rFonts w:hint="eastAsia" w:asciiTheme="minorEastAsia" w:hAnsiTheme="minorEastAsia" w:eastAsiaTheme="minorEastAsia" w:cstheme="minorEastAsia"/>
                <w:sz w:val="24"/>
                <w:szCs w:val="24"/>
              </w:rPr>
            </w:pPr>
          </w:p>
        </w:tc>
        <w:tc>
          <w:tcPr>
            <w:tcW w:w="3433" w:type="dxa"/>
            <w:vAlign w:val="center"/>
          </w:tcPr>
          <w:p w14:paraId="2729C63D">
            <w:pPr>
              <w:rPr>
                <w:rFonts w:hint="eastAsia" w:asciiTheme="minorEastAsia" w:hAnsiTheme="minorEastAsia" w:eastAsiaTheme="minorEastAsia" w:cstheme="minorEastAsia"/>
                <w:sz w:val="24"/>
                <w:szCs w:val="24"/>
              </w:rPr>
            </w:pPr>
          </w:p>
        </w:tc>
        <w:tc>
          <w:tcPr>
            <w:tcW w:w="2544" w:type="dxa"/>
            <w:vAlign w:val="center"/>
          </w:tcPr>
          <w:p w14:paraId="2D70827C">
            <w:pPr>
              <w:rPr>
                <w:rFonts w:hint="eastAsia" w:asciiTheme="minorEastAsia" w:hAnsiTheme="minorEastAsia" w:eastAsiaTheme="minorEastAsia" w:cstheme="minorEastAsia"/>
                <w:sz w:val="24"/>
                <w:szCs w:val="24"/>
              </w:rPr>
            </w:pPr>
          </w:p>
        </w:tc>
      </w:tr>
      <w:tr w14:paraId="610D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4" w:hRule="atLeast"/>
        </w:trPr>
        <w:tc>
          <w:tcPr>
            <w:tcW w:w="1911" w:type="dxa"/>
            <w:vAlign w:val="center"/>
          </w:tcPr>
          <w:p w14:paraId="140818DE">
            <w:pPr>
              <w:spacing w:line="240" w:lineRule="exact"/>
              <w:ind w:left="420" w:firstLine="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w:t>
            </w:r>
          </w:p>
        </w:tc>
        <w:tc>
          <w:tcPr>
            <w:tcW w:w="1912" w:type="dxa"/>
            <w:vAlign w:val="center"/>
          </w:tcPr>
          <w:p w14:paraId="2FB03E55">
            <w:pPr>
              <w:rPr>
                <w:rFonts w:hint="eastAsia" w:asciiTheme="minorEastAsia" w:hAnsiTheme="minorEastAsia" w:eastAsiaTheme="minorEastAsia" w:cstheme="minorEastAsia"/>
                <w:sz w:val="24"/>
                <w:szCs w:val="24"/>
              </w:rPr>
            </w:pPr>
          </w:p>
        </w:tc>
        <w:tc>
          <w:tcPr>
            <w:tcW w:w="3433" w:type="dxa"/>
            <w:vAlign w:val="center"/>
          </w:tcPr>
          <w:p w14:paraId="1A4E9387">
            <w:pPr>
              <w:rPr>
                <w:rFonts w:hint="eastAsia" w:asciiTheme="minorEastAsia" w:hAnsiTheme="minorEastAsia" w:eastAsiaTheme="minorEastAsia" w:cstheme="minorEastAsia"/>
                <w:sz w:val="24"/>
                <w:szCs w:val="24"/>
              </w:rPr>
            </w:pPr>
          </w:p>
        </w:tc>
        <w:tc>
          <w:tcPr>
            <w:tcW w:w="2544" w:type="dxa"/>
            <w:vAlign w:val="center"/>
          </w:tcPr>
          <w:p w14:paraId="485F9637">
            <w:pPr>
              <w:rPr>
                <w:rFonts w:hint="eastAsia" w:asciiTheme="minorEastAsia" w:hAnsiTheme="minorEastAsia" w:eastAsiaTheme="minorEastAsia" w:cstheme="minorEastAsia"/>
                <w:sz w:val="24"/>
                <w:szCs w:val="24"/>
              </w:rPr>
            </w:pPr>
          </w:p>
        </w:tc>
      </w:tr>
      <w:tr w14:paraId="0558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4" w:hRule="atLeast"/>
        </w:trPr>
        <w:tc>
          <w:tcPr>
            <w:tcW w:w="1911" w:type="dxa"/>
            <w:vAlign w:val="center"/>
          </w:tcPr>
          <w:p w14:paraId="1417049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w:t>
            </w:r>
          </w:p>
        </w:tc>
        <w:tc>
          <w:tcPr>
            <w:tcW w:w="1912" w:type="dxa"/>
            <w:vAlign w:val="center"/>
          </w:tcPr>
          <w:p w14:paraId="0B4C0B97">
            <w:pPr>
              <w:rPr>
                <w:rFonts w:hint="eastAsia" w:asciiTheme="minorEastAsia" w:hAnsiTheme="minorEastAsia" w:eastAsiaTheme="minorEastAsia" w:cstheme="minorEastAsia"/>
                <w:sz w:val="24"/>
                <w:szCs w:val="24"/>
              </w:rPr>
            </w:pPr>
          </w:p>
        </w:tc>
        <w:tc>
          <w:tcPr>
            <w:tcW w:w="3433" w:type="dxa"/>
            <w:vAlign w:val="center"/>
          </w:tcPr>
          <w:p w14:paraId="4667FBD0">
            <w:pPr>
              <w:rPr>
                <w:rFonts w:hint="eastAsia" w:asciiTheme="minorEastAsia" w:hAnsiTheme="minorEastAsia" w:eastAsiaTheme="minorEastAsia" w:cstheme="minorEastAsia"/>
                <w:sz w:val="24"/>
                <w:szCs w:val="24"/>
              </w:rPr>
            </w:pPr>
          </w:p>
        </w:tc>
        <w:tc>
          <w:tcPr>
            <w:tcW w:w="2544" w:type="dxa"/>
            <w:vAlign w:val="center"/>
          </w:tcPr>
          <w:p w14:paraId="74A45524">
            <w:pPr>
              <w:rPr>
                <w:rFonts w:hint="eastAsia" w:asciiTheme="minorEastAsia" w:hAnsiTheme="minorEastAsia" w:eastAsiaTheme="minorEastAsia" w:cstheme="minorEastAsia"/>
                <w:sz w:val="24"/>
                <w:szCs w:val="24"/>
              </w:rPr>
            </w:pPr>
          </w:p>
        </w:tc>
      </w:tr>
    </w:tbl>
    <w:p w14:paraId="06C6D313">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Theme="minorEastAsia" w:hAnsiTheme="minorEastAsia" w:eastAsiaTheme="minorEastAsia" w:cstheme="minorEastAsia"/>
          <w:b w:val="0"/>
          <w:bCs w:val="0"/>
          <w:sz w:val="24"/>
          <w:szCs w:val="24"/>
          <w:lang w:val="en-US" w:eastAsia="zh-CN"/>
        </w:rPr>
      </w:pPr>
    </w:p>
    <w:p w14:paraId="2E96AB2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4、垃圾前端分类收集运输管理方案</w:t>
      </w:r>
    </w:p>
    <w:p w14:paraId="4C9AA47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方案内容中至少包含垃圾前端分类收集运输的方案。方案中须至少体现人员配备、时间安排、工具配备、设备（车辆）安排、垃圾量台账记录等基本要求；</w:t>
      </w:r>
    </w:p>
    <w:p w14:paraId="4074543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5、野广告管理方案</w:t>
      </w:r>
    </w:p>
    <w:p w14:paraId="350D84B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按照《沛县农村“五网协同”市场化运行体系实施方案》要求及经验自行编制。</w:t>
      </w:r>
    </w:p>
    <w:p w14:paraId="78238C4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6、保洁质量方案</w:t>
      </w:r>
    </w:p>
    <w:p w14:paraId="7A70331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按照《沛县农村“五网协同”市场化运行体系实施方案》保洁作业标准和内容及经验自行编制。</w:t>
      </w:r>
    </w:p>
    <w:p w14:paraId="4A99E04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（三）垃圾分类</w:t>
      </w:r>
    </w:p>
    <w:p w14:paraId="1EB5BD16">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1、组织管理方案</w:t>
      </w:r>
    </w:p>
    <w:p w14:paraId="7D53BA9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建立健全垃圾分类考核制度、激励制度，制定实施方案，加强领导，组织动员，安排专人负责指导，开展日常培训和岗前培训</w:t>
      </w:r>
    </w:p>
    <w:p w14:paraId="626FB28C">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2、设施配置方案</w:t>
      </w:r>
    </w:p>
    <w:p w14:paraId="1620A51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为每名保洁员配备分类收运车，有标识标志、归属地名称；配备有害垃圾收集车辆；村庄内垃圾分类中转房、可回收物站、有害垃圾归集点、中转站运行正常，环境整洁，功能齐全，配备专人。垃圾分类处置设施（阳光堆肥房或厌氧发酵池）运行正常，配备专人，管理规范。</w:t>
      </w:r>
    </w:p>
    <w:p w14:paraId="7EDAD6C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3、分类全链条方案</w:t>
      </w:r>
    </w:p>
    <w:p w14:paraId="6CA4025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按照“厨余垃圾、可回收物、其他垃圾、有害垃圾”四分法，实施分类投放、分类收集、分类转运、分类处置全链条体系。四类垃圾收集无混装混运；转运有时间、有计划，日产日清，有害垃圾有定期运送处理制度；有处置设施的规范手续和接收记录，厨余产出物由利用途径。</w:t>
      </w:r>
    </w:p>
    <w:p w14:paraId="35A9AB1D">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（四）再生资源回收</w:t>
      </w:r>
    </w:p>
    <w:p w14:paraId="2226C75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1、村级回收点、镇级可回收物和大件垃圾分拣中心、可回收物车辆管理、运行、维修维护正常。</w:t>
      </w:r>
    </w:p>
    <w:p w14:paraId="7AA351A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2、落实好保洁员前端上门收集可回收物、分拣运输，实现再生资源回收利用和垃圾分类处理的融合运行。</w:t>
      </w:r>
    </w:p>
    <w:p w14:paraId="1CEDE8E9">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3、对各辖区内有证照齐全的废品收购站废品收购站采取合作、融合的方式进行经营。</w:t>
      </w:r>
    </w:p>
    <w:p w14:paraId="2EF2930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（五）公共设施管护</w:t>
      </w:r>
    </w:p>
    <w:p w14:paraId="722CA717">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1、成立管护队伍。</w:t>
      </w:r>
    </w:p>
    <w:p w14:paraId="2CCAEE8E">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2、垃圾分类处置设施正常运行，管理规范，设施无损坏现象。</w:t>
      </w:r>
    </w:p>
    <w:p w14:paraId="0731132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3、公厕设施维护到位，化粪池抽取及时，并进行资源化利用。公厕管理制度及标识标志设置规范，内部设施、设备完好无损，定期维护管养到位，水电正常使用。</w:t>
      </w:r>
    </w:p>
    <w:p w14:paraId="0C9C0222">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（六）便民服务</w:t>
      </w:r>
    </w:p>
    <w:p w14:paraId="58C59441">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在村庄内新建的或依托垃圾分类中转房等公共设施，合理设置一处多功能便民服务站点，为村民提供饮用水、收发快递、小型商超、WiFi、垃圾分类积分兑换等社区便民服务，同时也可作为垃圾分类宣传阵地。</w:t>
      </w:r>
    </w:p>
    <w:p w14:paraId="4287C594">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firstLine="482" w:firstLineChars="200"/>
        <w:jc w:val="both"/>
        <w:textAlignment w:val="auto"/>
        <w:outlineLvl w:val="1"/>
        <w:rPr>
          <w:rFonts w:hint="eastAsia" w:asciiTheme="minorEastAsia" w:hAnsiTheme="minorEastAsia" w:eastAsiaTheme="minorEastAsia" w:cstheme="minorEastAsia"/>
          <w:b/>
          <w:bCs/>
          <w:sz w:val="24"/>
          <w:szCs w:val="24"/>
          <w:lang w:val="en-US" w:eastAsia="zh-CN"/>
        </w:rPr>
      </w:pPr>
      <w:bookmarkStart w:id="8" w:name="_Toc25163"/>
      <w:r>
        <w:rPr>
          <w:rFonts w:hint="eastAsia" w:asciiTheme="minorEastAsia" w:hAnsiTheme="minorEastAsia" w:eastAsiaTheme="minorEastAsia" w:cstheme="minorEastAsia"/>
          <w:b/>
          <w:bCs/>
          <w:sz w:val="24"/>
          <w:szCs w:val="24"/>
          <w:lang w:val="en-US" w:eastAsia="zh-CN"/>
        </w:rPr>
        <w:t>其他要求：见招标文件第五章《拟签订的合同文本》。</w:t>
      </w:r>
      <w:bookmarkEnd w:id="8"/>
    </w:p>
    <w:p w14:paraId="3FFF13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2E8FA"/>
    <w:multiLevelType w:val="singleLevel"/>
    <w:tmpl w:val="A282E8F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YmE2N2I0MTllM2Q0MmJjNDE0M2ExYWQ0YjI0MzEifQ=="/>
  </w:docVars>
  <w:rsids>
    <w:rsidRoot w:val="00172A27"/>
    <w:rsid w:val="04692407"/>
    <w:rsid w:val="04EA22CB"/>
    <w:rsid w:val="0AA74DB3"/>
    <w:rsid w:val="0D585EC5"/>
    <w:rsid w:val="18CD21AD"/>
    <w:rsid w:val="1B186B16"/>
    <w:rsid w:val="1B3A0EEC"/>
    <w:rsid w:val="219A0DB5"/>
    <w:rsid w:val="21CB3A2A"/>
    <w:rsid w:val="280B1FBF"/>
    <w:rsid w:val="2AD03C74"/>
    <w:rsid w:val="2AFE7321"/>
    <w:rsid w:val="2B9F00AB"/>
    <w:rsid w:val="31822277"/>
    <w:rsid w:val="36D01AF4"/>
    <w:rsid w:val="42D2202F"/>
    <w:rsid w:val="43890998"/>
    <w:rsid w:val="44C82B7F"/>
    <w:rsid w:val="4523505F"/>
    <w:rsid w:val="51333AD0"/>
    <w:rsid w:val="57E90CD2"/>
    <w:rsid w:val="59660D27"/>
    <w:rsid w:val="5F3C5219"/>
    <w:rsid w:val="61851843"/>
    <w:rsid w:val="63BB6C5A"/>
    <w:rsid w:val="69AB6822"/>
    <w:rsid w:val="6AB122F3"/>
    <w:rsid w:val="6D2C76A3"/>
    <w:rsid w:val="6DA44441"/>
    <w:rsid w:val="71A35D6E"/>
    <w:rsid w:val="73BD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7"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7"/>
    <w:pPr>
      <w:ind w:firstLine="420"/>
    </w:pPr>
    <w:rPr>
      <w:rFonts w:eastAsia="楷体_GB2312"/>
    </w:rPr>
  </w:style>
  <w:style w:type="paragraph" w:styleId="3">
    <w:name w:val="Body Text Indent"/>
    <w:basedOn w:val="1"/>
    <w:next w:val="2"/>
    <w:qFormat/>
    <w:uiPriority w:val="0"/>
    <w:pPr>
      <w:spacing w:after="120"/>
      <w:ind w:left="420"/>
    </w:pPr>
  </w:style>
  <w:style w:type="paragraph" w:styleId="4">
    <w:name w:val="Body Text"/>
    <w:basedOn w:val="1"/>
    <w:qFormat/>
    <w:uiPriority w:val="0"/>
    <w:pPr>
      <w:spacing w:after="120"/>
    </w:pPr>
    <w:rPr>
      <w:rFonts w:ascii="Calibri" w:hAnsi="Calibri"/>
    </w:rPr>
  </w:style>
  <w:style w:type="paragraph" w:styleId="5">
    <w:name w:val="Block Text"/>
    <w:basedOn w:val="1"/>
    <w:unhideWhenUsed/>
    <w:qFormat/>
    <w:uiPriority w:val="99"/>
    <w:pPr>
      <w:spacing w:after="120"/>
      <w:ind w:left="1440" w:right="1440"/>
    </w:pPr>
    <w:rPr>
      <w:rFonts w:ascii="Calibri" w:hAnsi="Calibri"/>
    </w:rPr>
  </w:style>
  <w:style w:type="paragraph" w:styleId="6">
    <w:name w:val="envelope return"/>
    <w:basedOn w:val="1"/>
    <w:qFormat/>
    <w:uiPriority w:val="0"/>
    <w:rPr>
      <w:rFonts w:ascii="Arial" w:hAnsi="Arial"/>
    </w:rPr>
  </w:style>
  <w:style w:type="paragraph" w:styleId="7">
    <w:name w:val="Title"/>
    <w:basedOn w:val="1"/>
    <w:next w:val="3"/>
    <w:qFormat/>
    <w:uiPriority w:val="10"/>
    <w:pPr>
      <w:spacing w:before="300" w:after="200"/>
      <w:contextualSpacing/>
    </w:pPr>
    <w:rPr>
      <w:sz w:val="48"/>
      <w:szCs w:val="48"/>
    </w:rPr>
  </w:style>
  <w:style w:type="paragraph" w:customStyle="1" w:styleId="10">
    <w:name w:val="文本块12"/>
    <w:basedOn w:val="1"/>
    <w:next w:val="1"/>
    <w:unhideWhenUsed/>
    <w:qFormat/>
    <w:uiPriority w:val="99"/>
    <w:pPr>
      <w:spacing w:after="120"/>
      <w:ind w:left="1440" w:right="1440"/>
    </w:pPr>
  </w:style>
  <w:style w:type="paragraph" w:customStyle="1" w:styleId="11">
    <w:name w:val="页脚1"/>
    <w:basedOn w:val="1"/>
    <w:qFormat/>
    <w:uiPriority w:val="0"/>
    <w:pPr>
      <w:tabs>
        <w:tab w:val="center" w:pos="4153"/>
        <w:tab w:val="right" w:pos="8306"/>
      </w:tabs>
      <w:jc w:val="left"/>
    </w:pPr>
    <w:rPr>
      <w:sz w:val="18"/>
    </w:rPr>
  </w:style>
  <w:style w:type="paragraph" w:customStyle="1" w:styleId="12">
    <w:name w:val="正文文本111"/>
    <w:basedOn w:val="1"/>
    <w:next w:val="13"/>
    <w:qFormat/>
    <w:uiPriority w:val="0"/>
    <w:rPr>
      <w:rFonts w:ascii="Verdana" w:hAnsi="Verdana"/>
      <w:sz w:val="24"/>
      <w:szCs w:val="18"/>
    </w:rPr>
  </w:style>
  <w:style w:type="paragraph" w:customStyle="1" w:styleId="13">
    <w:name w:val="一级条标题"/>
    <w:basedOn w:val="14"/>
    <w:next w:val="1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4">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15">
    <w:name w:val="段"/>
    <w:basedOn w:val="16"/>
    <w:next w:val="1"/>
    <w:qFormat/>
    <w:uiPriority w:val="0"/>
    <w:pPr>
      <w:ind w:firstLine="200"/>
    </w:pPr>
    <w:rPr>
      <w:rFonts w:hint="eastAsia" w:ascii="宋体"/>
    </w:rPr>
  </w:style>
  <w:style w:type="paragraph" w:customStyle="1" w:styleId="16">
    <w:name w:val="正文11"/>
    <w:next w:val="17"/>
    <w:qFormat/>
    <w:uiPriority w:val="0"/>
    <w:pPr>
      <w:jc w:val="both"/>
    </w:pPr>
    <w:rPr>
      <w:rFonts w:hint="default" w:ascii="Times New Roman" w:hAnsi="Times New Roman" w:eastAsia="宋体" w:cs="Times New Roman"/>
      <w:lang w:val="en-US" w:eastAsia="zh-CN" w:bidi="ar-SA"/>
    </w:rPr>
  </w:style>
  <w:style w:type="paragraph" w:customStyle="1" w:styleId="17">
    <w:name w:val="文本块1"/>
    <w:basedOn w:val="18"/>
    <w:next w:val="22"/>
    <w:qFormat/>
    <w:uiPriority w:val="0"/>
    <w:pPr>
      <w:ind w:left="256" w:right="6" w:firstLine="624"/>
    </w:pPr>
    <w:rPr>
      <w:rFonts w:eastAsia="仿宋_GB2312"/>
      <w:sz w:val="28"/>
    </w:rPr>
  </w:style>
  <w:style w:type="paragraph" w:customStyle="1" w:styleId="18">
    <w:name w:val="正文111"/>
    <w:next w:val="1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9">
    <w:name w:val="正文文本1"/>
    <w:basedOn w:val="20"/>
    <w:next w:val="21"/>
    <w:qFormat/>
    <w:uiPriority w:val="0"/>
    <w:pPr>
      <w:spacing w:after="120"/>
    </w:pPr>
    <w:rPr>
      <w:rFonts w:ascii="Calibri" w:hAnsi="Calibri"/>
    </w:rPr>
  </w:style>
  <w:style w:type="paragraph" w:customStyle="1" w:styleId="20">
    <w:name w:val="正文1"/>
    <w:basedOn w:val="18"/>
    <w:next w:val="1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1">
    <w:name w:val="正文12"/>
    <w:next w:val="1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2">
    <w:name w:val="标题 41"/>
    <w:basedOn w:val="1"/>
    <w:next w:val="16"/>
    <w:qFormat/>
    <w:uiPriority w:val="0"/>
    <w:pPr>
      <w:keepNext/>
      <w:keepLines/>
      <w:spacing w:before="280" w:after="290" w:line="376" w:lineRule="auto"/>
      <w:outlineLvl w:val="3"/>
    </w:pPr>
    <w:rPr>
      <w:rFonts w:ascii="Arial" w:hAnsi="Arial" w:eastAsia="黑体"/>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8</Pages>
  <Words>1975</Words>
  <Characters>2053</Characters>
  <Lines>0</Lines>
  <Paragraphs>0</Paragraphs>
  <TotalTime>1</TotalTime>
  <ScaleCrop>false</ScaleCrop>
  <LinksUpToDate>false</LinksUpToDate>
  <CharactersWithSpaces>2059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Bao</cp:lastModifiedBy>
  <dcterms:modified xsi:type="dcterms:W3CDTF">2024-11-07T00:59:03Z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74AC1670D5264100975C144954AE0896_12</vt:lpwstr>
  </property>
</Properties>
</file>