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ind w:firstLine="560" w:firstLineChars="200"/>
        <w:rPr>
          <w:color w:val="auto"/>
          <w:highlight w:val="none"/>
        </w:rPr>
      </w:pPr>
      <w:r>
        <w:rPr>
          <w:rFonts w:hint="eastAsia" w:ascii="宋体" w:hAnsi="宋体" w:cs="宋体"/>
          <w:sz w:val="28"/>
          <w:szCs w:val="28"/>
        </w:rPr>
        <w:t>如有建议或意见，请以书面形式并加盖公章、注明联系人、联系方式，于2024年7月</w:t>
      </w:r>
      <w:r>
        <w:rPr>
          <w:rFonts w:hint="eastAsia" w:ascii="宋体" w:hAnsi="宋体" w:cs="宋体"/>
          <w:sz w:val="28"/>
          <w:szCs w:val="28"/>
          <w:lang w:val="en-US" w:eastAsia="zh-CN"/>
        </w:rPr>
        <w:t>19</w:t>
      </w:r>
      <w:r>
        <w:rPr>
          <w:rFonts w:hint="eastAsia" w:ascii="宋体" w:hAnsi="宋体" w:cs="宋体"/>
          <w:sz w:val="28"/>
          <w:szCs w:val="28"/>
        </w:rPr>
        <w:t>日17:00之前送至我单位，逾期不受理（如邮寄，2024年7月1</w:t>
      </w:r>
      <w:r>
        <w:rPr>
          <w:rFonts w:hint="eastAsia" w:ascii="宋体" w:hAnsi="宋体" w:cs="宋体"/>
          <w:sz w:val="28"/>
          <w:szCs w:val="28"/>
          <w:lang w:val="en-US" w:eastAsia="zh-CN"/>
        </w:rPr>
        <w:t>9</w:t>
      </w:r>
      <w:r>
        <w:rPr>
          <w:rFonts w:hint="eastAsia" w:ascii="宋体" w:hAnsi="宋体" w:cs="宋体"/>
          <w:sz w:val="28"/>
          <w:szCs w:val="28"/>
        </w:rPr>
        <w:t>日17：00之后到达本单位的邮件将不再受理）。</w:t>
      </w:r>
    </w:p>
    <w:p>
      <w:pPr>
        <w:pStyle w:val="24"/>
        <w:kinsoku/>
        <w:wordWrap/>
        <w:overflowPunct/>
        <w:topLinePunct w:val="0"/>
        <w:autoSpaceDE/>
        <w:autoSpaceDN/>
        <w:bidi w:val="0"/>
        <w:adjustRightInd/>
        <w:snapToGrid/>
        <w:jc w:val="center"/>
        <w:textAlignment w:val="auto"/>
        <w:rPr>
          <w:color w:val="auto"/>
          <w:highlight w:val="none"/>
        </w:rPr>
      </w:pPr>
    </w:p>
    <w:p>
      <w:pPr>
        <w:pStyle w:val="24"/>
        <w:kinsoku/>
        <w:wordWrap/>
        <w:overflowPunct/>
        <w:topLinePunct w:val="0"/>
        <w:autoSpaceDE/>
        <w:autoSpaceDN/>
        <w:bidi w:val="0"/>
        <w:adjustRightInd/>
        <w:snapToGrid/>
        <w:jc w:val="center"/>
        <w:textAlignment w:val="auto"/>
        <w:rPr>
          <w:color w:val="auto"/>
          <w:highlight w:val="none"/>
        </w:rPr>
      </w:pPr>
    </w:p>
    <w:p>
      <w:pPr>
        <w:pStyle w:val="24"/>
        <w:kinsoku/>
        <w:wordWrap/>
        <w:overflowPunct/>
        <w:topLinePunct w:val="0"/>
        <w:autoSpaceDE/>
        <w:autoSpaceDN/>
        <w:bidi w:val="0"/>
        <w:adjustRightInd/>
        <w:snapToGrid/>
        <w:jc w:val="center"/>
        <w:textAlignment w:val="auto"/>
        <w:rPr>
          <w:color w:val="auto"/>
          <w:highlight w:val="none"/>
        </w:rPr>
      </w:pPr>
    </w:p>
    <w:p>
      <w:pPr>
        <w:pStyle w:val="24"/>
        <w:kinsoku/>
        <w:wordWrap/>
        <w:overflowPunct/>
        <w:topLinePunct w:val="0"/>
        <w:autoSpaceDE/>
        <w:autoSpaceDN/>
        <w:bidi w:val="0"/>
        <w:adjustRightInd/>
        <w:snapToGrid/>
        <w:jc w:val="center"/>
        <w:textAlignment w:val="auto"/>
        <w:rPr>
          <w:color w:val="auto"/>
          <w:highlight w:val="none"/>
        </w:rPr>
      </w:pPr>
    </w:p>
    <w:p>
      <w:pPr>
        <w:pStyle w:val="24"/>
        <w:kinsoku/>
        <w:wordWrap/>
        <w:overflowPunct/>
        <w:topLinePunct w:val="0"/>
        <w:autoSpaceDE/>
        <w:autoSpaceDN/>
        <w:bidi w:val="0"/>
        <w:adjustRightInd/>
        <w:snapToGrid/>
        <w:jc w:val="center"/>
        <w:textAlignment w:val="auto"/>
        <w:rPr>
          <w:color w:val="auto"/>
          <w:highlight w:val="none"/>
        </w:rPr>
      </w:pPr>
    </w:p>
    <w:p>
      <w:pPr>
        <w:pStyle w:val="24"/>
        <w:kinsoku/>
        <w:wordWrap/>
        <w:overflowPunct/>
        <w:topLinePunct w:val="0"/>
        <w:autoSpaceDE/>
        <w:autoSpaceDN/>
        <w:bidi w:val="0"/>
        <w:adjustRightInd/>
        <w:snapToGrid/>
        <w:jc w:val="center"/>
        <w:textAlignment w:val="auto"/>
        <w:rPr>
          <w:color w:val="auto"/>
          <w:highlight w:val="none"/>
        </w:rPr>
      </w:pPr>
    </w:p>
    <w:p>
      <w:pPr>
        <w:pStyle w:val="24"/>
        <w:kinsoku/>
        <w:wordWrap/>
        <w:overflowPunct/>
        <w:topLinePunct w:val="0"/>
        <w:autoSpaceDE/>
        <w:autoSpaceDN/>
        <w:bidi w:val="0"/>
        <w:adjustRightInd/>
        <w:snapToGrid/>
        <w:jc w:val="center"/>
        <w:textAlignment w:val="auto"/>
        <w:rPr>
          <w:color w:val="auto"/>
          <w:highlight w:val="none"/>
        </w:rPr>
      </w:pPr>
    </w:p>
    <w:p>
      <w:pPr>
        <w:pStyle w:val="24"/>
        <w:kinsoku/>
        <w:wordWrap/>
        <w:overflowPunct/>
        <w:topLinePunct w:val="0"/>
        <w:autoSpaceDE/>
        <w:autoSpaceDN/>
        <w:bidi w:val="0"/>
        <w:adjustRightInd/>
        <w:snapToGrid/>
        <w:jc w:val="center"/>
        <w:textAlignment w:val="auto"/>
        <w:rPr>
          <w:color w:val="auto"/>
          <w:highlight w:val="none"/>
        </w:rPr>
      </w:pPr>
    </w:p>
    <w:p>
      <w:pPr>
        <w:pStyle w:val="24"/>
        <w:kinsoku/>
        <w:wordWrap/>
        <w:overflowPunct/>
        <w:topLinePunct w:val="0"/>
        <w:autoSpaceDE/>
        <w:autoSpaceDN/>
        <w:bidi w:val="0"/>
        <w:adjustRightInd/>
        <w:snapToGrid/>
        <w:jc w:val="center"/>
        <w:textAlignment w:val="auto"/>
        <w:rPr>
          <w:color w:val="auto"/>
          <w:highlight w:val="none"/>
        </w:rPr>
      </w:pPr>
    </w:p>
    <w:p>
      <w:pPr>
        <w:rPr>
          <w:color w:val="auto"/>
          <w:highlight w:val="none"/>
        </w:rPr>
      </w:pPr>
    </w:p>
    <w:p>
      <w:pPr>
        <w:pStyle w:val="2"/>
        <w:rPr>
          <w:color w:val="auto"/>
          <w:highlight w:val="none"/>
        </w:rPr>
      </w:pPr>
    </w:p>
    <w:p>
      <w:pPr>
        <w:pStyle w:val="3"/>
        <w:rPr>
          <w:color w:val="auto"/>
          <w:highlight w:val="none"/>
        </w:rPr>
      </w:pPr>
    </w:p>
    <w:p>
      <w:pPr>
        <w:pStyle w:val="23"/>
        <w:rPr>
          <w:color w:val="auto"/>
          <w:highlight w:val="none"/>
        </w:rPr>
      </w:pPr>
    </w:p>
    <w:p>
      <w:pPr>
        <w:pStyle w:val="5"/>
        <w:rPr>
          <w:color w:val="auto"/>
          <w:highlight w:val="none"/>
        </w:rPr>
      </w:pPr>
    </w:p>
    <w:p>
      <w:pPr>
        <w:pStyle w:val="21"/>
        <w:numPr>
          <w:numId w:val="0"/>
        </w:numPr>
        <w:ind w:leftChars="0"/>
      </w:pPr>
      <w:bookmarkStart w:id="0" w:name="_GoBack"/>
      <w:bookmarkEnd w:id="0"/>
    </w:p>
    <w:p>
      <w:pPr>
        <w:pStyle w:val="10"/>
        <w:rPr>
          <w:color w:val="auto"/>
          <w:highlight w:val="none"/>
        </w:rPr>
      </w:pPr>
    </w:p>
    <w:p>
      <w:pPr>
        <w:pStyle w:val="11"/>
        <w:rPr>
          <w:color w:val="auto"/>
          <w:highlight w:val="none"/>
        </w:rPr>
      </w:pPr>
    </w:p>
    <w:p>
      <w:pPr>
        <w:pStyle w:val="13"/>
        <w:rPr>
          <w:color w:val="auto"/>
          <w:highlight w:val="none"/>
        </w:rPr>
      </w:pPr>
    </w:p>
    <w:p>
      <w:pPr>
        <w:pStyle w:val="24"/>
        <w:kinsoku/>
        <w:wordWrap/>
        <w:overflowPunct/>
        <w:topLinePunct w:val="0"/>
        <w:autoSpaceDE/>
        <w:autoSpaceDN/>
        <w:bidi w:val="0"/>
        <w:adjustRightInd/>
        <w:snapToGrid/>
        <w:jc w:val="both"/>
        <w:textAlignment w:val="auto"/>
        <w:rPr>
          <w:color w:val="auto"/>
          <w:highlight w:val="none"/>
        </w:rPr>
      </w:pPr>
    </w:p>
    <w:p/>
    <w:p>
      <w:pPr>
        <w:pStyle w:val="24"/>
        <w:kinsoku/>
        <w:wordWrap/>
        <w:overflowPunct/>
        <w:topLinePunct w:val="0"/>
        <w:autoSpaceDE/>
        <w:autoSpaceDN/>
        <w:bidi w:val="0"/>
        <w:adjustRightInd/>
        <w:snapToGrid/>
        <w:jc w:val="center"/>
        <w:textAlignment w:val="auto"/>
        <w:rPr>
          <w:color w:val="auto"/>
          <w:highlight w:val="none"/>
        </w:rPr>
      </w:pPr>
      <w:r>
        <w:rPr>
          <w:color w:val="auto"/>
          <w:highlight w:val="none"/>
        </w:rPr>
        <w:t>采购需求</w:t>
      </w:r>
    </w:p>
    <w:p>
      <w:pPr>
        <w:pBdr>
          <w:top w:val="none" w:color="000000" w:sz="0" w:space="0"/>
          <w:left w:val="none" w:color="000000" w:sz="0" w:space="0"/>
          <w:bottom w:val="none" w:color="000000" w:sz="0" w:space="0"/>
          <w:right w:val="none" w:color="000000" w:sz="0" w:space="0"/>
        </w:pBdr>
        <w:spacing w:before="0" w:after="0" w:line="519" w:lineRule="atLeast"/>
        <w:ind w:left="0" w:right="0" w:firstLine="482" w:firstLineChars="200"/>
        <w:rPr>
          <w:rFonts w:hint="eastAsia" w:ascii="宋体" w:hAnsi="宋体" w:eastAsia="宋体" w:cs="宋体"/>
          <w:b/>
          <w:color w:val="auto"/>
          <w:sz w:val="24"/>
          <w:highlight w:val="none"/>
          <w:lang w:eastAsia="zh-CN"/>
        </w:rPr>
      </w:pPr>
      <w:r>
        <w:rPr>
          <w:rFonts w:hint="eastAsia" w:cs="宋体" w:asciiTheme="minorEastAsia" w:hAnsiTheme="minorEastAsia" w:eastAsiaTheme="minorEastAsia"/>
          <w:b/>
          <w:color w:val="auto"/>
          <w:sz w:val="24"/>
          <w:highlight w:val="none"/>
          <w:lang w:eastAsia="zh-CN"/>
        </w:rPr>
        <w:t>一、项目说明</w:t>
      </w:r>
    </w:p>
    <w:p>
      <w:pPr>
        <w:pBdr>
          <w:top w:val="none" w:color="000000" w:sz="0" w:space="0"/>
          <w:left w:val="none" w:color="000000" w:sz="0" w:space="0"/>
          <w:bottom w:val="none" w:color="000000" w:sz="0" w:space="0"/>
          <w:right w:val="none" w:color="000000" w:sz="0" w:space="0"/>
        </w:pBdr>
        <w:spacing w:before="0" w:after="0" w:line="519" w:lineRule="atLeast"/>
        <w:ind w:left="0" w:right="0" w:firstLine="480" w:firstLineChars="200"/>
        <w:rPr>
          <w:rFonts w:hint="eastAsia" w:ascii="宋体" w:hAnsi="宋体" w:eastAsia="宋体" w:cs="宋体"/>
          <w:b w:val="0"/>
          <w:bCs/>
          <w:color w:val="auto"/>
          <w:sz w:val="24"/>
          <w:highlight w:val="none"/>
          <w:lang w:eastAsia="zh-CN"/>
        </w:rPr>
      </w:pPr>
      <w:r>
        <w:rPr>
          <w:rFonts w:hint="eastAsia" w:cs="宋体" w:asciiTheme="minorEastAsia" w:hAnsiTheme="minorEastAsia" w:eastAsiaTheme="minorEastAsia"/>
          <w:b w:val="0"/>
          <w:bCs/>
          <w:color w:val="auto"/>
          <w:sz w:val="24"/>
          <w:highlight w:val="none"/>
          <w:lang w:eastAsia="zh-CN"/>
        </w:rPr>
        <w:t>1、采购人：徐州市公安局交通警察支队</w:t>
      </w:r>
    </w:p>
    <w:p>
      <w:pPr>
        <w:pBdr>
          <w:top w:val="none" w:color="000000" w:sz="0" w:space="0"/>
          <w:left w:val="none" w:color="000000" w:sz="0" w:space="0"/>
          <w:bottom w:val="none" w:color="000000" w:sz="0" w:space="0"/>
          <w:right w:val="none" w:color="000000" w:sz="0" w:space="0"/>
        </w:pBdr>
        <w:spacing w:before="0" w:after="0" w:line="519" w:lineRule="atLeast"/>
        <w:ind w:left="0" w:right="0" w:firstLine="480" w:firstLineChars="200"/>
        <w:rPr>
          <w:rFonts w:hint="eastAsia" w:ascii="宋体" w:hAnsi="宋体" w:eastAsia="宋体" w:cs="宋体"/>
          <w:b w:val="0"/>
          <w:bCs/>
          <w:color w:val="auto"/>
          <w:sz w:val="24"/>
          <w:highlight w:val="none"/>
          <w:lang w:eastAsia="zh-CN"/>
        </w:rPr>
      </w:pPr>
      <w:r>
        <w:rPr>
          <w:rFonts w:hint="eastAsia" w:cs="宋体" w:asciiTheme="minorEastAsia" w:hAnsiTheme="minorEastAsia" w:eastAsiaTheme="minorEastAsia"/>
          <w:b w:val="0"/>
          <w:bCs/>
          <w:color w:val="auto"/>
          <w:sz w:val="24"/>
          <w:highlight w:val="none"/>
          <w:lang w:eastAsia="zh-CN"/>
        </w:rPr>
        <w:t>2、项目名称：通讯费-警务通服务</w:t>
      </w:r>
    </w:p>
    <w:p>
      <w:pPr>
        <w:pStyle w:val="32"/>
        <w:spacing w:before="0" w:after="0" w:line="560" w:lineRule="exact"/>
        <w:ind w:left="0" w:firstLine="480" w:firstLineChars="200"/>
        <w:jc w:val="both"/>
        <w:rPr>
          <w:rFonts w:hint="eastAsia" w:ascii="宋体" w:hAnsi="宋体" w:eastAsia="宋体" w:cs="宋体"/>
          <w:color w:val="auto"/>
          <w:kern w:val="0"/>
          <w:sz w:val="24"/>
          <w:szCs w:val="24"/>
          <w:highlight w:val="none"/>
          <w:lang w:val="en-US" w:eastAsia="zh-CN" w:bidi="zh-TW"/>
        </w:rPr>
      </w:pPr>
      <w:r>
        <w:rPr>
          <w:rFonts w:hint="eastAsia" w:ascii="宋体" w:hAnsi="宋体" w:eastAsia="宋体" w:cs="宋体"/>
          <w:color w:val="auto"/>
          <w:kern w:val="0"/>
          <w:sz w:val="24"/>
          <w:szCs w:val="24"/>
          <w:highlight w:val="none"/>
          <w:lang w:val="en-US" w:eastAsia="zh-CN" w:bidi="zh-TW"/>
        </w:rPr>
        <w:t>3、</w:t>
      </w:r>
      <w:r>
        <w:rPr>
          <w:rFonts w:hint="eastAsia" w:cs="宋体" w:asciiTheme="minorEastAsia" w:hAnsiTheme="minorEastAsia" w:eastAsiaTheme="minorEastAsia"/>
          <w:b w:val="0"/>
          <w:bCs/>
          <w:color w:val="auto"/>
          <w:sz w:val="24"/>
          <w:highlight w:val="none"/>
          <w:lang w:eastAsia="zh-CN"/>
        </w:rPr>
        <w:t>项目</w:t>
      </w:r>
      <w:r>
        <w:rPr>
          <w:rFonts w:hint="eastAsia" w:ascii="宋体" w:hAnsi="宋体" w:eastAsia="宋体" w:cs="宋体"/>
          <w:color w:val="auto"/>
          <w:kern w:val="0"/>
          <w:sz w:val="24"/>
          <w:szCs w:val="24"/>
          <w:highlight w:val="none"/>
          <w:lang w:val="en-US" w:eastAsia="zh-CN" w:bidi="zh-TW"/>
        </w:rPr>
        <w:t>编号：JSZC-320300-RHGC-G2024-0011</w:t>
      </w:r>
      <w:r>
        <w:rPr>
          <w:rFonts w:hint="eastAsia" w:ascii="宋体" w:hAnsi="宋体" w:eastAsia="宋体" w:cs="宋体"/>
          <w:color w:val="auto"/>
          <w:kern w:val="0"/>
          <w:sz w:val="24"/>
          <w:szCs w:val="24"/>
          <w:highlight w:val="none"/>
          <w:lang w:val="en-US" w:eastAsia="zh-CN" w:bidi="zh-TW"/>
        </w:rPr>
        <w:tab/>
      </w:r>
    </w:p>
    <w:p>
      <w:pPr>
        <w:pStyle w:val="32"/>
        <w:spacing w:before="0" w:after="0" w:line="560" w:lineRule="exact"/>
        <w:ind w:left="0" w:firstLine="480" w:firstLineChars="200"/>
        <w:jc w:val="both"/>
        <w:rPr>
          <w:rFonts w:hint="eastAsia" w:ascii="宋体" w:hAnsi="宋体" w:eastAsia="宋体" w:cs="宋体"/>
          <w:color w:val="auto"/>
          <w:kern w:val="0"/>
          <w:sz w:val="24"/>
          <w:szCs w:val="24"/>
          <w:highlight w:val="none"/>
          <w:lang w:val="en-US" w:eastAsia="zh-CN" w:bidi="zh-TW"/>
        </w:rPr>
      </w:pPr>
      <w:r>
        <w:rPr>
          <w:rFonts w:hint="eastAsia" w:ascii="宋体" w:hAnsi="宋体" w:eastAsia="宋体" w:cs="宋体"/>
          <w:color w:val="auto"/>
          <w:kern w:val="0"/>
          <w:sz w:val="24"/>
          <w:szCs w:val="24"/>
          <w:highlight w:val="none"/>
          <w:lang w:val="en-US" w:eastAsia="zh-CN" w:bidi="zh-TW"/>
        </w:rPr>
        <w:t>4、采购人即政府采购合同甲方，下同。</w:t>
      </w:r>
    </w:p>
    <w:p>
      <w:pPr>
        <w:pStyle w:val="32"/>
        <w:spacing w:before="0" w:after="0" w:line="560" w:lineRule="exact"/>
        <w:ind w:left="0" w:firstLine="480" w:firstLineChars="200"/>
        <w:jc w:val="both"/>
        <w:rPr>
          <w:rFonts w:hint="eastAsia" w:ascii="宋体" w:hAnsi="宋体" w:eastAsia="宋体" w:cs="宋体"/>
          <w:color w:val="auto"/>
          <w:kern w:val="0"/>
          <w:sz w:val="24"/>
          <w:szCs w:val="24"/>
          <w:highlight w:val="none"/>
          <w:lang w:val="en-US" w:eastAsia="zh-CN" w:bidi="zh-TW"/>
        </w:rPr>
      </w:pPr>
      <w:r>
        <w:rPr>
          <w:rFonts w:hint="eastAsia" w:ascii="宋体" w:hAnsi="宋体" w:eastAsia="宋体" w:cs="宋体"/>
          <w:color w:val="auto"/>
          <w:kern w:val="0"/>
          <w:sz w:val="24"/>
          <w:szCs w:val="24"/>
          <w:highlight w:val="none"/>
          <w:lang w:val="en-US" w:eastAsia="zh-CN" w:bidi="zh-TW"/>
        </w:rPr>
        <w:t>5、中标人即政府采购合同乙方，下同。</w:t>
      </w:r>
    </w:p>
    <w:p>
      <w:pPr>
        <w:kinsoku/>
        <w:wordWrap/>
        <w:overflowPunct/>
        <w:topLinePunct w:val="0"/>
        <w:autoSpaceDE/>
        <w:autoSpaceDN/>
        <w:bidi w:val="0"/>
        <w:adjustRightInd/>
        <w:snapToGrid/>
        <w:ind w:firstLine="482" w:firstLineChars="200"/>
        <w:jc w:val="both"/>
        <w:textAlignment w:val="auto"/>
        <w:rPr>
          <w:rFonts w:hint="eastAsia" w:ascii="宋体" w:hAnsi="宋体" w:eastAsia="宋体" w:cs="宋体"/>
          <w:b/>
          <w:bCs/>
          <w:color w:val="auto"/>
          <w:kern w:val="0"/>
          <w:sz w:val="24"/>
          <w:szCs w:val="24"/>
          <w:highlight w:val="none"/>
          <w:lang w:val="en-US" w:eastAsia="zh-CN" w:bidi="zh-TW"/>
        </w:rPr>
      </w:pPr>
      <w:r>
        <w:rPr>
          <w:rFonts w:hint="eastAsia" w:ascii="宋体" w:hAnsi="宋体" w:eastAsia="宋体" w:cs="宋体"/>
          <w:b/>
          <w:bCs/>
          <w:color w:val="auto"/>
          <w:kern w:val="0"/>
          <w:sz w:val="24"/>
          <w:szCs w:val="24"/>
          <w:highlight w:val="none"/>
          <w:lang w:val="en-US" w:eastAsia="zh-CN" w:bidi="zh-TW"/>
        </w:rPr>
        <w:t>二、项目预算金额</w:t>
      </w:r>
    </w:p>
    <w:p>
      <w:pPr>
        <w:pStyle w:val="32"/>
        <w:spacing w:before="0" w:after="0" w:line="560" w:lineRule="exact"/>
        <w:ind w:left="0" w:firstLine="480" w:firstLineChars="200"/>
        <w:jc w:val="both"/>
        <w:rPr>
          <w:rFonts w:hint="eastAsia" w:ascii="宋体" w:hAnsi="宋体" w:eastAsia="宋体" w:cs="宋体"/>
          <w:color w:val="auto"/>
          <w:kern w:val="0"/>
          <w:sz w:val="24"/>
          <w:szCs w:val="24"/>
          <w:highlight w:val="none"/>
          <w:lang w:val="en-US" w:eastAsia="zh-CN" w:bidi="zh-TW"/>
        </w:rPr>
      </w:pPr>
      <w:r>
        <w:rPr>
          <w:rFonts w:hint="eastAsia" w:ascii="宋体" w:hAnsi="宋体" w:eastAsia="宋体" w:cs="宋体"/>
          <w:color w:val="auto"/>
          <w:kern w:val="0"/>
          <w:sz w:val="24"/>
          <w:szCs w:val="24"/>
          <w:highlight w:val="none"/>
          <w:lang w:val="en-US" w:eastAsia="zh-CN" w:bidi="zh-TW"/>
        </w:rPr>
        <w:t>本项目采购预算总金额72.576 万元</w:t>
      </w:r>
      <w:r>
        <w:rPr>
          <w:rFonts w:hint="eastAsia" w:ascii="宋体" w:hAnsi="宋体" w:eastAsia="宋体" w:cs="宋体"/>
          <w:color w:val="auto"/>
          <w:kern w:val="0"/>
          <w:sz w:val="24"/>
          <w:szCs w:val="24"/>
          <w:highlight w:val="none"/>
          <w:lang w:val="en-US" w:eastAsia="zh-CN" w:bidi="zh-TW"/>
        </w:rPr>
        <w:tab/>
      </w:r>
      <w:r>
        <w:rPr>
          <w:rFonts w:hint="eastAsia" w:ascii="宋体" w:hAnsi="宋体" w:eastAsia="宋体" w:cs="宋体"/>
          <w:color w:val="auto"/>
          <w:kern w:val="0"/>
          <w:sz w:val="24"/>
          <w:szCs w:val="24"/>
          <w:highlight w:val="none"/>
          <w:lang w:val="en-US" w:eastAsia="zh-CN" w:bidi="zh-TW"/>
        </w:rPr>
        <w:t>人民币。不接受超过72.576 万元（采购项目预算金额）的投标报价。</w:t>
      </w:r>
    </w:p>
    <w:p>
      <w:pPr>
        <w:numPr>
          <w:ilvl w:val="0"/>
          <w:numId w:val="0"/>
        </w:numPr>
        <w:spacing w:before="240" w:line="360" w:lineRule="auto"/>
        <w:ind w:firstLine="482" w:firstLineChars="200"/>
        <w:rPr>
          <w:rStyle w:val="33"/>
          <w:b/>
          <w:color w:val="auto"/>
          <w:sz w:val="24"/>
          <w:szCs w:val="24"/>
          <w:highlight w:val="none"/>
        </w:rPr>
      </w:pPr>
      <w:r>
        <w:rPr>
          <w:rStyle w:val="33"/>
          <w:rFonts w:hint="eastAsia"/>
          <w:b/>
          <w:color w:val="auto"/>
          <w:sz w:val="24"/>
          <w:szCs w:val="24"/>
          <w:highlight w:val="none"/>
          <w:lang w:val="en-US" w:eastAsia="zh-CN"/>
        </w:rPr>
        <w:t>三、</w:t>
      </w:r>
      <w:r>
        <w:rPr>
          <w:rStyle w:val="33"/>
          <w:rFonts w:hint="eastAsia"/>
          <w:b/>
          <w:color w:val="auto"/>
          <w:sz w:val="24"/>
          <w:szCs w:val="24"/>
          <w:highlight w:val="none"/>
        </w:rPr>
        <w:t>项目概述</w:t>
      </w:r>
    </w:p>
    <w:p>
      <w:pPr>
        <w:pStyle w:val="32"/>
        <w:spacing w:before="0" w:after="0" w:line="560" w:lineRule="exact"/>
        <w:ind w:lef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警务通服务为警务人员使用手持终端设备、进行移动勤务活动提供综合性服务，共采购692套警务通通信综合服务。</w:t>
      </w:r>
    </w:p>
    <w:p>
      <w:pPr>
        <w:numPr>
          <w:ilvl w:val="0"/>
          <w:numId w:val="0"/>
        </w:numPr>
        <w:spacing w:before="240" w:line="360" w:lineRule="auto"/>
        <w:ind w:firstLine="482" w:firstLineChars="200"/>
        <w:rPr>
          <w:rStyle w:val="33"/>
          <w:color w:val="auto"/>
          <w:sz w:val="24"/>
          <w:szCs w:val="24"/>
          <w:highlight w:val="none"/>
        </w:rPr>
      </w:pPr>
      <w:r>
        <w:rPr>
          <w:rFonts w:hint="eastAsia"/>
          <w:b/>
          <w:color w:val="auto"/>
          <w:kern w:val="0"/>
          <w:highlight w:val="none"/>
          <w:lang w:val="en-US" w:eastAsia="zh-CN" w:bidi="zh-TW"/>
        </w:rPr>
        <w:t>四、</w:t>
      </w:r>
      <w:r>
        <w:rPr>
          <w:rFonts w:hint="eastAsia"/>
          <w:b/>
          <w:color w:val="auto"/>
          <w:kern w:val="0"/>
          <w:highlight w:val="none"/>
          <w:lang w:bidi="zh-TW"/>
        </w:rPr>
        <w:t>项目工期：</w:t>
      </w:r>
      <w:r>
        <w:rPr>
          <w:rStyle w:val="33"/>
          <w:rFonts w:hint="eastAsia"/>
          <w:color w:val="auto"/>
          <w:sz w:val="24"/>
          <w:szCs w:val="24"/>
          <w:highlight w:val="none"/>
        </w:rPr>
        <w:t>自合同签定之日起</w:t>
      </w:r>
      <w:r>
        <w:rPr>
          <w:rStyle w:val="33"/>
          <w:rFonts w:hint="eastAsia"/>
          <w:color w:val="auto"/>
          <w:sz w:val="24"/>
          <w:szCs w:val="24"/>
          <w:highlight w:val="none"/>
          <w:lang w:val="en-US" w:eastAsia="zh-CN"/>
        </w:rPr>
        <w:t>12</w:t>
      </w:r>
      <w:r>
        <w:rPr>
          <w:rStyle w:val="33"/>
          <w:rFonts w:hint="eastAsia"/>
          <w:color w:val="auto"/>
          <w:sz w:val="24"/>
          <w:szCs w:val="24"/>
          <w:highlight w:val="none"/>
        </w:rPr>
        <w:t>个月内完成。</w:t>
      </w:r>
    </w:p>
    <w:p>
      <w:pPr>
        <w:numPr>
          <w:ilvl w:val="0"/>
          <w:numId w:val="0"/>
        </w:numPr>
        <w:spacing w:before="240" w:line="360" w:lineRule="auto"/>
        <w:ind w:firstLine="482" w:firstLineChars="200"/>
        <w:rPr>
          <w:rStyle w:val="33"/>
          <w:b/>
          <w:color w:val="auto"/>
          <w:sz w:val="24"/>
          <w:szCs w:val="24"/>
          <w:highlight w:val="none"/>
        </w:rPr>
      </w:pPr>
      <w:r>
        <w:rPr>
          <w:rStyle w:val="33"/>
          <w:rFonts w:hint="eastAsia"/>
          <w:b/>
          <w:color w:val="auto"/>
          <w:sz w:val="24"/>
          <w:szCs w:val="24"/>
          <w:highlight w:val="none"/>
          <w:lang w:val="en-US" w:eastAsia="zh-CN"/>
        </w:rPr>
        <w:t>五、</w:t>
      </w:r>
      <w:r>
        <w:rPr>
          <w:rStyle w:val="33"/>
          <w:rFonts w:hint="eastAsia"/>
          <w:b/>
          <w:color w:val="auto"/>
          <w:sz w:val="24"/>
          <w:szCs w:val="24"/>
          <w:highlight w:val="none"/>
        </w:rPr>
        <w:t>采购清单</w:t>
      </w:r>
    </w:p>
    <w:tbl>
      <w:tblPr>
        <w:tblStyle w:val="26"/>
        <w:tblW w:w="8160"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3156"/>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1" w:type="dxa"/>
            <w:vAlign w:val="center"/>
          </w:tcPr>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项目</w:t>
            </w:r>
          </w:p>
        </w:tc>
        <w:tc>
          <w:tcPr>
            <w:tcW w:w="6599" w:type="dxa"/>
            <w:gridSpan w:val="2"/>
            <w:vAlign w:val="center"/>
          </w:tcPr>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建设需求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561" w:type="dxa"/>
            <w:vMerge w:val="restart"/>
            <w:vAlign w:val="center"/>
          </w:tcPr>
          <w:p>
            <w:pPr>
              <w:spacing w:line="360" w:lineRule="auto"/>
              <w:rPr>
                <w:rStyle w:val="33"/>
                <w:rFonts w:hint="eastAsia"/>
                <w:color w:val="auto"/>
                <w:sz w:val="24"/>
                <w:szCs w:val="24"/>
                <w:highlight w:val="none"/>
              </w:rPr>
            </w:pPr>
            <w:r>
              <w:rPr>
                <w:rStyle w:val="33"/>
                <w:rFonts w:hint="eastAsia"/>
                <w:color w:val="auto"/>
                <w:sz w:val="24"/>
                <w:szCs w:val="24"/>
                <w:highlight w:val="none"/>
              </w:rPr>
              <w:t>采购内容</w:t>
            </w:r>
          </w:p>
        </w:tc>
        <w:tc>
          <w:tcPr>
            <w:tcW w:w="3156" w:type="dxa"/>
            <w:vAlign w:val="center"/>
          </w:tcPr>
          <w:p>
            <w:pPr>
              <w:spacing w:line="360" w:lineRule="auto"/>
              <w:ind w:firstLine="480" w:firstLineChars="200"/>
              <w:jc w:val="center"/>
              <w:rPr>
                <w:rStyle w:val="33"/>
                <w:rFonts w:hint="eastAsia"/>
                <w:color w:val="auto"/>
                <w:sz w:val="24"/>
                <w:szCs w:val="24"/>
                <w:highlight w:val="none"/>
              </w:rPr>
            </w:pPr>
            <w:r>
              <w:rPr>
                <w:rStyle w:val="33"/>
                <w:rFonts w:hint="eastAsia"/>
                <w:color w:val="auto"/>
                <w:sz w:val="24"/>
                <w:szCs w:val="24"/>
                <w:highlight w:val="none"/>
              </w:rPr>
              <w:t>警务通流量服务</w:t>
            </w:r>
          </w:p>
        </w:tc>
        <w:tc>
          <w:tcPr>
            <w:tcW w:w="3443" w:type="dxa"/>
          </w:tcPr>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基层执勤大队692套（含贾汪大队）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561" w:type="dxa"/>
            <w:vMerge w:val="continue"/>
            <w:vAlign w:val="center"/>
          </w:tcPr>
          <w:p>
            <w:pPr>
              <w:spacing w:line="360" w:lineRule="auto"/>
              <w:ind w:firstLine="480" w:firstLineChars="200"/>
              <w:rPr>
                <w:rStyle w:val="33"/>
                <w:rFonts w:hint="eastAsia"/>
                <w:color w:val="auto"/>
                <w:sz w:val="24"/>
                <w:szCs w:val="24"/>
                <w:highlight w:val="none"/>
              </w:rPr>
            </w:pPr>
          </w:p>
        </w:tc>
        <w:tc>
          <w:tcPr>
            <w:tcW w:w="3156" w:type="dxa"/>
          </w:tcPr>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警务通维修服务</w:t>
            </w:r>
          </w:p>
        </w:tc>
        <w:tc>
          <w:tcPr>
            <w:tcW w:w="3443" w:type="dxa"/>
          </w:tcPr>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警务通设备全保维保服务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561" w:type="dxa"/>
            <w:vMerge w:val="continue"/>
            <w:vAlign w:val="center"/>
          </w:tcPr>
          <w:p>
            <w:pPr>
              <w:spacing w:line="360" w:lineRule="auto"/>
              <w:ind w:firstLine="480" w:firstLineChars="200"/>
              <w:rPr>
                <w:rStyle w:val="33"/>
                <w:rFonts w:hint="eastAsia"/>
                <w:color w:val="auto"/>
                <w:sz w:val="24"/>
                <w:szCs w:val="24"/>
                <w:highlight w:val="none"/>
              </w:rPr>
            </w:pPr>
          </w:p>
        </w:tc>
        <w:tc>
          <w:tcPr>
            <w:tcW w:w="3156" w:type="dxa"/>
          </w:tcPr>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交通安全移动</w:t>
            </w:r>
            <w:r>
              <w:rPr>
                <w:rStyle w:val="33"/>
                <w:rFonts w:hint="eastAsia" w:eastAsia="宋体"/>
                <w:color w:val="auto"/>
                <w:sz w:val="24"/>
                <w:szCs w:val="24"/>
                <w:highlight w:val="none"/>
                <w:lang w:val="en-US" w:eastAsia="zh-CN"/>
              </w:rPr>
              <w:t>执法平台维保服务</w:t>
            </w:r>
          </w:p>
        </w:tc>
        <w:tc>
          <w:tcPr>
            <w:tcW w:w="3443" w:type="dxa"/>
          </w:tcPr>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警务通平台日常运维服务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61" w:type="dxa"/>
            <w:vAlign w:val="center"/>
          </w:tcPr>
          <w:p>
            <w:pPr>
              <w:spacing w:line="360" w:lineRule="auto"/>
              <w:rPr>
                <w:rStyle w:val="33"/>
                <w:rFonts w:hint="eastAsia"/>
                <w:color w:val="auto"/>
                <w:sz w:val="24"/>
                <w:szCs w:val="24"/>
                <w:highlight w:val="none"/>
              </w:rPr>
            </w:pPr>
            <w:r>
              <w:rPr>
                <w:rStyle w:val="33"/>
                <w:rFonts w:hint="eastAsia"/>
                <w:color w:val="auto"/>
                <w:sz w:val="24"/>
                <w:szCs w:val="24"/>
                <w:highlight w:val="none"/>
              </w:rPr>
              <w:t>流量卡要求</w:t>
            </w:r>
          </w:p>
        </w:tc>
        <w:tc>
          <w:tcPr>
            <w:tcW w:w="6599" w:type="dxa"/>
            <w:gridSpan w:val="2"/>
          </w:tcPr>
          <w:p>
            <w:pPr>
              <w:spacing w:line="360" w:lineRule="auto"/>
              <w:ind w:firstLine="480" w:firstLineChars="200"/>
              <w:rPr>
                <w:rStyle w:val="33"/>
                <w:rFonts w:hint="default" w:eastAsia="宋体"/>
                <w:color w:val="auto"/>
                <w:sz w:val="24"/>
                <w:szCs w:val="24"/>
                <w:highlight w:val="none"/>
                <w:lang w:val="en-US" w:eastAsia="zh-CN"/>
              </w:rPr>
            </w:pPr>
            <w:r>
              <w:rPr>
                <w:rStyle w:val="33"/>
                <w:rFonts w:hint="eastAsia"/>
                <w:color w:val="auto"/>
                <w:sz w:val="24"/>
                <w:szCs w:val="24"/>
                <w:highlight w:val="none"/>
                <w:lang w:val="en-US" w:eastAsia="zh-CN"/>
              </w:rPr>
              <w:t>技术要求：</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▲1、所提供流量卡数量需满足692台警务通应用</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2、确保流量卡片套餐内总流量、已使用流量、剩余流量、套餐类型均可查询。</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▲3、承接原业务不换号，切换不得中断甲方正常使用，周期不得超过7日</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▲4、流量包不低于40G/月/卡，40G流量以内不限速；</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▲5、满足警务通专用传输VPDN线路与公安警务通平台对接要求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61" w:type="dxa"/>
            <w:vAlign w:val="center"/>
          </w:tcPr>
          <w:p>
            <w:pPr>
              <w:spacing w:line="360" w:lineRule="auto"/>
              <w:rPr>
                <w:rStyle w:val="33"/>
                <w:rFonts w:hint="eastAsia"/>
                <w:color w:val="auto"/>
                <w:sz w:val="24"/>
                <w:szCs w:val="24"/>
                <w:highlight w:val="none"/>
              </w:rPr>
            </w:pPr>
            <w:r>
              <w:rPr>
                <w:rStyle w:val="33"/>
                <w:rFonts w:hint="eastAsia"/>
                <w:color w:val="auto"/>
                <w:sz w:val="24"/>
                <w:szCs w:val="24"/>
                <w:highlight w:val="none"/>
              </w:rPr>
              <w:t>维修要求</w:t>
            </w:r>
          </w:p>
        </w:tc>
        <w:tc>
          <w:tcPr>
            <w:tcW w:w="6599" w:type="dxa"/>
            <w:gridSpan w:val="2"/>
          </w:tcPr>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lang w:val="en-US" w:eastAsia="zh-CN"/>
              </w:rPr>
              <w:t>技术要求：</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▲1、对292台警务通终端进行全保维保服务。硬件维保范围包含但不限于碎屏、进水/淋雨、碾压等所有非故意损坏，确保配发数量能够足额正常使用。</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▲2、提供原厂授权维保</w:t>
            </w:r>
          </w:p>
          <w:p>
            <w:pPr>
              <w:numPr>
                <w:ilvl w:val="0"/>
                <w:numId w:val="0"/>
              </w:numPr>
              <w:spacing w:line="360" w:lineRule="auto"/>
              <w:ind w:leftChars="200"/>
              <w:rPr>
                <w:rStyle w:val="33"/>
                <w:rFonts w:hint="eastAsia"/>
                <w:color w:val="auto"/>
                <w:sz w:val="24"/>
                <w:szCs w:val="24"/>
                <w:highlight w:val="none"/>
              </w:rPr>
            </w:pPr>
            <w:r>
              <w:rPr>
                <w:rStyle w:val="33"/>
                <w:rFonts w:hint="eastAsia"/>
                <w:color w:val="auto"/>
                <w:sz w:val="24"/>
                <w:szCs w:val="24"/>
                <w:highlight w:val="none"/>
                <w:lang w:val="en-US" w:eastAsia="zh-CN"/>
              </w:rPr>
              <w:t>3、</w:t>
            </w:r>
            <w:r>
              <w:rPr>
                <w:rStyle w:val="33"/>
                <w:rFonts w:hint="eastAsia"/>
                <w:color w:val="auto"/>
                <w:sz w:val="24"/>
                <w:szCs w:val="24"/>
                <w:highlight w:val="none"/>
              </w:rPr>
              <w:t>备件服务。提供针对292部过保设备，提供不低于5%与现有产品同款同型号或兼容现有平台的一体式移动警务终端备机。</w:t>
            </w:r>
          </w:p>
          <w:p>
            <w:pPr>
              <w:numPr>
                <w:ilvl w:val="0"/>
                <w:numId w:val="0"/>
              </w:numPr>
              <w:spacing w:line="360" w:lineRule="auto"/>
              <w:ind w:leftChars="200"/>
              <w:rPr>
                <w:rStyle w:val="33"/>
                <w:rFonts w:hint="eastAsia"/>
                <w:color w:val="auto"/>
                <w:sz w:val="24"/>
                <w:szCs w:val="24"/>
                <w:highlight w:val="none"/>
              </w:rPr>
            </w:pPr>
            <w:r>
              <w:rPr>
                <w:rStyle w:val="33"/>
                <w:rFonts w:hint="eastAsia"/>
                <w:color w:val="auto"/>
                <w:sz w:val="24"/>
                <w:szCs w:val="24"/>
                <w:highlight w:val="none"/>
              </w:rPr>
              <w:t>▲备机数量，约15台。</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（现型号为：P990的147部、P999的145部）。</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主要参数</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CPU：4核CPU(主频主频≥1.0GHZ)及以上</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内存：内存≥2GB, 存储空间≥16GB</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操作系统：Android 5.0及以上</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通讯模块：2G/3G/4G通讯制式全网通模块</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扩展存储：MICRO SD卡接口，最大支持32GB。Micro SD （TF）卡槽</w:t>
            </w:r>
            <w:r>
              <w:rPr>
                <w:rStyle w:val="33"/>
                <w:rFonts w:hint="eastAsia"/>
                <w:color w:val="auto"/>
                <w:sz w:val="24"/>
                <w:szCs w:val="24"/>
                <w:highlight w:val="none"/>
                <w:lang w:val="en-US" w:eastAsia="zh-CN"/>
              </w:rPr>
              <w:t>可以配备</w:t>
            </w:r>
            <w:r>
              <w:rPr>
                <w:rStyle w:val="33"/>
                <w:rFonts w:hint="eastAsia"/>
                <w:color w:val="auto"/>
                <w:sz w:val="24"/>
                <w:szCs w:val="24"/>
                <w:highlight w:val="none"/>
              </w:rPr>
              <w:t>TF安全加密卡</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▲摄像头：后置像素不低于800万摄像头，支持自动对焦</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▲打印机：</w:t>
            </w:r>
            <w:r>
              <w:rPr>
                <w:rStyle w:val="33"/>
                <w:rFonts w:hint="eastAsia"/>
                <w:color w:val="auto"/>
                <w:sz w:val="24"/>
                <w:szCs w:val="24"/>
                <w:highlight w:val="none"/>
                <w:lang w:val="en-US" w:eastAsia="zh-CN"/>
              </w:rPr>
              <w:t>内置</w:t>
            </w:r>
            <w:r>
              <w:rPr>
                <w:rStyle w:val="33"/>
                <w:rFonts w:hint="eastAsia"/>
                <w:color w:val="auto"/>
                <w:sz w:val="24"/>
                <w:szCs w:val="24"/>
                <w:highlight w:val="none"/>
              </w:rPr>
              <w:t>高速热敏打印机</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定位：</w:t>
            </w:r>
            <w:r>
              <w:rPr>
                <w:rStyle w:val="33"/>
                <w:rFonts w:hint="eastAsia"/>
                <w:color w:val="auto"/>
                <w:sz w:val="24"/>
                <w:szCs w:val="24"/>
                <w:highlight w:val="none"/>
                <w:lang w:val="en-US" w:eastAsia="zh-CN"/>
              </w:rPr>
              <w:t>单</w:t>
            </w:r>
            <w:r>
              <w:rPr>
                <w:rStyle w:val="33"/>
                <w:rFonts w:hint="eastAsia"/>
                <w:color w:val="auto"/>
                <w:sz w:val="24"/>
                <w:szCs w:val="24"/>
                <w:highlight w:val="none"/>
              </w:rPr>
              <w:t>北斗</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电池容量：锂聚合物电池，单块电池容量≥5000mAh电池应可拆卸。</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USB接口：至少1 个mini或者micro USB 接口(OTG Type)</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无线局域网：802.11 b/g/n</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扩展卡槽：2 SIM卡槽</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音频：扬声器, 麦克风</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防水等级：IP54及以上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1" w:type="dxa"/>
            <w:vAlign w:val="center"/>
          </w:tcPr>
          <w:p>
            <w:pPr>
              <w:spacing w:line="360" w:lineRule="auto"/>
              <w:rPr>
                <w:rStyle w:val="33"/>
                <w:rFonts w:hint="eastAsia"/>
                <w:color w:val="auto"/>
                <w:sz w:val="24"/>
                <w:szCs w:val="24"/>
                <w:highlight w:val="none"/>
              </w:rPr>
            </w:pPr>
            <w:r>
              <w:rPr>
                <w:rStyle w:val="33"/>
                <w:rFonts w:hint="eastAsia"/>
                <w:color w:val="auto"/>
                <w:sz w:val="24"/>
                <w:szCs w:val="24"/>
                <w:highlight w:val="none"/>
              </w:rPr>
              <w:t>平台维保要求</w:t>
            </w:r>
          </w:p>
        </w:tc>
        <w:tc>
          <w:tcPr>
            <w:tcW w:w="6599" w:type="dxa"/>
            <w:gridSpan w:val="2"/>
          </w:tcPr>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lang w:val="en-US" w:eastAsia="zh-CN"/>
              </w:rPr>
              <w:t>技术要求：</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1、软件维修范围</w:t>
            </w:r>
            <w:r>
              <w:rPr>
                <w:rStyle w:val="33"/>
                <w:rFonts w:hint="eastAsia"/>
                <w:color w:val="auto"/>
                <w:sz w:val="24"/>
                <w:szCs w:val="24"/>
                <w:highlight w:val="none"/>
              </w:rPr>
              <w:tab/>
            </w:r>
            <w:r>
              <w:rPr>
                <w:rStyle w:val="33"/>
                <w:rFonts w:hint="eastAsia"/>
                <w:color w:val="auto"/>
                <w:sz w:val="24"/>
                <w:szCs w:val="24"/>
                <w:highlight w:val="none"/>
              </w:rPr>
              <w:t>1.提供设备软件维修升级服务，包含但不限于系统更新/重装、APP升级/重装、安全加固等；</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▲2、系统升级改造：对徐州现有移动警务系统进行改造升级，统一接入、统一总线、并按照规范传输相应日志。</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lang w:val="en-US" w:eastAsia="zh-CN"/>
              </w:rPr>
              <w:t>3、</w:t>
            </w:r>
            <w:r>
              <w:rPr>
                <w:rStyle w:val="33"/>
                <w:rFonts w:hint="eastAsia"/>
                <w:color w:val="auto"/>
                <w:sz w:val="24"/>
                <w:szCs w:val="24"/>
                <w:highlight w:val="none"/>
              </w:rPr>
              <w:t>平台应用软件维护。需要根据交通法规、管理办法、执法程序、违法代码的变化进行升级调整，本地版软件需要根据本地执法需求予以程序功能扩充和业务参数设置</w:t>
            </w:r>
            <w:r>
              <w:rPr>
                <w:rStyle w:val="33"/>
                <w:rFonts w:hint="eastAsia"/>
                <w:color w:val="auto"/>
                <w:sz w:val="24"/>
                <w:szCs w:val="24"/>
                <w:highlight w:val="none"/>
                <w:lang w:eastAsia="zh-CN"/>
              </w:rPr>
              <w:t>。</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lang w:val="en-US" w:eastAsia="zh-CN"/>
              </w:rPr>
              <w:t>4、</w:t>
            </w:r>
            <w:r>
              <w:rPr>
                <w:rStyle w:val="33"/>
                <w:rFonts w:hint="eastAsia"/>
                <w:color w:val="auto"/>
                <w:sz w:val="24"/>
                <w:szCs w:val="24"/>
                <w:highlight w:val="none"/>
              </w:rPr>
              <w:t>对现有警务通系统后台应用软件和终端应用软件进行日常维护、系统现有功能运行过程中出现BUG的完善与修改，包括常见的软件相关故障解决、系统安装等，确保软件系统的稳定运行。</w:t>
            </w:r>
          </w:p>
          <w:p>
            <w:pPr>
              <w:spacing w:line="360" w:lineRule="auto"/>
              <w:ind w:firstLine="480" w:firstLineChars="200"/>
              <w:rPr>
                <w:rStyle w:val="33"/>
                <w:rFonts w:hint="eastAsia" w:eastAsia="宋体"/>
                <w:color w:val="auto"/>
                <w:sz w:val="24"/>
                <w:szCs w:val="24"/>
                <w:highlight w:val="none"/>
                <w:lang w:eastAsia="zh-CN"/>
              </w:rPr>
            </w:pPr>
            <w:r>
              <w:rPr>
                <w:rStyle w:val="33"/>
                <w:rFonts w:hint="eastAsia"/>
                <w:color w:val="auto"/>
                <w:sz w:val="24"/>
                <w:szCs w:val="24"/>
                <w:highlight w:val="none"/>
                <w:lang w:val="en-US" w:eastAsia="zh-CN"/>
              </w:rPr>
              <w:t>5、</w:t>
            </w:r>
            <w:r>
              <w:rPr>
                <w:rStyle w:val="33"/>
                <w:rFonts w:hint="eastAsia"/>
                <w:color w:val="auto"/>
                <w:sz w:val="24"/>
                <w:szCs w:val="24"/>
                <w:highlight w:val="none"/>
              </w:rPr>
              <w:t>应用管理。警务通平台的授权管理、字典维护、安全监督、系统优化、故障排除和警务通数据的流转对接、查询统计分析、日常积压错误数据处置等要求</w:t>
            </w:r>
            <w:r>
              <w:rPr>
                <w:rStyle w:val="33"/>
                <w:rFonts w:hint="eastAsia"/>
                <w:color w:val="auto"/>
                <w:sz w:val="24"/>
                <w:szCs w:val="24"/>
                <w:highlight w:val="none"/>
                <w:lang w:eastAsia="zh-CN"/>
              </w:rPr>
              <w:t>。</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lang w:val="en-US" w:eastAsia="zh-CN"/>
              </w:rPr>
              <w:t>6、</w:t>
            </w:r>
            <w:r>
              <w:rPr>
                <w:rStyle w:val="33"/>
                <w:rFonts w:hint="eastAsia"/>
                <w:color w:val="auto"/>
                <w:sz w:val="24"/>
                <w:szCs w:val="24"/>
                <w:highlight w:val="none"/>
              </w:rPr>
              <w:t>平台维保范围</w:t>
            </w:r>
            <w:r>
              <w:rPr>
                <w:rStyle w:val="33"/>
                <w:rFonts w:hint="eastAsia"/>
                <w:color w:val="auto"/>
                <w:sz w:val="24"/>
                <w:szCs w:val="24"/>
                <w:highlight w:val="none"/>
                <w:lang w:eastAsia="zh-CN"/>
              </w:rPr>
              <w:t>。</w:t>
            </w:r>
            <w:r>
              <w:rPr>
                <w:rStyle w:val="33"/>
                <w:rFonts w:hint="eastAsia"/>
                <w:color w:val="auto"/>
                <w:sz w:val="24"/>
                <w:szCs w:val="24"/>
                <w:highlight w:val="none"/>
              </w:rPr>
              <w:t>提供从前端到后端的业务涉及所有设备免费硬件维修服务,包括但不限于转发服务器、应用服务器、数据库服务器；</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w:t>
            </w:r>
            <w:r>
              <w:rPr>
                <w:rStyle w:val="33"/>
                <w:rFonts w:hint="eastAsia"/>
                <w:color w:val="auto"/>
                <w:sz w:val="24"/>
                <w:szCs w:val="24"/>
                <w:highlight w:val="none"/>
                <w:lang w:val="en-US" w:eastAsia="zh-CN"/>
              </w:rPr>
              <w:t>7、</w:t>
            </w:r>
            <w:r>
              <w:rPr>
                <w:rStyle w:val="33"/>
                <w:rFonts w:hint="eastAsia"/>
                <w:color w:val="auto"/>
                <w:sz w:val="24"/>
                <w:szCs w:val="24"/>
                <w:highlight w:val="none"/>
              </w:rPr>
              <w:t>专线维护。提供从前端到市局二类区的VPN专线的维保服务，确保vpn通道稳定可用；</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lang w:val="en-US" w:eastAsia="zh-CN"/>
              </w:rPr>
              <w:t>8、</w:t>
            </w:r>
            <w:r>
              <w:rPr>
                <w:rStyle w:val="33"/>
                <w:rFonts w:hint="eastAsia"/>
                <w:color w:val="auto"/>
                <w:sz w:val="24"/>
                <w:szCs w:val="24"/>
                <w:highlight w:val="none"/>
              </w:rPr>
              <w:t>安全维护。提供转发服务程序、警务通平台程序、数据库程序、备份系统的维修升级、安全加固、故障排除等服务，确保整个业务流可用、稳定、高效；</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w:t>
            </w:r>
            <w:r>
              <w:rPr>
                <w:rStyle w:val="33"/>
                <w:rFonts w:hint="eastAsia"/>
                <w:color w:val="auto"/>
                <w:sz w:val="24"/>
                <w:szCs w:val="24"/>
                <w:highlight w:val="none"/>
                <w:lang w:val="en-US" w:eastAsia="zh-CN"/>
              </w:rPr>
              <w:t>9、</w:t>
            </w:r>
            <w:r>
              <w:rPr>
                <w:rStyle w:val="33"/>
                <w:rFonts w:hint="eastAsia"/>
                <w:color w:val="auto"/>
                <w:sz w:val="24"/>
                <w:szCs w:val="24"/>
                <w:highlight w:val="none"/>
              </w:rPr>
              <w:t>对接服务。提供警务通平台与六合一平台对接接口服务，保障与六合一平台接口稳定、可用；</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lang w:val="en-US" w:eastAsia="zh-CN"/>
              </w:rPr>
              <w:t>10</w:t>
            </w:r>
            <w:r>
              <w:rPr>
                <w:rStyle w:val="33"/>
                <w:rFonts w:hint="eastAsia"/>
                <w:color w:val="auto"/>
                <w:sz w:val="24"/>
                <w:szCs w:val="24"/>
                <w:highlight w:val="none"/>
              </w:rPr>
              <w:t>、响应要求：在本项目系统软硬件平台故障时，响应时间小于20分钟，如在12小时内不能解决问题，应免费在下一个24小时内用同样的品牌、规格或更高的部件更换到位，并恢复系统运行。质保期内如遇系统和升级，提供系统终身扩展、升级方面的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1" w:type="dxa"/>
            <w:vAlign w:val="center"/>
          </w:tcPr>
          <w:p>
            <w:pPr>
              <w:spacing w:line="360" w:lineRule="auto"/>
              <w:rPr>
                <w:rStyle w:val="33"/>
                <w:rFonts w:hint="eastAsia" w:eastAsia="宋体"/>
                <w:color w:val="auto"/>
                <w:sz w:val="24"/>
                <w:szCs w:val="24"/>
                <w:highlight w:val="none"/>
                <w:lang w:eastAsia="zh-CN"/>
              </w:rPr>
            </w:pPr>
            <w:r>
              <w:rPr>
                <w:rStyle w:val="33"/>
                <w:rFonts w:hint="eastAsia"/>
                <w:color w:val="auto"/>
                <w:sz w:val="24"/>
                <w:szCs w:val="24"/>
                <w:highlight w:val="none"/>
              </w:rPr>
              <w:t>应急保障</w:t>
            </w:r>
            <w:r>
              <w:rPr>
                <w:rStyle w:val="33"/>
                <w:rFonts w:hint="eastAsia"/>
                <w:color w:val="auto"/>
                <w:sz w:val="24"/>
                <w:szCs w:val="24"/>
                <w:highlight w:val="none"/>
                <w:lang w:val="en-US" w:eastAsia="zh-CN"/>
              </w:rPr>
              <w:t>要求</w:t>
            </w:r>
          </w:p>
        </w:tc>
        <w:tc>
          <w:tcPr>
            <w:tcW w:w="6599" w:type="dxa"/>
            <w:gridSpan w:val="2"/>
          </w:tcPr>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1、设立专属应急保障联系人和联络方式</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2、设立通讯卡实名认证领取、流量升级、测试更换专门服务渠道</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3、备用警务通应保证民警随时可取。</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4、vpn通道出现传输故障时，应立即响应， 20分钟判明故障，在4小时内修复。</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5、未能实时上传的积压执法数据，应能每4小时内重新上传成功。</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6、未能实时上传的错误执法数据，应能每4小时内通知民警更正，更正后4小时内重新上传</w:t>
            </w:r>
          </w:p>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7、警务通执法程序升级必须按部局、总队要求节点完成，不得延迟。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1" w:type="dxa"/>
            <w:vAlign w:val="center"/>
          </w:tcPr>
          <w:p>
            <w:pPr>
              <w:spacing w:line="360" w:lineRule="auto"/>
              <w:rPr>
                <w:rStyle w:val="33"/>
                <w:rFonts w:hint="eastAsia"/>
                <w:color w:val="auto"/>
                <w:sz w:val="24"/>
                <w:szCs w:val="24"/>
                <w:highlight w:val="none"/>
              </w:rPr>
            </w:pPr>
            <w:r>
              <w:rPr>
                <w:rStyle w:val="33"/>
                <w:rFonts w:hint="eastAsia"/>
                <w:color w:val="auto"/>
                <w:sz w:val="24"/>
                <w:szCs w:val="24"/>
                <w:highlight w:val="none"/>
              </w:rPr>
              <w:t>可用率要求</w:t>
            </w:r>
          </w:p>
        </w:tc>
        <w:tc>
          <w:tcPr>
            <w:tcW w:w="6599" w:type="dxa"/>
            <w:gridSpan w:val="2"/>
            <w:vAlign w:val="top"/>
          </w:tcPr>
          <w:p>
            <w:pPr>
              <w:spacing w:line="360" w:lineRule="auto"/>
              <w:ind w:firstLine="480" w:firstLineChars="200"/>
              <w:rPr>
                <w:rStyle w:val="33"/>
                <w:rFonts w:hint="eastAsia"/>
                <w:color w:val="auto"/>
                <w:sz w:val="24"/>
                <w:szCs w:val="24"/>
                <w:highlight w:val="none"/>
              </w:rPr>
            </w:pPr>
            <w:r>
              <w:rPr>
                <w:rStyle w:val="33"/>
                <w:rFonts w:hint="eastAsia"/>
                <w:color w:val="auto"/>
                <w:sz w:val="24"/>
                <w:szCs w:val="24"/>
                <w:highlight w:val="none"/>
              </w:rPr>
              <w:t>全年可用率平均达到</w:t>
            </w:r>
            <w:r>
              <w:rPr>
                <w:rStyle w:val="33"/>
                <w:rFonts w:hint="eastAsia"/>
                <w:color w:val="auto"/>
                <w:sz w:val="24"/>
                <w:szCs w:val="24"/>
                <w:highlight w:val="none"/>
                <w:lang w:val="en-US" w:eastAsia="zh-CN"/>
              </w:rPr>
              <w:t>100</w:t>
            </w:r>
            <w:r>
              <w:rPr>
                <w:rStyle w:val="33"/>
                <w:rFonts w:hint="eastAsia"/>
                <w:color w:val="auto"/>
                <w:sz w:val="24"/>
                <w:szCs w:val="24"/>
                <w:highlight w:val="none"/>
              </w:rPr>
              <w:t>％。</w:t>
            </w:r>
          </w:p>
        </w:tc>
      </w:tr>
    </w:tbl>
    <w:p>
      <w:pPr>
        <w:spacing w:line="360" w:lineRule="auto"/>
        <w:ind w:firstLine="480" w:firstLineChars="200"/>
        <w:rPr>
          <w:rStyle w:val="33"/>
          <w:rFonts w:hint="eastAsia"/>
          <w:color w:val="auto"/>
          <w:sz w:val="24"/>
          <w:szCs w:val="24"/>
          <w:highlight w:val="none"/>
        </w:rPr>
      </w:pPr>
    </w:p>
    <w:p>
      <w:pPr>
        <w:pStyle w:val="34"/>
        <w:numPr>
          <w:ilvl w:val="0"/>
          <w:numId w:val="0"/>
        </w:numPr>
        <w:spacing w:line="360" w:lineRule="auto"/>
        <w:ind w:leftChars="0" w:firstLine="482" w:firstLineChars="200"/>
        <w:rPr>
          <w:rStyle w:val="33"/>
          <w:b/>
          <w:color w:val="auto"/>
          <w:sz w:val="24"/>
          <w:szCs w:val="24"/>
          <w:highlight w:val="none"/>
        </w:rPr>
      </w:pPr>
      <w:r>
        <w:rPr>
          <w:rStyle w:val="33"/>
          <w:rFonts w:hint="eastAsia"/>
          <w:b/>
          <w:color w:val="auto"/>
          <w:sz w:val="24"/>
          <w:szCs w:val="24"/>
          <w:highlight w:val="none"/>
          <w:lang w:val="en-US" w:eastAsia="zh-CN"/>
        </w:rPr>
        <w:t>六、</w:t>
      </w:r>
      <w:r>
        <w:rPr>
          <w:rStyle w:val="33"/>
          <w:rFonts w:hint="eastAsia"/>
          <w:b/>
          <w:color w:val="auto"/>
          <w:sz w:val="24"/>
          <w:szCs w:val="24"/>
          <w:highlight w:val="none"/>
        </w:rPr>
        <w:t>项目实施地点：</w:t>
      </w:r>
    </w:p>
    <w:p>
      <w:pPr>
        <w:spacing w:line="360" w:lineRule="auto"/>
        <w:ind w:firstLine="720" w:firstLineChars="300"/>
        <w:rPr>
          <w:rStyle w:val="33"/>
          <w:color w:val="auto"/>
          <w:sz w:val="24"/>
          <w:szCs w:val="24"/>
          <w:highlight w:val="none"/>
        </w:rPr>
      </w:pPr>
      <w:r>
        <w:rPr>
          <w:rStyle w:val="33"/>
          <w:rFonts w:hint="eastAsia"/>
          <w:color w:val="auto"/>
          <w:sz w:val="24"/>
          <w:szCs w:val="24"/>
          <w:highlight w:val="none"/>
        </w:rPr>
        <w:t>由采购人指定场地点</w:t>
      </w:r>
    </w:p>
    <w:p>
      <w:pPr>
        <w:spacing w:before="240" w:after="240" w:line="360" w:lineRule="auto"/>
        <w:ind w:firstLine="241" w:firstLineChars="100"/>
        <w:rPr>
          <w:rStyle w:val="33"/>
          <w:b/>
          <w:color w:val="auto"/>
          <w:sz w:val="24"/>
          <w:szCs w:val="24"/>
          <w:highlight w:val="none"/>
        </w:rPr>
      </w:pPr>
      <w:r>
        <w:rPr>
          <w:rStyle w:val="33"/>
          <w:rFonts w:hint="eastAsia"/>
          <w:b/>
          <w:color w:val="auto"/>
          <w:sz w:val="24"/>
          <w:szCs w:val="24"/>
          <w:highlight w:val="none"/>
          <w:lang w:val="en-US" w:eastAsia="zh-CN"/>
        </w:rPr>
        <w:t>七、</w:t>
      </w:r>
      <w:r>
        <w:rPr>
          <w:rStyle w:val="33"/>
          <w:rFonts w:hint="eastAsia"/>
          <w:b/>
          <w:color w:val="auto"/>
          <w:sz w:val="24"/>
          <w:szCs w:val="24"/>
          <w:highlight w:val="none"/>
        </w:rPr>
        <w:t>其他要求</w:t>
      </w:r>
    </w:p>
    <w:p>
      <w:pPr>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1.本项目不接受联合体投标，供应商不允许分包、转包。</w:t>
      </w:r>
    </w:p>
    <w:p>
      <w:pPr>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2.报价内容包括: 本项目服务期完成本项目所需人工、材料、车辆、保险、利润、税金、通讯、配合、服务、办公设备、档案管理、政策性文件规定及合同包含的所有风险、责任等各项应有费用以及直至服务期满过程中涉及到的其他一切费用。</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3.供应商在中标后两个工作日内提供投标文件中的相关证书及证明文件原件，否则作为提供虚假材料谋取中标，取消其中标资格</w:t>
      </w:r>
      <w:r>
        <w:rPr>
          <w:rFonts w:hint="eastAsia" w:ascii="宋体" w:hAnsi="宋体" w:cs="宋体"/>
          <w:color w:val="auto"/>
          <w:sz w:val="24"/>
          <w:highlight w:val="none"/>
          <w:lang w:eastAsia="zh-CN"/>
        </w:rPr>
        <w:t>。</w:t>
      </w:r>
    </w:p>
    <w:p>
      <w:pPr>
        <w:pBdr>
          <w:top w:val="none" w:color="000000" w:sz="0" w:space="0"/>
          <w:left w:val="none" w:color="000000" w:sz="0" w:space="0"/>
          <w:bottom w:val="none" w:color="000000" w:sz="0" w:space="0"/>
          <w:right w:val="none" w:color="000000" w:sz="0" w:space="0"/>
        </w:pBdr>
        <w:spacing w:before="0" w:after="0" w:line="519" w:lineRule="atLeast"/>
        <w:ind w:left="0" w:right="0" w:firstLine="0"/>
        <w:rPr>
          <w:rFonts w:hint="eastAsia" w:ascii="宋体" w:hAnsi="宋体" w:eastAsia="宋体" w:cs="宋体"/>
          <w:b/>
          <w:color w:val="auto"/>
          <w:sz w:val="24"/>
          <w:highlight w:val="none"/>
          <w:lang w:eastAsia="zh-CN"/>
        </w:rPr>
      </w:pPr>
      <w:r>
        <w:rPr>
          <w:rFonts w:hint="eastAsia" w:cs="宋体" w:asciiTheme="minorEastAsia" w:hAnsiTheme="minorEastAsia" w:eastAsiaTheme="minorEastAsia"/>
          <w:b/>
          <w:color w:val="auto"/>
          <w:sz w:val="24"/>
          <w:szCs w:val="22"/>
          <w:highlight w:val="none"/>
          <w:lang w:val="en-US" w:eastAsia="zh-CN"/>
        </w:rPr>
        <w:t>八、</w:t>
      </w:r>
      <w:r>
        <w:rPr>
          <w:rFonts w:hint="eastAsia" w:cs="宋体" w:asciiTheme="minorEastAsia" w:hAnsiTheme="minorEastAsia" w:eastAsiaTheme="minorEastAsia"/>
          <w:b/>
          <w:color w:val="auto"/>
          <w:sz w:val="24"/>
          <w:szCs w:val="22"/>
          <w:highlight w:val="none"/>
          <w:lang w:eastAsia="zh-CN"/>
        </w:rPr>
        <w:t>其他要求</w:t>
      </w:r>
      <w:r>
        <w:rPr>
          <w:rFonts w:hint="eastAsia" w:cs="宋体" w:asciiTheme="minorEastAsia" w:hAnsiTheme="minorEastAsia" w:eastAsiaTheme="minorEastAsia"/>
          <w:b/>
          <w:color w:val="auto"/>
          <w:sz w:val="24"/>
          <w:highlight w:val="none"/>
          <w:lang w:eastAsia="zh-CN"/>
        </w:rPr>
        <w:t>：</w:t>
      </w:r>
    </w:p>
    <w:p>
      <w:r>
        <w:rPr>
          <w:rFonts w:hint="eastAsia" w:cs="宋体" w:asciiTheme="minorEastAsia" w:hAnsiTheme="minorEastAsia" w:eastAsiaTheme="minorEastAsia"/>
          <w:b w:val="0"/>
          <w:bCs/>
          <w:color w:val="auto"/>
          <w:sz w:val="24"/>
          <w:highlight w:val="none"/>
          <w:lang w:eastAsia="zh-CN"/>
        </w:rPr>
        <w:t>见招标文件第四章《评分标准》、招标文件第五章《拟签订的合同文本》及相关文件规定。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pStyle w:val="21"/>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F2C10"/>
    <w:rsid w:val="645F2C10"/>
    <w:rsid w:val="6A281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12" w:lineRule="auto"/>
    </w:pPr>
    <w:rPr>
      <w:rFonts w:ascii="Times New Roman" w:hAnsi="Times New Roman" w:eastAsia="宋体" w:cs="Times New Roman"/>
      <w:sz w:val="24"/>
      <w:lang w:val="en-US" w:eastAsia="zh-CN" w:bidi="ar-SA"/>
    </w:rPr>
  </w:style>
  <w:style w:type="paragraph" w:styleId="24">
    <w:name w:val="heading 1"/>
    <w:next w:val="1"/>
    <w:qFormat/>
    <w:uiPriority w:val="0"/>
    <w:pPr>
      <w:keepNext/>
      <w:keepLines/>
      <w:spacing w:line="360" w:lineRule="auto"/>
      <w:jc w:val="center"/>
      <w:outlineLvl w:val="0"/>
    </w:pPr>
    <w:rPr>
      <w:rFonts w:ascii="Arial" w:hAnsi="Arial" w:eastAsia="宋体" w:cs="Arial"/>
      <w:b/>
      <w:sz w:val="36"/>
      <w:szCs w:val="40"/>
      <w:lang w:val="en-US" w:eastAsia="zh-CN" w:bidi="ar-SA"/>
    </w:rPr>
  </w:style>
  <w:style w:type="character" w:default="1" w:styleId="25">
    <w:name w:val="Default Paragraph Font"/>
    <w:semiHidden/>
    <w:qFormat/>
    <w:uiPriority w:val="0"/>
  </w:style>
  <w:style w:type="table" w:default="1" w:styleId="2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rPr>
  </w:style>
  <w:style w:type="paragraph" w:customStyle="1" w:styleId="3">
    <w:name w:val="一级条标题"/>
    <w:basedOn w:val="4"/>
    <w:next w:val="23"/>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4">
    <w:name w:val="章标题"/>
    <w:next w:val="5"/>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5">
    <w:name w:val="正文1"/>
    <w:basedOn w:val="6"/>
    <w:next w:val="21"/>
    <w:qFormat/>
    <w:uiPriority w:val="0"/>
    <w:rPr>
      <w:rFonts w:ascii="Calibri" w:hAnsi="Calibri" w:eastAsia="Calibri"/>
    </w:rPr>
  </w:style>
  <w:style w:type="paragraph" w:customStyle="1" w:styleId="6">
    <w:name w:val="正文111"/>
    <w:next w:val="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
    <w:name w:val="正文首行缩进1"/>
    <w:basedOn w:val="8"/>
    <w:next w:val="18"/>
    <w:unhideWhenUsed/>
    <w:qFormat/>
    <w:uiPriority w:val="99"/>
    <w:pPr>
      <w:spacing w:line="360" w:lineRule="auto"/>
      <w:ind w:firstLine="200"/>
    </w:pPr>
    <w:rPr>
      <w:rFonts w:ascii="仿宋_GB2312" w:eastAsia="仿宋_GB2312"/>
      <w:sz w:val="30"/>
      <w:szCs w:val="30"/>
    </w:rPr>
  </w:style>
  <w:style w:type="paragraph" w:customStyle="1" w:styleId="8">
    <w:name w:val="正文文本11"/>
    <w:basedOn w:val="9"/>
    <w:next w:val="10"/>
    <w:qFormat/>
    <w:uiPriority w:val="0"/>
    <w:pPr>
      <w:spacing w:after="120"/>
    </w:pPr>
  </w:style>
  <w:style w:type="paragraph" w:customStyle="1" w:styleId="9">
    <w:name w:val="正文112"/>
    <w:next w:val="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0">
    <w:name w:val="正文11"/>
    <w:next w:val="1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
    <w:name w:val="正文首行缩进11"/>
    <w:basedOn w:val="12"/>
    <w:next w:val="13"/>
    <w:qFormat/>
    <w:uiPriority w:val="0"/>
    <w:pPr>
      <w:ind w:firstLine="420"/>
    </w:pPr>
    <w:rPr>
      <w:rFonts w:ascii="仿宋_GB2312" w:eastAsia="仿宋_GB2312"/>
      <w:sz w:val="30"/>
      <w:szCs w:val="30"/>
    </w:rPr>
  </w:style>
  <w:style w:type="paragraph" w:customStyle="1" w:styleId="12">
    <w:name w:val="正文文本1"/>
    <w:basedOn w:val="5"/>
    <w:next w:val="3"/>
    <w:qFormat/>
    <w:uiPriority w:val="0"/>
    <w:pPr>
      <w:spacing w:after="120"/>
    </w:pPr>
  </w:style>
  <w:style w:type="paragraph" w:customStyle="1" w:styleId="13">
    <w:name w:val="正文首行缩进 211"/>
    <w:basedOn w:val="14"/>
    <w:qFormat/>
    <w:uiPriority w:val="0"/>
    <w:pPr>
      <w:spacing w:line="360" w:lineRule="auto"/>
      <w:ind w:firstLine="420"/>
    </w:pPr>
    <w:rPr>
      <w:color w:val="000000"/>
    </w:rPr>
  </w:style>
  <w:style w:type="paragraph" w:customStyle="1" w:styleId="14">
    <w:name w:val="正文文本缩进11"/>
    <w:basedOn w:val="15"/>
    <w:next w:val="17"/>
    <w:qFormat/>
    <w:uiPriority w:val="0"/>
    <w:pPr>
      <w:spacing w:after="120"/>
      <w:ind w:left="420"/>
    </w:pPr>
  </w:style>
  <w:style w:type="paragraph" w:customStyle="1" w:styleId="15">
    <w:name w:val="正文12"/>
    <w:next w:val="16"/>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6">
    <w:name w:val="无间隔1"/>
    <w:qFormat/>
    <w:uiPriority w:val="0"/>
    <w:rPr>
      <w:rFonts w:hint="default" w:ascii="Calibri" w:hAnsi="Calibri" w:eastAsia="宋体" w:cs="Times New Roman"/>
      <w:sz w:val="22"/>
      <w:lang w:val="en-US" w:eastAsia="zh-CN" w:bidi="ar-SA"/>
    </w:rPr>
  </w:style>
  <w:style w:type="paragraph" w:customStyle="1" w:styleId="17">
    <w:name w:val="寄信人地址11"/>
    <w:basedOn w:val="1"/>
    <w:qFormat/>
    <w:uiPriority w:val="0"/>
    <w:rPr>
      <w:rFonts w:ascii="Arial" w:hAnsi="Arial"/>
    </w:rPr>
  </w:style>
  <w:style w:type="paragraph" w:customStyle="1" w:styleId="18">
    <w:name w:val="正文首行缩进 21"/>
    <w:basedOn w:val="19"/>
    <w:next w:val="6"/>
    <w:qFormat/>
    <w:uiPriority w:val="0"/>
    <w:pPr>
      <w:ind w:firstLine="420"/>
    </w:pPr>
  </w:style>
  <w:style w:type="paragraph" w:customStyle="1" w:styleId="19">
    <w:name w:val="正文文本缩进1"/>
    <w:basedOn w:val="20"/>
    <w:next w:val="22"/>
    <w:qFormat/>
    <w:uiPriority w:val="0"/>
    <w:pPr>
      <w:spacing w:after="120"/>
      <w:ind w:left="420"/>
    </w:pPr>
  </w:style>
  <w:style w:type="paragraph" w:customStyle="1" w:styleId="20">
    <w:name w:val="正文1111"/>
    <w:next w:val="2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1">
    <w:name w:val="标题 21"/>
    <w:basedOn w:val="10"/>
    <w:next w:val="10"/>
    <w:qFormat/>
    <w:uiPriority w:val="0"/>
    <w:pPr>
      <w:keepNext/>
      <w:keepLines/>
      <w:numPr>
        <w:ilvl w:val="0"/>
        <w:numId w:val="1"/>
      </w:numPr>
      <w:spacing w:before="260" w:after="260" w:line="416" w:lineRule="auto"/>
      <w:outlineLvl w:val="1"/>
    </w:pPr>
    <w:rPr>
      <w:rFonts w:ascii="Cambria" w:hAnsi="Cambria"/>
      <w:b/>
      <w:bCs/>
      <w:sz w:val="28"/>
      <w:szCs w:val="32"/>
    </w:rPr>
  </w:style>
  <w:style w:type="paragraph" w:customStyle="1" w:styleId="22">
    <w:name w:val="寄信人地址1"/>
    <w:basedOn w:val="6"/>
    <w:qFormat/>
    <w:uiPriority w:val="0"/>
    <w:pPr>
      <w:ind w:firstLine="200"/>
    </w:pPr>
    <w:rPr>
      <w:rFonts w:ascii="Arial" w:hAnsi="Arial" w:eastAsia="仿宋_GB2312"/>
    </w:rPr>
  </w:style>
  <w:style w:type="paragraph" w:customStyle="1" w:styleId="23">
    <w:name w:val="段"/>
    <w:basedOn w:val="5"/>
    <w:next w:val="5"/>
    <w:qFormat/>
    <w:uiPriority w:val="0"/>
    <w:pPr>
      <w:ind w:firstLine="200"/>
    </w:pPr>
    <w:rPr>
      <w:rFonts w:ascii="宋体"/>
      <w:szCs w:val="22"/>
    </w:rPr>
  </w:style>
  <w:style w:type="paragraph" w:customStyle="1" w:styleId="27">
    <w:name w:val="目录 111"/>
    <w:basedOn w:val="6"/>
    <w:next w:val="1"/>
    <w:qFormat/>
    <w:uiPriority w:val="0"/>
  </w:style>
  <w:style w:type="paragraph" w:customStyle="1" w:styleId="28">
    <w:name w:val="文本块1"/>
    <w:basedOn w:val="10"/>
    <w:next w:val="29"/>
    <w:qFormat/>
    <w:uiPriority w:val="0"/>
    <w:pPr>
      <w:widowControl/>
      <w:ind w:left="567" w:right="454" w:firstLine="498"/>
      <w:jc w:val="left"/>
    </w:pPr>
    <w:rPr>
      <w:rFonts w:ascii="仿宋_GB2312" w:eastAsia="仿宋_GB2312"/>
      <w:sz w:val="30"/>
      <w:szCs w:val="20"/>
    </w:rPr>
  </w:style>
  <w:style w:type="paragraph" w:customStyle="1" w:styleId="29">
    <w:name w:val="标题 411"/>
    <w:basedOn w:val="15"/>
    <w:next w:val="10"/>
    <w:qFormat/>
    <w:uiPriority w:val="0"/>
    <w:pPr>
      <w:keepNext/>
      <w:keepLines/>
      <w:spacing w:before="280" w:after="290" w:line="376" w:lineRule="auto"/>
      <w:outlineLvl w:val="3"/>
    </w:pPr>
    <w:rPr>
      <w:rFonts w:ascii="Arial" w:hAnsi="Arial" w:eastAsia="黑体"/>
      <w:b/>
      <w:bCs/>
      <w:sz w:val="28"/>
      <w:szCs w:val="28"/>
    </w:rPr>
  </w:style>
  <w:style w:type="paragraph" w:customStyle="1" w:styleId="30">
    <w:name w:val="标题 211"/>
    <w:basedOn w:val="10"/>
    <w:next w:val="10"/>
    <w:qFormat/>
    <w:uiPriority w:val="0"/>
    <w:pPr>
      <w:keepNext/>
      <w:keepLines/>
      <w:spacing w:before="260" w:after="260" w:line="416" w:lineRule="auto"/>
      <w:outlineLvl w:val="1"/>
    </w:pPr>
    <w:rPr>
      <w:rFonts w:ascii="Calibri Light" w:hAnsi="Calibri Light"/>
      <w:bCs/>
      <w:sz w:val="32"/>
      <w:szCs w:val="32"/>
    </w:rPr>
  </w:style>
  <w:style w:type="paragraph" w:customStyle="1" w:styleId="31">
    <w:name w:val="正文缩进11"/>
    <w:basedOn w:val="15"/>
    <w:qFormat/>
    <w:uiPriority w:val="0"/>
    <w:pPr>
      <w:ind w:firstLine="420"/>
    </w:pPr>
  </w:style>
  <w:style w:type="paragraph" w:customStyle="1" w:styleId="32">
    <w:name w:val="Body text|2"/>
    <w:basedOn w:val="1"/>
    <w:qFormat/>
    <w:uiPriority w:val="0"/>
    <w:pPr>
      <w:spacing w:before="1120" w:after="2760"/>
      <w:ind w:left="1080"/>
      <w:jc w:val="left"/>
    </w:pPr>
    <w:rPr>
      <w:rFonts w:ascii="宋体" w:hAnsi="宋体" w:eastAsia="宋体" w:cs="宋体"/>
      <w:kern w:val="0"/>
      <w:sz w:val="32"/>
      <w:szCs w:val="32"/>
      <w:lang w:val="zh-TW" w:eastAsia="zh-TW" w:bidi="zh-TW"/>
    </w:rPr>
  </w:style>
  <w:style w:type="character" w:customStyle="1" w:styleId="33">
    <w:name w:val="fontstyle01"/>
    <w:basedOn w:val="25"/>
    <w:qFormat/>
    <w:uiPriority w:val="0"/>
    <w:rPr>
      <w:rFonts w:ascii="宋体" w:hAnsi="宋体" w:eastAsia="宋体" w:cs="宋体"/>
      <w:color w:val="000000"/>
      <w:sz w:val="22"/>
      <w:szCs w:val="22"/>
    </w:rPr>
  </w:style>
  <w:style w:type="paragraph" w:styleId="34">
    <w:name w:val="List Paragraph"/>
    <w:basedOn w:val="1"/>
    <w:qFormat/>
    <w:uiPriority w:val="34"/>
    <w:pPr>
      <w:ind w:left="720"/>
      <w:contextualSpacing/>
    </w:pPr>
  </w:style>
  <w:style w:type="paragraph" w:customStyle="1" w:styleId="35">
    <w:name w:val="列出段落1"/>
    <w:basedOn w:val="1"/>
    <w:qFormat/>
    <w:uiPriority w:val="0"/>
    <w:pPr>
      <w:keepNext w:val="0"/>
      <w:keepLines w:val="0"/>
      <w:widowControl/>
      <w:suppressLineNumbers w:val="0"/>
      <w:spacing w:before="0" w:beforeAutospacing="0" w:after="0" w:afterAutospacing="0"/>
      <w:ind w:left="0" w:right="0" w:firstLine="420"/>
      <w:jc w:val="left"/>
    </w:pPr>
    <w:rPr>
      <w:rFonts w:hint="default" w:ascii="Calibri" w:hAnsi="Calibri" w:eastAsia="宋体" w:cs="Times New Roman"/>
      <w:kern w:val="0"/>
      <w:sz w:val="20"/>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2024-07-16T08:55:00Z</dcterms:created>
  <dc:creator>Administrator</dc:creator>
  <cp:lastModifiedBy>Administrator</cp:lastModifiedBy>
  <dcterms:modified xsi:type="dcterms:W3CDTF">2024-07-16T09:03:00Z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