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</w:rPr>
        <w:instrText xml:space="preserve"> HYPERLINK "http://218.3.177.171:8088/Resource/UploadFile/20230921/a2384722-474b-42c0-925a-6592e782bcce.doc"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</w:rPr>
        <w:fldChar w:fldCharType="separate"/>
      </w:r>
      <w:r>
        <w:rPr>
          <w:rStyle w:val="1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</w:rPr>
        <w:t>澄清或者修改的内容（一）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</w:rPr>
        <w:fldChar w:fldCharType="end"/>
      </w:r>
    </w:p>
    <w:p>
      <w:pPr>
        <w:adjustRightInd w:val="0"/>
        <w:spacing w:line="360" w:lineRule="auto"/>
        <w:ind w:firstLine="560" w:firstLineChars="200"/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一、以下为澄清或者修改的内容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1、原竞争性磋商文件中“第九章 6、合同主要内容和条款”中“一、合同金额及支付方式”更改为：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一、合同金额及支付方式：合同签订后15日内支付合同总价的50%；剩余50%平均分两次（合同签订后第7个月和第十三个月的月初）在甲方对乙方进行考核后，根据考核成绩进行付费，考核依据及细则见本合同附件1。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注：乙方需出具相应金额的增值税发票。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原竞争性磋商文件中“第九章 6、合同主要内容和条款”中“合同附件1”更改为：</w:t>
      </w:r>
    </w:p>
    <w:p>
      <w:pPr>
        <w:numPr>
          <w:numId w:val="0"/>
        </w:numPr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合同附件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1：</w:t>
      </w:r>
    </w:p>
    <w:p>
      <w:pPr>
        <w:pStyle w:val="8"/>
        <w:jc w:val="center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考核依据及细则</w:t>
      </w:r>
    </w:p>
    <w:p>
      <w:pPr>
        <w:numPr>
          <w:ilvl w:val="0"/>
          <w:numId w:val="1"/>
        </w:numPr>
        <w:adjustRightIn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eastAsia="zh-CN"/>
        </w:rPr>
        <w:t>付款方式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合同签订后15日内支付合同总价的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%；剩余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%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平均分两次（合同签订后第7个月和第十三个月的月初）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在甲方对乙方进行考核后，根据考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核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成绩进行付费，考核依据及细则见本合同附件1。</w:t>
      </w:r>
    </w:p>
    <w:p>
      <w:pPr>
        <w:adjustRightInd w:val="0"/>
        <w:spacing w:line="360" w:lineRule="auto"/>
        <w:ind w:firstLine="482" w:firstLineChars="200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（二）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考核</w:t>
      </w:r>
      <w:r>
        <w:rPr>
          <w:rFonts w:hint="eastAsia" w:ascii="宋体" w:hAnsi="宋体"/>
          <w:b/>
          <w:bCs/>
          <w:sz w:val="24"/>
          <w:szCs w:val="24"/>
          <w:highlight w:val="none"/>
          <w:lang w:eastAsia="zh-CN"/>
        </w:rPr>
        <w:t>依据</w:t>
      </w:r>
    </w:p>
    <w:p>
      <w:pPr>
        <w:numPr>
          <w:ilvl w:val="0"/>
          <w:numId w:val="0"/>
        </w:numPr>
        <w:adjustRightInd w:val="0"/>
        <w:spacing w:line="360" w:lineRule="auto"/>
        <w:ind w:firstLine="720" w:firstLineChars="300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每半年度对每个入河排污口（点位）单独考核，以半年内质控检查的所有入河排污口（点位）为统计基数，数量按季度累加。考核内容包括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每季度提供的质控检查结果的评价，以及报送的记录档案。</w:t>
      </w:r>
    </w:p>
    <w:p>
      <w:pPr>
        <w:adjustRightInd w:val="0"/>
        <w:spacing w:line="360" w:lineRule="auto"/>
        <w:ind w:firstLine="482" w:firstLineChars="200"/>
        <w:rPr>
          <w:rFonts w:hint="eastAsia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（三）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考核</w:t>
      </w:r>
      <w:r>
        <w:rPr>
          <w:rFonts w:hint="eastAsia" w:ascii="宋体" w:hAnsi="宋体"/>
          <w:b/>
          <w:bCs/>
          <w:sz w:val="24"/>
          <w:szCs w:val="24"/>
          <w:highlight w:val="none"/>
          <w:lang w:eastAsia="zh-CN"/>
        </w:rPr>
        <w:t>细则</w:t>
      </w:r>
    </w:p>
    <w:p>
      <w:pPr>
        <w:numPr>
          <w:ilvl w:val="0"/>
          <w:numId w:val="0"/>
        </w:numPr>
        <w:adjustRightInd w:val="0"/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1）半年内出现10%的入河排污口（点位）未完成现场质控检查任务；半年内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在6h内连续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次联系不上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技术负责人或其指定的助理；在外部质量监督检查中，70%</w:t>
      </w:r>
      <w:r>
        <w:rPr>
          <w:rFonts w:hint="default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合格率&lt;80%；满足以上三条中任一条，即为初级警告，并责令整改；</w:t>
      </w:r>
    </w:p>
    <w:p>
      <w:pPr>
        <w:numPr>
          <w:ilvl w:val="0"/>
          <w:numId w:val="0"/>
        </w:numPr>
        <w:adjustRightInd w:val="0"/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（2）半年内出现15%的入河排污口（点位）未完成现场质控检查任务；半年内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计甲方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在6h内连续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次联系不上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技术负责人或其指定的助理；出现1次未按时报送质控检查报告、盲样考核报告；在外部质量监督检查中，60%</w:t>
      </w:r>
      <w:r>
        <w:rPr>
          <w:rFonts w:hint="default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合格率&lt;70%的；满足以上三条中任一条，即为二级警告，扣除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合同价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的10%，并责令整改；</w:t>
      </w:r>
    </w:p>
    <w:p>
      <w:pPr>
        <w:numPr>
          <w:ilvl w:val="0"/>
          <w:numId w:val="0"/>
        </w:numPr>
        <w:adjustRightInd w:val="0"/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（3）半年内出现20%的入河排污口（点位）未完成现场质控检查任务；半年内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在6h内连续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0次联系不上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技术负责人或其指定的助理；出现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次未按时报送质控检查报告、盲样考核报告；在外部质量监督检查中，终止合同的；满足以上三条中任一条，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甲方有权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取消合同，不再支付任何费用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，并有权追回第一次支付的50%的合同款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二、其他内容不变。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三、更正时间为：202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月2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日。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磋商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文件以本次更正（澄清）公告为准，请各供应商重新下载获取文件。</w:t>
      </w:r>
      <w:bookmarkStart w:id="0" w:name="_GoBack"/>
      <w:bookmarkEnd w:id="0"/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477A6"/>
    <w:multiLevelType w:val="singleLevel"/>
    <w:tmpl w:val="79D477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GU5Nzg3MmY3ODc4OGY0NjA5ODJhY2VhNzA1YzgifQ=="/>
  </w:docVars>
  <w:rsids>
    <w:rsidRoot w:val="5E2A04B5"/>
    <w:rsid w:val="001F0541"/>
    <w:rsid w:val="02CB3361"/>
    <w:rsid w:val="03A84C55"/>
    <w:rsid w:val="04053DD5"/>
    <w:rsid w:val="05645E9F"/>
    <w:rsid w:val="05764D0D"/>
    <w:rsid w:val="060A324B"/>
    <w:rsid w:val="07166B93"/>
    <w:rsid w:val="07BD6092"/>
    <w:rsid w:val="09753F4C"/>
    <w:rsid w:val="0D277857"/>
    <w:rsid w:val="107E5EBB"/>
    <w:rsid w:val="13306D9F"/>
    <w:rsid w:val="14595982"/>
    <w:rsid w:val="15976046"/>
    <w:rsid w:val="15C27355"/>
    <w:rsid w:val="15F44E7C"/>
    <w:rsid w:val="163E71E3"/>
    <w:rsid w:val="16AE2A9F"/>
    <w:rsid w:val="16D55025"/>
    <w:rsid w:val="170F41DA"/>
    <w:rsid w:val="175C5A0C"/>
    <w:rsid w:val="18513188"/>
    <w:rsid w:val="18D2489F"/>
    <w:rsid w:val="1A5C22E5"/>
    <w:rsid w:val="1A5E3C5E"/>
    <w:rsid w:val="1B161776"/>
    <w:rsid w:val="1E8263A9"/>
    <w:rsid w:val="21BA3E76"/>
    <w:rsid w:val="235A1B49"/>
    <w:rsid w:val="236E6958"/>
    <w:rsid w:val="23D200C6"/>
    <w:rsid w:val="24381623"/>
    <w:rsid w:val="249117C2"/>
    <w:rsid w:val="262F64A0"/>
    <w:rsid w:val="27D95552"/>
    <w:rsid w:val="29787790"/>
    <w:rsid w:val="29EC63F8"/>
    <w:rsid w:val="2AC82D1E"/>
    <w:rsid w:val="2AFA40F9"/>
    <w:rsid w:val="2CCD7F34"/>
    <w:rsid w:val="2DEC171E"/>
    <w:rsid w:val="31E92611"/>
    <w:rsid w:val="330865C8"/>
    <w:rsid w:val="367B2C8A"/>
    <w:rsid w:val="36F61372"/>
    <w:rsid w:val="38057BCB"/>
    <w:rsid w:val="38B667C1"/>
    <w:rsid w:val="3A375B50"/>
    <w:rsid w:val="3B646C18"/>
    <w:rsid w:val="3C894468"/>
    <w:rsid w:val="3D5A62E5"/>
    <w:rsid w:val="3DAD7340"/>
    <w:rsid w:val="3E7F6CE0"/>
    <w:rsid w:val="453C15C2"/>
    <w:rsid w:val="46C15DDD"/>
    <w:rsid w:val="480C038A"/>
    <w:rsid w:val="486071CB"/>
    <w:rsid w:val="4C86793A"/>
    <w:rsid w:val="4F863A32"/>
    <w:rsid w:val="50133E18"/>
    <w:rsid w:val="50AF3DC9"/>
    <w:rsid w:val="556D374C"/>
    <w:rsid w:val="59B11696"/>
    <w:rsid w:val="5A027E85"/>
    <w:rsid w:val="5BF8170C"/>
    <w:rsid w:val="5C083C05"/>
    <w:rsid w:val="5D455D22"/>
    <w:rsid w:val="5E130968"/>
    <w:rsid w:val="5E2A04B5"/>
    <w:rsid w:val="5F221E5F"/>
    <w:rsid w:val="5FF932F3"/>
    <w:rsid w:val="6093021B"/>
    <w:rsid w:val="617E2040"/>
    <w:rsid w:val="630770A6"/>
    <w:rsid w:val="63995F49"/>
    <w:rsid w:val="644B09D5"/>
    <w:rsid w:val="653E184E"/>
    <w:rsid w:val="672F7236"/>
    <w:rsid w:val="67DA021C"/>
    <w:rsid w:val="68C14E15"/>
    <w:rsid w:val="6AA938AA"/>
    <w:rsid w:val="6B5E4BC3"/>
    <w:rsid w:val="6CBD32BC"/>
    <w:rsid w:val="6D056F0C"/>
    <w:rsid w:val="6D835885"/>
    <w:rsid w:val="6DD90B55"/>
    <w:rsid w:val="6FEC26BC"/>
    <w:rsid w:val="705528EB"/>
    <w:rsid w:val="74E52EF1"/>
    <w:rsid w:val="75096690"/>
    <w:rsid w:val="79116759"/>
    <w:rsid w:val="7B23743A"/>
    <w:rsid w:val="7B3222B5"/>
    <w:rsid w:val="7C86708A"/>
    <w:rsid w:val="7E0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4"/>
    <w:next w:val="4"/>
    <w:link w:val="17"/>
    <w:autoRedefine/>
    <w:qFormat/>
    <w:uiPriority w:val="0"/>
    <w:pPr>
      <w:keepNext/>
      <w:keepLines/>
      <w:spacing w:line="360" w:lineRule="auto"/>
      <w:ind w:left="0" w:right="0"/>
      <w:jc w:val="center"/>
      <w:outlineLvl w:val="0"/>
    </w:pPr>
    <w:rPr>
      <w:rFonts w:ascii="Arial" w:hAnsi="Arial" w:eastAsia="宋体" w:cs="Arial"/>
      <w:b/>
      <w:sz w:val="32"/>
      <w:szCs w:val="40"/>
      <w:lang w:eastAsia="en-US"/>
    </w:rPr>
  </w:style>
  <w:style w:type="paragraph" w:styleId="5">
    <w:name w:val="heading 2"/>
    <w:basedOn w:val="1"/>
    <w:next w:val="1"/>
    <w:link w:val="18"/>
    <w:autoRedefine/>
    <w:semiHidden/>
    <w:unhideWhenUsed/>
    <w:qFormat/>
    <w:uiPriority w:val="0"/>
    <w:pPr>
      <w:keepNext/>
      <w:keepLines/>
      <w:outlineLvl w:val="1"/>
    </w:pPr>
    <w:rPr>
      <w:rFonts w:ascii="Arial" w:hAnsi="Arial" w:eastAsia="宋体" w:cs="Arial"/>
      <w:b/>
      <w:sz w:val="24"/>
    </w:rPr>
  </w:style>
  <w:style w:type="paragraph" w:styleId="6">
    <w:name w:val="heading 3"/>
    <w:basedOn w:val="1"/>
    <w:next w:val="1"/>
    <w:link w:val="19"/>
    <w:autoRedefine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ascii="Arial" w:hAnsi="Arial" w:eastAsia="宋体" w:cs="Arial"/>
      <w:b/>
      <w:sz w:val="24"/>
      <w:szCs w:val="30"/>
    </w:rPr>
  </w:style>
  <w:style w:type="paragraph" w:styleId="7">
    <w:name w:val="heading 4"/>
    <w:basedOn w:val="1"/>
    <w:next w:val="1"/>
    <w:link w:val="20"/>
    <w:autoRedefine/>
    <w:semiHidden/>
    <w:unhideWhenUsed/>
    <w:qFormat/>
    <w:uiPriority w:val="0"/>
    <w:pPr>
      <w:keepNext/>
      <w:keepLines/>
      <w:outlineLvl w:val="3"/>
    </w:pPr>
    <w:rPr>
      <w:rFonts w:ascii="Arial" w:hAnsi="Arial" w:eastAsia="宋体" w:cs="Arial"/>
      <w:b/>
      <w:bCs/>
      <w:sz w:val="24"/>
      <w:szCs w:val="26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qFormat/>
    <w:uiPriority w:val="0"/>
    <w:pPr>
      <w:ind w:firstLine="420"/>
    </w:pPr>
  </w:style>
  <w:style w:type="paragraph" w:styleId="4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paragraph" w:styleId="8">
    <w:name w:val="Body Text"/>
    <w:basedOn w:val="1"/>
    <w:next w:val="9"/>
    <w:autoRedefine/>
    <w:qFormat/>
    <w:uiPriority w:val="0"/>
    <w:pPr>
      <w:spacing w:after="120" w:afterLines="0" w:afterAutospacing="0"/>
    </w:pPr>
  </w:style>
  <w:style w:type="paragraph" w:styleId="9">
    <w:name w:val="Body Text First Indent"/>
    <w:basedOn w:val="8"/>
    <w:next w:val="10"/>
    <w:qFormat/>
    <w:uiPriority w:val="0"/>
    <w:pPr>
      <w:ind w:firstLine="420"/>
    </w:pPr>
  </w:style>
  <w:style w:type="paragraph" w:styleId="10">
    <w:name w:val="Body Text First Indent 2"/>
    <w:basedOn w:val="11"/>
    <w:next w:val="1"/>
    <w:unhideWhenUsed/>
    <w:qFormat/>
    <w:uiPriority w:val="99"/>
    <w:pPr>
      <w:ind w:firstLine="200"/>
    </w:pPr>
  </w:style>
  <w:style w:type="paragraph" w:styleId="11">
    <w:name w:val="Body Text Indent"/>
    <w:basedOn w:val="1"/>
    <w:next w:val="12"/>
    <w:unhideWhenUsed/>
    <w:qFormat/>
    <w:uiPriority w:val="99"/>
    <w:pPr>
      <w:spacing w:after="120"/>
      <w:ind w:left="420"/>
    </w:pPr>
  </w:style>
  <w:style w:type="paragraph" w:styleId="12">
    <w:name w:val="envelope return"/>
    <w:basedOn w:val="1"/>
    <w:unhideWhenUsed/>
    <w:qFormat/>
    <w:uiPriority w:val="99"/>
    <w:rPr>
      <w:rFonts w:ascii="Arial" w:hAnsi="Arial"/>
    </w:r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标题 11"/>
    <w:basedOn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rFonts w:ascii="Times New Roman" w:hAnsi="Times New Roman" w:eastAsia="宋体" w:cs="Times New Roman"/>
      <w:b/>
      <w:sz w:val="28"/>
      <w:szCs w:val="20"/>
    </w:rPr>
  </w:style>
  <w:style w:type="character" w:customStyle="1" w:styleId="17">
    <w:name w:val="标题 1 Char"/>
    <w:link w:val="3"/>
    <w:autoRedefine/>
    <w:qFormat/>
    <w:uiPriority w:val="9"/>
    <w:rPr>
      <w:rFonts w:ascii="Arial" w:hAnsi="Arial" w:eastAsia="宋体" w:cs="Arial"/>
      <w:b/>
      <w:sz w:val="32"/>
      <w:szCs w:val="40"/>
      <w:lang w:eastAsia="en-US"/>
    </w:rPr>
  </w:style>
  <w:style w:type="character" w:customStyle="1" w:styleId="18">
    <w:name w:val="标题 2 Char"/>
    <w:link w:val="5"/>
    <w:autoRedefine/>
    <w:qFormat/>
    <w:uiPriority w:val="9"/>
    <w:rPr>
      <w:rFonts w:ascii="Arial" w:hAnsi="Arial" w:eastAsia="宋体" w:cs="Arial"/>
      <w:b/>
      <w:sz w:val="24"/>
    </w:rPr>
  </w:style>
  <w:style w:type="character" w:customStyle="1" w:styleId="19">
    <w:name w:val="标题 3 Char"/>
    <w:link w:val="6"/>
    <w:autoRedefine/>
    <w:qFormat/>
    <w:uiPriority w:val="9"/>
    <w:rPr>
      <w:rFonts w:ascii="Arial" w:hAnsi="Arial" w:eastAsia="宋体" w:cs="Arial"/>
      <w:b/>
      <w:sz w:val="24"/>
      <w:szCs w:val="30"/>
    </w:rPr>
  </w:style>
  <w:style w:type="character" w:customStyle="1" w:styleId="20">
    <w:name w:val="标题 4 Char"/>
    <w:link w:val="7"/>
    <w:autoRedefine/>
    <w:qFormat/>
    <w:uiPriority w:val="9"/>
    <w:rPr>
      <w:rFonts w:ascii="Arial" w:hAnsi="Arial" w:eastAsia="宋体" w:cs="Arial"/>
      <w:b/>
      <w:bCs/>
      <w:sz w:val="24"/>
      <w:szCs w:val="26"/>
    </w:rPr>
  </w:style>
  <w:style w:type="paragraph" w:customStyle="1" w:styleId="21">
    <w:name w:val="文本块12"/>
    <w:basedOn w:val="1"/>
    <w:next w:val="1"/>
    <w:autoRedefine/>
    <w:unhideWhenUsed/>
    <w:qFormat/>
    <w:uiPriority w:val="99"/>
    <w:pPr>
      <w:spacing w:after="120"/>
      <w:ind w:left="1440" w:right="14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2024-03-25T00:50:00Z</dcterms:created>
  <dc:creator>紫雨</dc:creator>
  <cp:lastModifiedBy>紫雨</cp:lastModifiedBy>
  <dcterms:modified xsi:type="dcterms:W3CDTF">2024-03-25T00:57:26Z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018190F02CBC4B4485AC9E4A0D894A12_11</vt:lpwstr>
  </property>
</Properties>
</file>