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eastAsia="宋体" w:cs="宋体"/>
          <w:b/>
          <w:sz w:val="72"/>
          <w:szCs w:val="72"/>
          <w:lang w:eastAsia="zh-CN"/>
        </w:rPr>
      </w:pPr>
    </w:p>
    <w:p>
      <w:pPr>
        <w:adjustRightInd w:val="0"/>
        <w:snapToGrid w:val="0"/>
        <w:spacing w:line="360" w:lineRule="auto"/>
        <w:jc w:val="center"/>
        <w:rPr>
          <w:rFonts w:ascii="宋体" w:hAnsi="宋体" w:eastAsia="宋体" w:cs="宋体"/>
          <w:b/>
          <w:sz w:val="72"/>
          <w:szCs w:val="72"/>
          <w:lang w:eastAsia="zh-CN"/>
        </w:rPr>
      </w:pPr>
      <w:r>
        <w:rPr>
          <w:rFonts w:hint="eastAsia" w:ascii="宋体" w:hAnsi="宋体" w:eastAsia="宋体" w:cs="宋体"/>
          <w:b/>
          <w:sz w:val="72"/>
          <w:szCs w:val="72"/>
          <w:lang w:eastAsia="zh-CN"/>
        </w:rPr>
        <w:t>竞 争 性 磋 商 文 件</w:t>
      </w:r>
    </w:p>
    <w:p>
      <w:pPr>
        <w:adjustRightInd w:val="0"/>
        <w:snapToGrid w:val="0"/>
        <w:spacing w:line="360" w:lineRule="auto"/>
        <w:jc w:val="both"/>
        <w:rPr>
          <w:rFonts w:ascii="宋体" w:hAnsi="宋体" w:eastAsia="宋体" w:cs="宋体"/>
          <w:b/>
          <w:sz w:val="24"/>
          <w:szCs w:val="24"/>
          <w:lang w:eastAsia="zh-CN"/>
        </w:rPr>
      </w:pPr>
    </w:p>
    <w:p>
      <w:pPr>
        <w:adjustRightInd w:val="0"/>
        <w:snapToGrid w:val="0"/>
        <w:spacing w:line="360" w:lineRule="auto"/>
        <w:jc w:val="both"/>
        <w:rPr>
          <w:rFonts w:ascii="宋体" w:hAnsi="宋体" w:eastAsia="宋体" w:cs="宋体"/>
          <w:b/>
          <w:sz w:val="24"/>
          <w:szCs w:val="24"/>
          <w:lang w:eastAsia="zh-CN"/>
        </w:rPr>
      </w:pPr>
    </w:p>
    <w:p>
      <w:pPr>
        <w:pStyle w:val="26"/>
        <w:adjustRightInd w:val="0"/>
        <w:snapToGrid w:val="0"/>
        <w:ind w:left="0"/>
        <w:jc w:val="both"/>
        <w:rPr>
          <w:rFonts w:ascii="宋体" w:hAnsi="宋体" w:eastAsia="宋体" w:cs="宋体"/>
          <w:szCs w:val="24"/>
          <w:lang w:eastAsia="zh-CN"/>
        </w:rPr>
      </w:pPr>
    </w:p>
    <w:p>
      <w:pPr>
        <w:adjustRightInd w:val="0"/>
        <w:snapToGrid w:val="0"/>
        <w:spacing w:line="360" w:lineRule="auto"/>
        <w:jc w:val="both"/>
        <w:rPr>
          <w:rFonts w:ascii="宋体" w:hAnsi="宋体" w:eastAsia="宋体" w:cs="宋体"/>
          <w:b/>
          <w:sz w:val="24"/>
          <w:szCs w:val="24"/>
          <w:lang w:eastAsia="zh-CN"/>
        </w:rPr>
      </w:pPr>
    </w:p>
    <w:p>
      <w:pPr>
        <w:pStyle w:val="23"/>
        <w:adjustRightInd w:val="0"/>
        <w:snapToGrid w:val="0"/>
        <w:ind w:left="440"/>
        <w:rPr>
          <w:rFonts w:ascii="宋体" w:hAnsi="宋体" w:eastAsia="宋体" w:cs="宋体"/>
          <w:sz w:val="24"/>
          <w:szCs w:val="24"/>
          <w:lang w:eastAsia="zh-CN"/>
        </w:rPr>
      </w:pPr>
    </w:p>
    <w:p>
      <w:pPr>
        <w:adjustRightInd w:val="0"/>
        <w:snapToGrid w:val="0"/>
        <w:spacing w:line="360" w:lineRule="auto"/>
        <w:ind w:left="2563" w:hanging="1606"/>
        <w:rPr>
          <w:rFonts w:ascii="宋体" w:hAnsi="宋体" w:eastAsia="宋体" w:cs="宋体"/>
          <w:sz w:val="24"/>
          <w:szCs w:val="24"/>
          <w:lang w:eastAsia="zh-CN"/>
        </w:rPr>
      </w:pPr>
      <w:r>
        <w:rPr>
          <w:rFonts w:hint="eastAsia" w:ascii="宋体" w:hAnsi="宋体" w:eastAsia="宋体" w:cs="宋体"/>
          <w:b/>
          <w:bCs/>
          <w:sz w:val="24"/>
          <w:szCs w:val="24"/>
          <w:lang w:eastAsia="zh-CN"/>
        </w:rPr>
        <w:t>项目名称：大庙街道各村居垃圾分类收运服务项目</w:t>
      </w:r>
    </w:p>
    <w:p>
      <w:pPr>
        <w:adjustRightInd w:val="0"/>
        <w:snapToGrid w:val="0"/>
        <w:ind w:firstLine="964"/>
        <w:rPr>
          <w:lang w:eastAsia="zh-CN"/>
        </w:rPr>
      </w:pPr>
      <w:r>
        <w:rPr>
          <w:rFonts w:hint="eastAsia" w:ascii="宋体" w:hAnsi="宋体" w:eastAsia="宋体" w:cs="宋体"/>
          <w:b/>
          <w:bCs/>
          <w:sz w:val="24"/>
          <w:szCs w:val="24"/>
          <w:lang w:eastAsia="zh-CN"/>
        </w:rPr>
        <w:t>项目编号：JSZC-320390-GCMC-C2023-0004</w:t>
      </w:r>
    </w:p>
    <w:p>
      <w:pPr>
        <w:adjustRightInd w:val="0"/>
        <w:snapToGrid w:val="0"/>
        <w:spacing w:line="360" w:lineRule="auto"/>
        <w:ind w:firstLine="964"/>
        <w:outlineLvl w:val="0"/>
        <w:rPr>
          <w:rFonts w:ascii="宋体" w:hAnsi="宋体" w:eastAsia="宋体" w:cs="宋体"/>
          <w:b/>
          <w:bCs/>
          <w:sz w:val="24"/>
          <w:szCs w:val="24"/>
          <w:lang w:eastAsia="zh-CN"/>
        </w:rPr>
      </w:pPr>
      <w:bookmarkStart w:id="0" w:name="_Toc16938"/>
      <w:bookmarkStart w:id="1" w:name="_Toc9875"/>
      <w:bookmarkStart w:id="2" w:name="_Toc28112"/>
      <w:r>
        <w:rPr>
          <w:rFonts w:hint="eastAsia" w:ascii="宋体" w:hAnsi="宋体" w:eastAsia="宋体" w:cs="宋体"/>
          <w:b/>
          <w:bCs/>
          <w:sz w:val="24"/>
          <w:szCs w:val="24"/>
          <w:lang w:eastAsia="zh-CN"/>
        </w:rPr>
        <w:t>采购单位：</w:t>
      </w:r>
      <w:bookmarkEnd w:id="0"/>
      <w:bookmarkEnd w:id="1"/>
      <w:bookmarkEnd w:id="2"/>
      <w:r>
        <w:rPr>
          <w:rFonts w:hint="eastAsia" w:ascii="宋体" w:hAnsi="宋体" w:eastAsia="宋体" w:cs="宋体"/>
          <w:b/>
          <w:bCs/>
          <w:sz w:val="24"/>
          <w:szCs w:val="24"/>
          <w:lang w:eastAsia="zh-CN"/>
        </w:rPr>
        <w:t>徐州经济技术开发区大庙街道办事处</w:t>
      </w:r>
    </w:p>
    <w:p>
      <w:pPr>
        <w:adjustRightInd w:val="0"/>
        <w:snapToGrid w:val="0"/>
        <w:spacing w:line="360" w:lineRule="auto"/>
        <w:ind w:firstLine="964"/>
        <w:outlineLvl w:val="0"/>
        <w:rPr>
          <w:rFonts w:ascii="宋体" w:hAnsi="宋体" w:eastAsia="宋体" w:cs="宋体"/>
          <w:b/>
          <w:sz w:val="24"/>
          <w:szCs w:val="24"/>
          <w:lang w:eastAsia="zh-CN"/>
        </w:rPr>
      </w:pPr>
      <w:bookmarkStart w:id="3" w:name="_Toc24529"/>
      <w:bookmarkStart w:id="4" w:name="_Toc26205"/>
      <w:bookmarkStart w:id="5" w:name="_Toc8824"/>
      <w:r>
        <w:rPr>
          <w:rFonts w:hint="eastAsia" w:ascii="宋体" w:hAnsi="宋体" w:eastAsia="宋体" w:cs="宋体"/>
          <w:b/>
          <w:sz w:val="24"/>
          <w:szCs w:val="24"/>
          <w:lang w:eastAsia="zh-CN"/>
        </w:rPr>
        <w:t>代理</w:t>
      </w:r>
      <w:r>
        <w:rPr>
          <w:rFonts w:hint="eastAsia" w:ascii="宋体" w:hAnsi="宋体" w:eastAsia="宋体" w:cs="宋体"/>
          <w:b/>
          <w:bCs/>
          <w:sz w:val="24"/>
          <w:szCs w:val="24"/>
          <w:lang w:eastAsia="zh-CN"/>
        </w:rPr>
        <w:t>机构</w:t>
      </w:r>
      <w:r>
        <w:rPr>
          <w:rFonts w:hint="eastAsia" w:ascii="宋体" w:hAnsi="宋体" w:eastAsia="宋体" w:cs="宋体"/>
          <w:b/>
          <w:sz w:val="24"/>
          <w:szCs w:val="24"/>
          <w:lang w:eastAsia="zh-CN"/>
        </w:rPr>
        <w:t>：公诚管理咨询有限公司</w:t>
      </w:r>
      <w:bookmarkEnd w:id="3"/>
      <w:bookmarkEnd w:id="4"/>
      <w:bookmarkEnd w:id="5"/>
    </w:p>
    <w:p>
      <w:pPr>
        <w:adjustRightInd w:val="0"/>
        <w:snapToGrid w:val="0"/>
        <w:spacing w:line="360" w:lineRule="auto"/>
        <w:jc w:val="center"/>
        <w:rPr>
          <w:rFonts w:ascii="宋体" w:hAnsi="宋体" w:eastAsia="宋体" w:cs="宋体"/>
          <w:b/>
          <w:sz w:val="24"/>
          <w:szCs w:val="24"/>
          <w:lang w:eastAsia="zh-CN"/>
        </w:rPr>
      </w:pPr>
    </w:p>
    <w:p>
      <w:pPr>
        <w:adjustRightInd w:val="0"/>
        <w:snapToGrid w:val="0"/>
        <w:spacing w:line="360" w:lineRule="auto"/>
        <w:jc w:val="center"/>
        <w:rPr>
          <w:rFonts w:ascii="宋体" w:hAnsi="宋体" w:eastAsia="宋体" w:cs="宋体"/>
          <w:b/>
          <w:sz w:val="24"/>
          <w:szCs w:val="24"/>
          <w:lang w:eastAsia="zh-CN"/>
        </w:rPr>
      </w:pPr>
      <w:r>
        <w:rPr>
          <w:rFonts w:hint="eastAsia" w:ascii="宋体" w:hAnsi="宋体" w:eastAsia="宋体" w:cs="宋体"/>
          <w:b/>
          <w:sz w:val="24"/>
          <w:szCs w:val="24"/>
          <w:lang w:eastAsia="zh-CN"/>
        </w:rPr>
        <w:t>二〇二三年十二月二十</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日</w:t>
      </w:r>
    </w:p>
    <w:p>
      <w:pPr>
        <w:adjustRightInd w:val="0"/>
        <w:snapToGrid w:val="0"/>
        <w:rPr>
          <w:rFonts w:ascii="宋体" w:hAnsi="宋体" w:eastAsia="宋体" w:cs="宋体"/>
          <w:b/>
          <w:sz w:val="24"/>
          <w:szCs w:val="24"/>
          <w:lang w:eastAsia="zh-CN"/>
        </w:rPr>
        <w:sectPr>
          <w:headerReference r:id="rId3" w:type="default"/>
          <w:footerReference r:id="rId4" w:type="default"/>
          <w:pgSz w:w="11906" w:h="16838"/>
          <w:pgMar w:top="1440" w:right="1800" w:bottom="1440" w:left="1800" w:header="709" w:footer="709" w:gutter="0"/>
          <w:cols w:space="708" w:num="1"/>
          <w:docGrid w:linePitch="360" w:charSpace="0"/>
        </w:sectPr>
      </w:pPr>
      <w:r>
        <w:rPr>
          <w:rFonts w:hint="eastAsia" w:ascii="宋体" w:hAnsi="宋体" w:eastAsia="宋体" w:cs="宋体"/>
          <w:b/>
          <w:sz w:val="24"/>
          <w:szCs w:val="24"/>
          <w:lang w:eastAsia="zh-CN"/>
        </w:rPr>
        <w:br w:type="page"/>
      </w:r>
    </w:p>
    <w:sdt>
      <w:sdtPr>
        <w:rPr>
          <w:rFonts w:ascii="宋体" w:hAnsi="宋体" w:eastAsia="宋体" w:cs="Times New Roman"/>
          <w:b/>
          <w:bCs/>
          <w:caps/>
          <w:sz w:val="24"/>
          <w:szCs w:val="24"/>
          <w:lang w:eastAsia="zh-CN"/>
        </w:rPr>
        <w:id w:val="147463797"/>
        <w15:color w:val="DBDBDB"/>
        <w:docPartObj>
          <w:docPartGallery w:val="Table of Contents"/>
          <w:docPartUnique/>
        </w:docPartObj>
      </w:sdtPr>
      <w:sdtEndPr>
        <w:rPr>
          <w:rFonts w:hint="eastAsia" w:ascii="Calibri" w:hAnsi="Calibri" w:eastAsia="Calibri" w:cs="Times New Roman"/>
          <w:b/>
          <w:bCs/>
          <w:caps/>
          <w:sz w:val="20"/>
          <w:szCs w:val="20"/>
          <w:lang w:eastAsia="zh-CN"/>
        </w:rPr>
      </w:sdtEndPr>
      <w:sdtContent>
        <w:p>
          <w:pPr>
            <w:spacing w:after="0" w:line="240" w:lineRule="auto"/>
            <w:jc w:val="center"/>
            <w:rPr>
              <w:sz w:val="24"/>
              <w:szCs w:val="24"/>
            </w:rPr>
          </w:pPr>
          <w:r>
            <w:rPr>
              <w:rFonts w:ascii="宋体" w:hAnsi="宋体" w:eastAsia="宋体"/>
              <w:sz w:val="24"/>
              <w:szCs w:val="24"/>
            </w:rPr>
            <w:t>目录</w:t>
          </w:r>
        </w:p>
        <w:p>
          <w:pPr>
            <w:pStyle w:val="37"/>
            <w:tabs>
              <w:tab w:val="right" w:leader="dot" w:pos="8306"/>
            </w:tabs>
          </w:pPr>
          <w:r>
            <w:rPr>
              <w:rFonts w:hint="eastAsia"/>
              <w:sz w:val="24"/>
              <w:szCs w:val="24"/>
              <w:lang w:eastAsia="zh-CN"/>
            </w:rPr>
            <w:fldChar w:fldCharType="begin"/>
          </w:r>
          <w:r>
            <w:rPr>
              <w:rFonts w:hint="eastAsia"/>
              <w:sz w:val="24"/>
              <w:szCs w:val="24"/>
              <w:lang w:eastAsia="zh-CN"/>
            </w:rPr>
            <w:instrText xml:space="preserve">TOC \o "1-1" \h \u </w:instrText>
          </w:r>
          <w:r>
            <w:rPr>
              <w:rFonts w:hint="eastAsia"/>
              <w:sz w:val="24"/>
              <w:szCs w:val="24"/>
              <w:lang w:eastAsia="zh-CN"/>
            </w:rPr>
            <w:fldChar w:fldCharType="separate"/>
          </w:r>
        </w:p>
        <w:p>
          <w:pPr>
            <w:pStyle w:val="37"/>
            <w:tabs>
              <w:tab w:val="right" w:leader="dot" w:pos="8306"/>
            </w:tabs>
          </w:pPr>
        </w:p>
        <w:p>
          <w:pPr>
            <w:pStyle w:val="37"/>
            <w:tabs>
              <w:tab w:val="right" w:leader="dot" w:pos="8306"/>
            </w:tabs>
          </w:pPr>
          <w:r>
            <w:fldChar w:fldCharType="begin"/>
          </w:r>
          <w:r>
            <w:instrText xml:space="preserve"> HYPERLINK \l "_Toc4952" </w:instrText>
          </w:r>
          <w:r>
            <w:fldChar w:fldCharType="separate"/>
          </w:r>
          <w:r>
            <w:rPr>
              <w:rFonts w:hint="eastAsia" w:ascii="宋体" w:hAnsi="宋体" w:eastAsia="宋体" w:cs="宋体"/>
              <w:szCs w:val="24"/>
              <w:lang w:eastAsia="zh-CN"/>
            </w:rPr>
            <w:t>第一章 项目说明</w:t>
          </w:r>
          <w:r>
            <w:tab/>
          </w:r>
          <w:r>
            <w:fldChar w:fldCharType="begin"/>
          </w:r>
          <w:r>
            <w:instrText xml:space="preserve"> PAGEREF _Toc4952 \h </w:instrText>
          </w:r>
          <w:r>
            <w:fldChar w:fldCharType="separate"/>
          </w:r>
          <w:r>
            <w:t>1</w:t>
          </w:r>
          <w:r>
            <w:fldChar w:fldCharType="end"/>
          </w:r>
          <w:r>
            <w:fldChar w:fldCharType="end"/>
          </w:r>
        </w:p>
        <w:p>
          <w:pPr>
            <w:pStyle w:val="37"/>
            <w:tabs>
              <w:tab w:val="right" w:leader="dot" w:pos="8306"/>
            </w:tabs>
          </w:pPr>
          <w:r>
            <w:fldChar w:fldCharType="begin"/>
          </w:r>
          <w:r>
            <w:instrText xml:space="preserve"> HYPERLINK \l "_Toc16764" </w:instrText>
          </w:r>
          <w:r>
            <w:fldChar w:fldCharType="separate"/>
          </w:r>
          <w:r>
            <w:rPr>
              <w:rFonts w:hint="eastAsia" w:ascii="宋体" w:hAnsi="宋体" w:eastAsia="宋体" w:cs="宋体"/>
              <w:szCs w:val="24"/>
              <w:lang w:eastAsia="zh-CN"/>
            </w:rPr>
            <w:t>第二章 磋商保证金</w:t>
          </w:r>
          <w:r>
            <w:tab/>
          </w:r>
          <w:r>
            <w:fldChar w:fldCharType="begin"/>
          </w:r>
          <w:r>
            <w:instrText xml:space="preserve"> PAGEREF _Toc16764 \h </w:instrText>
          </w:r>
          <w:r>
            <w:fldChar w:fldCharType="separate"/>
          </w:r>
          <w:r>
            <w:t>2</w:t>
          </w:r>
          <w:r>
            <w:fldChar w:fldCharType="end"/>
          </w:r>
          <w:r>
            <w:fldChar w:fldCharType="end"/>
          </w:r>
        </w:p>
        <w:p>
          <w:pPr>
            <w:pStyle w:val="37"/>
            <w:tabs>
              <w:tab w:val="right" w:leader="dot" w:pos="8306"/>
            </w:tabs>
          </w:pPr>
          <w:r>
            <w:fldChar w:fldCharType="begin"/>
          </w:r>
          <w:r>
            <w:instrText xml:space="preserve"> HYPERLINK \l "_Toc20587" </w:instrText>
          </w:r>
          <w:r>
            <w:fldChar w:fldCharType="separate"/>
          </w:r>
          <w:r>
            <w:rPr>
              <w:rFonts w:hint="eastAsia" w:ascii="宋体" w:hAnsi="宋体" w:eastAsia="宋体" w:cs="宋体"/>
              <w:szCs w:val="24"/>
              <w:lang w:eastAsia="zh-CN"/>
            </w:rPr>
            <w:t>第三章 响应文件</w:t>
          </w:r>
          <w:r>
            <w:tab/>
          </w:r>
          <w:r>
            <w:fldChar w:fldCharType="begin"/>
          </w:r>
          <w:r>
            <w:instrText xml:space="preserve"> PAGEREF _Toc20587 \h </w:instrText>
          </w:r>
          <w:r>
            <w:fldChar w:fldCharType="separate"/>
          </w:r>
          <w:r>
            <w:t>3</w:t>
          </w:r>
          <w:r>
            <w:fldChar w:fldCharType="end"/>
          </w:r>
          <w:r>
            <w:fldChar w:fldCharType="end"/>
          </w:r>
        </w:p>
        <w:p>
          <w:pPr>
            <w:pStyle w:val="37"/>
            <w:tabs>
              <w:tab w:val="right" w:leader="dot" w:pos="8306"/>
            </w:tabs>
          </w:pPr>
          <w:r>
            <w:fldChar w:fldCharType="begin"/>
          </w:r>
          <w:r>
            <w:instrText xml:space="preserve"> HYPERLINK \l "_Toc8255" </w:instrText>
          </w:r>
          <w:r>
            <w:fldChar w:fldCharType="separate"/>
          </w:r>
          <w:r>
            <w:rPr>
              <w:rFonts w:hint="eastAsia" w:ascii="宋体" w:hAnsi="宋体" w:eastAsia="宋体" w:cs="宋体"/>
              <w:szCs w:val="24"/>
              <w:lang w:eastAsia="zh-CN"/>
            </w:rPr>
            <w:t>第四章 磋商相关说明</w:t>
          </w:r>
          <w:r>
            <w:tab/>
          </w:r>
          <w:r>
            <w:fldChar w:fldCharType="begin"/>
          </w:r>
          <w:r>
            <w:instrText xml:space="preserve"> PAGEREF _Toc8255 \h </w:instrText>
          </w:r>
          <w:r>
            <w:fldChar w:fldCharType="separate"/>
          </w:r>
          <w:r>
            <w:t>9</w:t>
          </w:r>
          <w:r>
            <w:fldChar w:fldCharType="end"/>
          </w:r>
          <w:r>
            <w:fldChar w:fldCharType="end"/>
          </w:r>
        </w:p>
        <w:p>
          <w:pPr>
            <w:pStyle w:val="37"/>
            <w:tabs>
              <w:tab w:val="right" w:leader="dot" w:pos="8306"/>
            </w:tabs>
          </w:pPr>
          <w:r>
            <w:fldChar w:fldCharType="begin"/>
          </w:r>
          <w:r>
            <w:instrText xml:space="preserve"> HYPERLINK \l "_Toc8400" </w:instrText>
          </w:r>
          <w:r>
            <w:fldChar w:fldCharType="separate"/>
          </w:r>
          <w:r>
            <w:rPr>
              <w:rFonts w:hint="eastAsia" w:ascii="宋体" w:hAnsi="宋体" w:eastAsia="宋体" w:cs="宋体"/>
              <w:szCs w:val="24"/>
              <w:lang w:eastAsia="zh-CN"/>
            </w:rPr>
            <w:t>第五章 确定成交供应商及合同签订等 </w:t>
          </w:r>
          <w:r>
            <w:tab/>
          </w:r>
          <w:r>
            <w:fldChar w:fldCharType="begin"/>
          </w:r>
          <w:r>
            <w:instrText xml:space="preserve"> PAGEREF _Toc8400 \h </w:instrText>
          </w:r>
          <w:r>
            <w:fldChar w:fldCharType="separate"/>
          </w:r>
          <w:r>
            <w:t>12</w:t>
          </w:r>
          <w:r>
            <w:fldChar w:fldCharType="end"/>
          </w:r>
          <w:r>
            <w:fldChar w:fldCharType="end"/>
          </w:r>
        </w:p>
        <w:p>
          <w:pPr>
            <w:pStyle w:val="37"/>
            <w:tabs>
              <w:tab w:val="right" w:leader="dot" w:pos="8306"/>
            </w:tabs>
          </w:pPr>
          <w:r>
            <w:fldChar w:fldCharType="begin"/>
          </w:r>
          <w:r>
            <w:instrText xml:space="preserve"> HYPERLINK \l "_Toc23843" </w:instrText>
          </w:r>
          <w:r>
            <w:fldChar w:fldCharType="separate"/>
          </w:r>
          <w:r>
            <w:rPr>
              <w:rFonts w:hint="eastAsia" w:ascii="宋体" w:hAnsi="宋体" w:eastAsia="宋体" w:cs="宋体"/>
              <w:szCs w:val="24"/>
              <w:lang w:eastAsia="zh-CN"/>
            </w:rPr>
            <w:t>第六章 磋商文件的澄清或者修改 </w:t>
          </w:r>
          <w:r>
            <w:tab/>
          </w:r>
          <w:r>
            <w:fldChar w:fldCharType="begin"/>
          </w:r>
          <w:r>
            <w:instrText xml:space="preserve"> PAGEREF _Toc23843 \h </w:instrText>
          </w:r>
          <w:r>
            <w:fldChar w:fldCharType="separate"/>
          </w:r>
          <w:r>
            <w:t>13</w:t>
          </w:r>
          <w:r>
            <w:fldChar w:fldCharType="end"/>
          </w:r>
          <w:r>
            <w:fldChar w:fldCharType="end"/>
          </w:r>
        </w:p>
        <w:p>
          <w:pPr>
            <w:pStyle w:val="37"/>
            <w:tabs>
              <w:tab w:val="right" w:leader="dot" w:pos="8306"/>
            </w:tabs>
          </w:pPr>
          <w:r>
            <w:fldChar w:fldCharType="begin"/>
          </w:r>
          <w:r>
            <w:instrText xml:space="preserve"> HYPERLINK \l "_Toc902" </w:instrText>
          </w:r>
          <w:r>
            <w:fldChar w:fldCharType="separate"/>
          </w:r>
          <w:r>
            <w:rPr>
              <w:rFonts w:hint="eastAsia" w:ascii="宋体" w:hAnsi="宋体" w:eastAsia="宋体" w:cs="宋体"/>
              <w:szCs w:val="24"/>
              <w:lang w:eastAsia="zh-CN"/>
            </w:rPr>
            <w:t>第七章 询问和质疑</w:t>
          </w:r>
          <w:r>
            <w:tab/>
          </w:r>
          <w:r>
            <w:fldChar w:fldCharType="begin"/>
          </w:r>
          <w:r>
            <w:instrText xml:space="preserve"> PAGEREF _Toc902 \h </w:instrText>
          </w:r>
          <w:r>
            <w:fldChar w:fldCharType="separate"/>
          </w:r>
          <w:r>
            <w:t>14</w:t>
          </w:r>
          <w:r>
            <w:fldChar w:fldCharType="end"/>
          </w:r>
          <w:r>
            <w:fldChar w:fldCharType="end"/>
          </w:r>
        </w:p>
        <w:p>
          <w:pPr>
            <w:pStyle w:val="37"/>
            <w:tabs>
              <w:tab w:val="right" w:leader="dot" w:pos="8306"/>
            </w:tabs>
          </w:pPr>
          <w:r>
            <w:fldChar w:fldCharType="begin"/>
          </w:r>
          <w:r>
            <w:instrText xml:space="preserve"> HYPERLINK \l "_Toc32248" </w:instrText>
          </w:r>
          <w:r>
            <w:fldChar w:fldCharType="separate"/>
          </w:r>
          <w:r>
            <w:rPr>
              <w:rFonts w:hint="eastAsia" w:ascii="宋体" w:hAnsi="宋体" w:eastAsia="宋体" w:cs="宋体"/>
              <w:szCs w:val="24"/>
              <w:lang w:eastAsia="zh-CN"/>
            </w:rPr>
            <w:t>第八章 其他</w:t>
          </w:r>
          <w:r>
            <w:tab/>
          </w:r>
          <w:r>
            <w:fldChar w:fldCharType="begin"/>
          </w:r>
          <w:r>
            <w:instrText xml:space="preserve"> PAGEREF _Toc32248 \h </w:instrText>
          </w:r>
          <w:r>
            <w:fldChar w:fldCharType="separate"/>
          </w:r>
          <w:r>
            <w:t>15</w:t>
          </w:r>
          <w:r>
            <w:fldChar w:fldCharType="end"/>
          </w:r>
          <w:r>
            <w:fldChar w:fldCharType="end"/>
          </w:r>
        </w:p>
        <w:p>
          <w:pPr>
            <w:pStyle w:val="37"/>
            <w:tabs>
              <w:tab w:val="right" w:leader="dot" w:pos="8306"/>
            </w:tabs>
          </w:pPr>
          <w:r>
            <w:fldChar w:fldCharType="begin"/>
          </w:r>
          <w:r>
            <w:instrText xml:space="preserve"> HYPERLINK \l "_Toc1729" </w:instrText>
          </w:r>
          <w:r>
            <w:fldChar w:fldCharType="separate"/>
          </w:r>
          <w:r>
            <w:rPr>
              <w:rFonts w:hint="eastAsia" w:ascii="宋体" w:hAnsi="宋体" w:eastAsia="宋体" w:cs="宋体"/>
              <w:szCs w:val="24"/>
              <w:lang w:eastAsia="zh-CN"/>
            </w:rPr>
            <w:t>附件</w:t>
          </w:r>
          <w:r>
            <w:tab/>
          </w:r>
          <w:r>
            <w:fldChar w:fldCharType="begin"/>
          </w:r>
          <w:r>
            <w:instrText xml:space="preserve"> PAGEREF _Toc1729 \h </w:instrText>
          </w:r>
          <w:r>
            <w:fldChar w:fldCharType="separate"/>
          </w:r>
          <w:r>
            <w:t>16</w:t>
          </w:r>
          <w:r>
            <w:fldChar w:fldCharType="end"/>
          </w:r>
          <w:r>
            <w:fldChar w:fldCharType="end"/>
          </w:r>
        </w:p>
        <w:p>
          <w:pPr>
            <w:pStyle w:val="2"/>
            <w:rPr>
              <w:rFonts w:hint="eastAsia" w:ascii="Calibri" w:hAnsi="Calibri" w:eastAsia="Calibri" w:cs="Times New Roman"/>
              <w:b/>
              <w:bCs/>
              <w:caps/>
              <w:sz w:val="20"/>
              <w:szCs w:val="20"/>
              <w:lang w:eastAsia="zh-CN"/>
            </w:rPr>
          </w:pPr>
          <w:r>
            <w:rPr>
              <w:rFonts w:hint="eastAsia"/>
              <w:szCs w:val="24"/>
            </w:rPr>
            <w:fldChar w:fldCharType="end"/>
          </w:r>
        </w:p>
      </w:sdtContent>
    </w:sdt>
    <w:p>
      <w:pPr>
        <w:bidi w:val="0"/>
      </w:pPr>
    </w:p>
    <w:p>
      <w:pPr>
        <w:bidi w:val="0"/>
      </w:pPr>
    </w:p>
    <w:p>
      <w:pPr>
        <w:bidi w:val="0"/>
      </w:pPr>
    </w:p>
    <w:p>
      <w:pPr>
        <w:bidi w:val="0"/>
      </w:pPr>
    </w:p>
    <w:p>
      <w:pPr>
        <w:tabs>
          <w:tab w:val="left" w:pos="2760"/>
        </w:tabs>
        <w:bidi w:val="0"/>
        <w:jc w:val="left"/>
        <w:rPr>
          <w:rFonts w:hint="eastAsia" w:eastAsia="宋体"/>
          <w:lang w:eastAsia="zh-CN"/>
        </w:rPr>
        <w:sectPr>
          <w:footerReference r:id="rId5" w:type="default"/>
          <w:pgSz w:w="11906" w:h="16838"/>
          <w:pgMar w:top="1440" w:right="1800" w:bottom="1440" w:left="1800" w:header="709" w:footer="709" w:gutter="0"/>
          <w:pgNumType w:start="1"/>
          <w:cols w:space="708" w:num="1"/>
          <w:docGrid w:linePitch="360" w:charSpace="0"/>
        </w:sectPr>
      </w:pPr>
      <w:r>
        <w:rPr>
          <w:rFonts w:hint="eastAsia" w:eastAsia="宋体"/>
          <w:lang w:eastAsia="zh-CN"/>
        </w:rPr>
        <w:tab/>
      </w:r>
    </w:p>
    <w:p>
      <w:pPr>
        <w:rPr>
          <w:lang w:eastAsia="zh-CN"/>
        </w:rPr>
      </w:pPr>
    </w:p>
    <w:p>
      <w:pPr>
        <w:adjustRightInd w:val="0"/>
        <w:snapToGrid w:val="0"/>
        <w:spacing w:line="360" w:lineRule="auto"/>
        <w:jc w:val="center"/>
        <w:outlineLvl w:val="0"/>
        <w:rPr>
          <w:rFonts w:ascii="宋体" w:hAnsi="宋体" w:eastAsia="宋体" w:cs="宋体"/>
          <w:sz w:val="24"/>
          <w:szCs w:val="24"/>
          <w:lang w:eastAsia="zh-CN"/>
        </w:rPr>
      </w:pPr>
      <w:bookmarkStart w:id="6" w:name="_Toc23547"/>
      <w:bookmarkStart w:id="7" w:name="_Toc1651"/>
      <w:bookmarkStart w:id="8" w:name="_Toc3569"/>
      <w:r>
        <w:rPr>
          <w:rFonts w:hint="eastAsia" w:ascii="宋体" w:hAnsi="宋体" w:eastAsia="宋体" w:cs="宋体"/>
          <w:b/>
          <w:sz w:val="24"/>
          <w:szCs w:val="24"/>
          <w:lang w:eastAsia="zh-CN"/>
        </w:rPr>
        <w:t>竞争性磋商文件</w:t>
      </w:r>
      <w:bookmarkEnd w:id="6"/>
      <w:bookmarkEnd w:id="7"/>
      <w:bookmarkEnd w:id="8"/>
    </w:p>
    <w:p>
      <w:pPr>
        <w:pStyle w:val="75"/>
        <w:adjustRightInd w:val="0"/>
        <w:snapToGrid w:val="0"/>
        <w:spacing w:line="0" w:lineRule="atLeast"/>
        <w:jc w:val="center"/>
        <w:outlineLvl w:val="0"/>
        <w:rPr>
          <w:rFonts w:ascii="宋体" w:hAnsi="宋体" w:cs="宋体"/>
          <w:sz w:val="24"/>
          <w:highlight w:val="yellow"/>
        </w:rPr>
      </w:pPr>
      <w:bookmarkStart w:id="9" w:name="_Toc13902"/>
      <w:bookmarkStart w:id="10" w:name="_Toc14547"/>
      <w:bookmarkStart w:id="11" w:name="_Toc9743"/>
      <w:r>
        <w:rPr>
          <w:rFonts w:hint="eastAsia" w:ascii="宋体" w:hAnsi="宋体" w:cs="宋体"/>
          <w:sz w:val="24"/>
        </w:rPr>
        <w:t>项目编号：JSZC-320390-GCMC-C2023-0004</w:t>
      </w:r>
      <w:bookmarkEnd w:id="9"/>
      <w:bookmarkEnd w:id="10"/>
      <w:bookmarkEnd w:id="11"/>
    </w:p>
    <w:p>
      <w:pPr>
        <w:pStyle w:val="46"/>
        <w:spacing w:before="240" w:after="240" w:line="85" w:lineRule="atLeast"/>
        <w:rPr>
          <w:rFonts w:ascii="宋体" w:hAnsi="宋体" w:eastAsia="宋体" w:cs="宋体"/>
          <w:szCs w:val="24"/>
          <w:lang w:eastAsia="zh-CN"/>
        </w:rPr>
      </w:pPr>
      <w:r>
        <w:rPr>
          <w:rFonts w:ascii="Arial" w:hAnsi="Arial" w:cs="Arial"/>
          <w:color w:val="000000"/>
          <w:szCs w:val="24"/>
          <w:u w:val="single"/>
        </w:rPr>
        <w:t>              </w:t>
      </w:r>
      <w:r>
        <w:rPr>
          <w:rFonts w:ascii="Arial" w:hAnsi="Arial" w:cs="Arial"/>
          <w:color w:val="000000"/>
          <w:szCs w:val="24"/>
        </w:rPr>
        <w:t>（供应商）：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97"/>
        <w:rPr>
          <w:rFonts w:ascii="宋体" w:hAnsi="宋体" w:eastAsia="宋体" w:cs="宋体"/>
          <w:sz w:val="24"/>
          <w:szCs w:val="24"/>
          <w:lang w:eastAsia="zh-CN"/>
        </w:rPr>
      </w:pPr>
      <w:r>
        <w:rPr>
          <w:rFonts w:hint="eastAsia" w:ascii="宋体" w:hAnsi="宋体" w:eastAsia="宋体" w:cs="宋体"/>
          <w:sz w:val="24"/>
          <w:szCs w:val="24"/>
          <w:lang w:eastAsia="zh-CN"/>
        </w:rPr>
        <w:t>公诚管理咨询有限公司对大庙街道各村居垃圾分类收运服务项目采取竞争性磋商采购方式进行采购，竞争性磋商文件（以下简称《磋商文件》）内容如下：</w:t>
      </w:r>
      <w:bookmarkStart w:id="31" w:name="_GoBack"/>
      <w:bookmarkEnd w:id="31"/>
    </w:p>
    <w:p>
      <w:pPr>
        <w:pBdr>
          <w:top w:val="none" w:color="000000" w:sz="0" w:space="0"/>
          <w:left w:val="none" w:color="000000" w:sz="0" w:space="0"/>
          <w:bottom w:val="none" w:color="000000" w:sz="0" w:space="0"/>
          <w:right w:val="none" w:color="000000" w:sz="0" w:space="0"/>
        </w:pBdr>
        <w:adjustRightInd w:val="0"/>
        <w:snapToGrid w:val="0"/>
        <w:spacing w:before="240" w:after="240"/>
        <w:ind w:left="497"/>
        <w:jc w:val="center"/>
        <w:outlineLvl w:val="0"/>
        <w:rPr>
          <w:rFonts w:ascii="宋体" w:hAnsi="宋体" w:eastAsia="宋体" w:cs="宋体"/>
          <w:sz w:val="24"/>
          <w:szCs w:val="24"/>
          <w:lang w:eastAsia="zh-CN"/>
        </w:rPr>
      </w:pPr>
      <w:bookmarkStart w:id="12" w:name="_Toc4952"/>
      <w:r>
        <w:rPr>
          <w:rFonts w:hint="eastAsia" w:ascii="宋体" w:hAnsi="宋体" w:eastAsia="宋体" w:cs="宋体"/>
          <w:sz w:val="24"/>
          <w:szCs w:val="24"/>
          <w:lang w:eastAsia="zh-CN"/>
        </w:rPr>
        <w:t>第一章 项目说明</w:t>
      </w:r>
      <w:bookmarkEnd w:id="12"/>
    </w:p>
    <w:p>
      <w:pPr>
        <w:pBdr>
          <w:top w:val="none" w:color="000000" w:sz="0" w:space="0"/>
          <w:left w:val="none" w:color="000000" w:sz="0" w:space="0"/>
          <w:bottom w:val="none" w:color="000000" w:sz="0" w:space="0"/>
          <w:right w:val="none" w:color="000000" w:sz="0" w:space="0"/>
        </w:pBdr>
        <w:adjustRightInd w:val="0"/>
        <w:snapToGrid w:val="0"/>
        <w:spacing w:before="240" w:after="240"/>
        <w:ind w:left="497"/>
        <w:rPr>
          <w:rFonts w:ascii="宋体" w:hAnsi="宋体" w:eastAsia="宋体" w:cs="宋体"/>
          <w:sz w:val="24"/>
          <w:szCs w:val="24"/>
          <w:lang w:eastAsia="zh-CN"/>
        </w:rPr>
      </w:pPr>
      <w:r>
        <w:rPr>
          <w:rFonts w:hint="eastAsia" w:ascii="宋体" w:hAnsi="宋体" w:eastAsia="宋体" w:cs="宋体"/>
          <w:sz w:val="24"/>
          <w:szCs w:val="24"/>
          <w:lang w:eastAsia="zh-CN"/>
        </w:rPr>
        <w:t>一、采购人：徐州经济技术开发区大庙街道办事处</w:t>
      </w:r>
    </w:p>
    <w:p>
      <w:pPr>
        <w:pBdr>
          <w:top w:val="none" w:color="000000" w:sz="0" w:space="0"/>
          <w:left w:val="none" w:color="000000" w:sz="0" w:space="0"/>
          <w:bottom w:val="none" w:color="000000" w:sz="0" w:space="0"/>
          <w:right w:val="none" w:color="000000" w:sz="0" w:space="0"/>
        </w:pBdr>
        <w:adjustRightInd w:val="0"/>
        <w:snapToGrid w:val="0"/>
        <w:spacing w:before="240" w:after="240"/>
        <w:ind w:left="497"/>
        <w:rPr>
          <w:rFonts w:ascii="宋体" w:hAnsi="宋体" w:eastAsia="宋体" w:cs="宋体"/>
          <w:sz w:val="24"/>
          <w:szCs w:val="24"/>
          <w:lang w:eastAsia="zh-CN"/>
        </w:rPr>
      </w:pPr>
      <w:r>
        <w:rPr>
          <w:rFonts w:hint="eastAsia" w:ascii="宋体" w:hAnsi="宋体" w:eastAsia="宋体" w:cs="宋体"/>
          <w:sz w:val="24"/>
          <w:szCs w:val="24"/>
          <w:lang w:eastAsia="zh-CN"/>
        </w:rPr>
        <w:t>二、项目名称：大庙街道各村居垃圾分类收运服务项目</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 xml:space="preserve">三、项目编号：JSZC-320390-GCMC-C2023-0004                                                            </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97"/>
        <w:rPr>
          <w:rFonts w:ascii="宋体" w:hAnsi="宋体" w:eastAsia="宋体" w:cs="宋体"/>
          <w:sz w:val="24"/>
          <w:szCs w:val="24"/>
          <w:lang w:eastAsia="zh-CN"/>
        </w:rPr>
      </w:pPr>
      <w:r>
        <w:rPr>
          <w:rFonts w:hint="eastAsia" w:ascii="宋体" w:hAnsi="宋体" w:eastAsia="宋体" w:cs="宋体"/>
          <w:sz w:val="24"/>
          <w:szCs w:val="24"/>
          <w:lang w:eastAsia="zh-CN"/>
        </w:rPr>
        <w:t>四、采购邀请：通过发布公告的方式邀请符合相应资格条件的供应商参与竞争性磋商采购活动。</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五、采购方式：竞争性磋商采购方式</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六、供应商资格条件：见竞争性磋商公告（项目编号：JSZC-320390-GCMC-C2023-0004）</w:t>
      </w:r>
    </w:p>
    <w:p>
      <w:pPr>
        <w:pBdr>
          <w:top w:val="none" w:color="000000" w:sz="0" w:space="0"/>
          <w:left w:val="none" w:color="000000" w:sz="0" w:space="0"/>
          <w:bottom w:val="none" w:color="000000" w:sz="0" w:space="0"/>
          <w:right w:val="none" w:color="000000" w:sz="0" w:space="0"/>
        </w:pBdr>
        <w:adjustRightInd w:val="0"/>
        <w:snapToGrid w:val="0"/>
        <w:spacing w:before="240" w:after="240"/>
        <w:ind w:left="497"/>
        <w:rPr>
          <w:rFonts w:ascii="宋体" w:hAnsi="宋体" w:eastAsia="宋体" w:cs="宋体"/>
          <w:sz w:val="24"/>
          <w:szCs w:val="24"/>
          <w:lang w:eastAsia="zh-CN"/>
        </w:rPr>
      </w:pPr>
      <w:r>
        <w:rPr>
          <w:rFonts w:hint="eastAsia" w:ascii="宋体" w:hAnsi="宋体" w:eastAsia="宋体" w:cs="宋体"/>
          <w:sz w:val="24"/>
          <w:szCs w:val="24"/>
          <w:lang w:eastAsia="zh-CN"/>
        </w:rPr>
        <w:t>七、采购预算（采购项目预算金额）：见《磋商文件》附件2.《项目要求（采购需求）》。</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八、采购需求：见《磋商文件》附件2.《项目要求（采购需求）》</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九、合同草案条款：见《磋商文件》附件6.《合同草案条款》。</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十、报价要求</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1.供应商报价为要约，公诚管理咨询有限公司无承诺表示时视为未成交，公诚管理咨询有限公司认为必要时可重新进行竞争性磋商采购或采取其它方式采购。</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2.按照《磋商报价表》要求填写首次报价。</w:t>
      </w:r>
    </w:p>
    <w:p>
      <w:pPr>
        <w:adjustRightInd w:val="0"/>
        <w:snapToGrid w:val="0"/>
        <w:rPr>
          <w:rFonts w:ascii="宋体" w:hAnsi="宋体" w:eastAsia="宋体" w:cs="宋体"/>
          <w:sz w:val="24"/>
          <w:szCs w:val="24"/>
          <w:lang w:eastAsia="zh-CN"/>
        </w:rPr>
      </w:pPr>
      <w:r>
        <w:rPr>
          <w:rFonts w:hint="eastAsia" w:ascii="宋体" w:hAnsi="宋体" w:eastAsia="宋体" w:cs="宋体"/>
          <w:sz w:val="24"/>
          <w:szCs w:val="24"/>
          <w:lang w:eastAsia="zh-CN"/>
        </w:rPr>
        <w:br w:type="page"/>
      </w:r>
    </w:p>
    <w:p>
      <w:pPr>
        <w:pBdr>
          <w:top w:val="none" w:color="000000" w:sz="0" w:space="0"/>
          <w:left w:val="none" w:color="000000" w:sz="0" w:space="0"/>
          <w:bottom w:val="none" w:color="000000" w:sz="0" w:space="0"/>
          <w:right w:val="none" w:color="000000" w:sz="0" w:space="0"/>
        </w:pBdr>
        <w:adjustRightInd w:val="0"/>
        <w:snapToGrid w:val="0"/>
        <w:spacing w:before="240" w:after="240"/>
        <w:ind w:left="497"/>
        <w:jc w:val="center"/>
        <w:outlineLvl w:val="0"/>
        <w:rPr>
          <w:rFonts w:ascii="宋体" w:hAnsi="宋体" w:eastAsia="宋体" w:cs="宋体"/>
          <w:sz w:val="24"/>
          <w:szCs w:val="24"/>
          <w:lang w:eastAsia="zh-CN"/>
        </w:rPr>
      </w:pPr>
      <w:bookmarkStart w:id="13" w:name="_Toc16764"/>
      <w:r>
        <w:rPr>
          <w:rFonts w:hint="eastAsia" w:ascii="宋体" w:hAnsi="宋体" w:eastAsia="宋体" w:cs="宋体"/>
          <w:sz w:val="24"/>
          <w:szCs w:val="24"/>
          <w:lang w:eastAsia="zh-CN"/>
        </w:rPr>
        <w:t>第二章 磋商保证金</w:t>
      </w:r>
      <w:bookmarkEnd w:id="13"/>
    </w:p>
    <w:p>
      <w:pPr>
        <w:pBdr>
          <w:top w:val="none" w:color="000000" w:sz="0" w:space="0"/>
          <w:left w:val="none" w:color="000000" w:sz="0" w:space="0"/>
          <w:bottom w:val="none" w:color="000000" w:sz="0" w:space="0"/>
          <w:right w:val="none" w:color="000000" w:sz="0" w:space="0"/>
        </w:pBdr>
        <w:adjustRightInd w:val="0"/>
        <w:snapToGrid w:val="0"/>
        <w:spacing w:before="240" w:after="240"/>
        <w:ind w:left="497"/>
        <w:jc w:val="center"/>
        <w:rPr>
          <w:rFonts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十一、供应商提交磋商保证金</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1.磋商保证金交纳数额和形式：不需交纳。</w:t>
      </w:r>
    </w:p>
    <w:p>
      <w:pPr>
        <w:adjustRightInd w:val="0"/>
        <w:snapToGrid w:val="0"/>
        <w:rPr>
          <w:rFonts w:ascii="宋体" w:hAnsi="宋体" w:eastAsia="宋体" w:cs="宋体"/>
          <w:sz w:val="24"/>
          <w:szCs w:val="24"/>
          <w:lang w:eastAsia="zh-CN"/>
        </w:rPr>
      </w:pPr>
      <w:r>
        <w:rPr>
          <w:rFonts w:hint="eastAsia" w:ascii="宋体" w:hAnsi="宋体" w:eastAsia="宋体" w:cs="宋体"/>
          <w:sz w:val="24"/>
          <w:szCs w:val="24"/>
          <w:lang w:eastAsia="zh-CN"/>
        </w:rPr>
        <w:br w:type="page"/>
      </w:r>
    </w:p>
    <w:p>
      <w:pPr>
        <w:pBdr>
          <w:top w:val="none" w:color="000000" w:sz="0" w:space="0"/>
          <w:left w:val="none" w:color="000000" w:sz="0" w:space="0"/>
          <w:bottom w:val="none" w:color="000000" w:sz="0" w:space="0"/>
          <w:right w:val="none" w:color="000000" w:sz="0" w:space="0"/>
        </w:pBdr>
        <w:adjustRightInd w:val="0"/>
        <w:snapToGrid w:val="0"/>
        <w:spacing w:before="240" w:after="240"/>
        <w:ind w:left="497"/>
        <w:jc w:val="center"/>
        <w:outlineLvl w:val="0"/>
        <w:rPr>
          <w:rFonts w:ascii="宋体" w:hAnsi="宋体" w:eastAsia="宋体" w:cs="宋体"/>
          <w:sz w:val="24"/>
          <w:szCs w:val="24"/>
          <w:lang w:eastAsia="zh-CN"/>
        </w:rPr>
      </w:pPr>
      <w:bookmarkStart w:id="14" w:name="_Toc20587"/>
      <w:r>
        <w:rPr>
          <w:rFonts w:hint="eastAsia" w:ascii="宋体" w:hAnsi="宋体" w:eastAsia="宋体" w:cs="宋体"/>
          <w:sz w:val="24"/>
          <w:szCs w:val="24"/>
          <w:lang w:eastAsia="zh-CN"/>
        </w:rPr>
        <w:t>第三章 响应文件</w:t>
      </w:r>
      <w:bookmarkEnd w:id="14"/>
    </w:p>
    <w:p>
      <w:pPr>
        <w:pBdr>
          <w:top w:val="none" w:color="000000" w:sz="0" w:space="0"/>
          <w:left w:val="none" w:color="000000" w:sz="0" w:space="0"/>
          <w:bottom w:val="none" w:color="000000" w:sz="0" w:space="0"/>
          <w:right w:val="none" w:color="000000" w:sz="0" w:space="0"/>
        </w:pBdr>
        <w:adjustRightInd w:val="0"/>
        <w:snapToGrid w:val="0"/>
        <w:spacing w:before="240" w:after="240"/>
        <w:ind w:left="497"/>
        <w:jc w:val="center"/>
        <w:rPr>
          <w:rFonts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十二、提交响应文件要求</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（一）本项目通过“苏采云”系统进行电子采购，即供应商响应文件从政府采购客户端工具制作并通过“苏采云”系统提交。</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供应商应当通过“苏采云”系统提交数据电文形式的响应文件（即电子投标）。未进行线上响应文件提交并解密(因“苏采云”系统导致解密失败的除外)的供应商，响应无效。</w:t>
      </w:r>
    </w:p>
    <w:p>
      <w:pPr>
        <w:pBdr>
          <w:top w:val="none" w:color="000000" w:sz="0" w:space="0"/>
          <w:left w:val="none" w:color="000000" w:sz="0" w:space="0"/>
          <w:bottom w:val="none" w:color="000000" w:sz="0" w:space="0"/>
          <w:right w:val="none" w:color="000000" w:sz="0" w:space="0"/>
        </w:pBdr>
        <w:adjustRightInd w:val="0"/>
        <w:snapToGrid w:val="0"/>
        <w:spacing w:after="0" w:line="360" w:lineRule="auto"/>
        <w:ind w:firstLine="482"/>
        <w:rPr>
          <w:rFonts w:ascii="宋体" w:hAnsi="宋体" w:eastAsia="宋体" w:cs="宋体"/>
          <w:sz w:val="24"/>
          <w:szCs w:val="24"/>
          <w:lang w:eastAsia="zh-CN"/>
        </w:rPr>
      </w:pPr>
      <w:r>
        <w:rPr>
          <w:rFonts w:hint="eastAsia" w:ascii="宋体" w:hAnsi="宋体" w:eastAsia="宋体" w:cs="宋体"/>
          <w:sz w:val="24"/>
          <w:szCs w:val="24"/>
          <w:lang w:eastAsia="zh-CN"/>
        </w:rPr>
        <w:t>“CA数字证书”的获取：供应商需办理CA锁，“苏采云”系统目前仅支持“苏采云”系统下的政务CA，省内各地区办理的“苏采云”系统下的政务CA全省通用。“CA数字证书”的办理材料详见“徐州政府采购网-业务工作-快速服务-下载专区”中《意源CA办理相关资料》-“附件5.供应商CA数字证书及电子签章申请表.doc”，填写好申请表后将申请表提交至徐州市云龙区新安路5号政务服务中心2楼F02窗口（原国信CA需一并带上），办理咨询电话：17558802078。</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使用需要第三方认证的电子签名、数据电文，通过互联网方式提交首次响应文件。即：使用“电子签名认证证书（CA数字证书）”登录“苏采云”系统（网址：</w:t>
      </w:r>
      <w:r>
        <w:fldChar w:fldCharType="begin"/>
      </w:r>
      <w:r>
        <w:instrText xml:space="preserve"> HYPERLINK "http://jszfcg.jsczt.cn/" \o "http://jszfcg.jsczt.cn/" </w:instrText>
      </w:r>
      <w:r>
        <w:fldChar w:fldCharType="separate"/>
      </w:r>
      <w:r>
        <w:rPr>
          <w:rStyle w:val="51"/>
          <w:rFonts w:hint="eastAsia" w:ascii="宋体" w:hAnsi="宋体" w:eastAsia="宋体" w:cs="宋体"/>
          <w:color w:val="auto"/>
          <w:sz w:val="24"/>
          <w:szCs w:val="24"/>
          <w:lang w:eastAsia="zh-CN"/>
        </w:rPr>
        <w:t>http://jszfcg.jsczt.cn/</w:t>
      </w:r>
      <w:r>
        <w:rPr>
          <w:rStyle w:val="51"/>
          <w:rFonts w:hint="eastAsia" w:ascii="宋体" w:hAnsi="宋体" w:eastAsia="宋体" w:cs="宋体"/>
          <w:color w:val="auto"/>
          <w:sz w:val="24"/>
          <w:szCs w:val="24"/>
          <w:lang w:eastAsia="zh-CN"/>
        </w:rPr>
        <w:fldChar w:fldCharType="end"/>
      </w:r>
      <w:r>
        <w:rPr>
          <w:rFonts w:hint="eastAsia" w:ascii="宋体" w:hAnsi="宋体" w:eastAsia="宋体" w:cs="宋体"/>
          <w:sz w:val="24"/>
          <w:szCs w:val="24"/>
          <w:lang w:eastAsia="zh-CN"/>
        </w:rPr>
        <w:t>；或进入徐州政府采购网（网址：http://czj.xz.gov.cn/Home/HomeIndex）--业务工作--用户登录，点击“苏采云”进入系统），按照要求通过互联网方式提交首次响应文件。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b/>
          <w:sz w:val="24"/>
          <w:szCs w:val="24"/>
          <w:lang w:eastAsia="zh-CN"/>
        </w:rPr>
        <w:t>“苏采云”系统使用要求：</w:t>
      </w:r>
    </w:p>
    <w:p>
      <w:pPr>
        <w:numPr>
          <w:ilvl w:val="0"/>
          <w:numId w:val="1"/>
        </w:numPr>
        <w:pBdr>
          <w:top w:val="none" w:color="000000" w:sz="0" w:space="0"/>
          <w:left w:val="none" w:color="000000" w:sz="0" w:space="0"/>
          <w:bottom w:val="none" w:color="000000" w:sz="0" w:space="0"/>
          <w:right w:val="none" w:color="000000" w:sz="0" w:space="0"/>
        </w:pBdr>
        <w:adjustRightInd w:val="0"/>
        <w:snapToGrid w:val="0"/>
        <w:spacing w:before="240" w:after="240"/>
        <w:rPr>
          <w:rFonts w:ascii="宋体" w:hAnsi="宋体" w:eastAsia="宋体" w:cs="宋体"/>
          <w:sz w:val="24"/>
          <w:szCs w:val="24"/>
          <w:lang w:eastAsia="zh-CN"/>
        </w:rPr>
      </w:pPr>
      <w:r>
        <w:rPr>
          <w:rFonts w:hint="eastAsia" w:ascii="宋体" w:hAnsi="宋体" w:eastAsia="宋体" w:cs="宋体"/>
          <w:b/>
          <w:sz w:val="24"/>
          <w:szCs w:val="24"/>
          <w:lang w:eastAsia="zh-CN"/>
        </w:rPr>
        <w:t>使用谷歌浏览器参与不见面开标及磋商环节。</w:t>
      </w:r>
    </w:p>
    <w:p>
      <w:pPr>
        <w:numPr>
          <w:ilvl w:val="0"/>
          <w:numId w:val="1"/>
        </w:numPr>
        <w:pBdr>
          <w:top w:val="none" w:color="000000" w:sz="0" w:space="0"/>
          <w:left w:val="none" w:color="000000" w:sz="0" w:space="0"/>
          <w:bottom w:val="none" w:color="000000" w:sz="0" w:space="0"/>
          <w:right w:val="none" w:color="000000" w:sz="0" w:space="0"/>
        </w:pBdr>
        <w:adjustRightInd w:val="0"/>
        <w:snapToGrid w:val="0"/>
        <w:spacing w:before="240" w:after="240"/>
        <w:rPr>
          <w:rFonts w:ascii="宋体" w:hAnsi="宋体" w:eastAsia="宋体" w:cs="宋体"/>
          <w:sz w:val="24"/>
          <w:szCs w:val="24"/>
          <w:lang w:eastAsia="zh-CN"/>
        </w:rPr>
      </w:pPr>
      <w:r>
        <w:rPr>
          <w:rFonts w:hint="eastAsia" w:ascii="宋体" w:hAnsi="宋体" w:eastAsia="宋体" w:cs="宋体"/>
          <w:b/>
          <w:sz w:val="24"/>
          <w:szCs w:val="24"/>
          <w:lang w:eastAsia="zh-CN"/>
        </w:rPr>
        <w:t>电脑需提前准备好麦克风、音响、摄像头，提前检查保证能够正常使用。</w:t>
      </w:r>
    </w:p>
    <w:p>
      <w:pPr>
        <w:numPr>
          <w:ilvl w:val="0"/>
          <w:numId w:val="1"/>
        </w:numPr>
        <w:pBdr>
          <w:top w:val="none" w:color="000000" w:sz="0" w:space="0"/>
          <w:left w:val="none" w:color="000000" w:sz="0" w:space="0"/>
          <w:bottom w:val="none" w:color="000000" w:sz="0" w:space="0"/>
          <w:right w:val="none" w:color="000000" w:sz="0" w:space="0"/>
        </w:pBdr>
        <w:adjustRightInd w:val="0"/>
        <w:snapToGrid w:val="0"/>
        <w:spacing w:before="240" w:after="240"/>
        <w:rPr>
          <w:rFonts w:ascii="宋体" w:hAnsi="宋体" w:eastAsia="宋体" w:cs="宋体"/>
          <w:sz w:val="24"/>
          <w:szCs w:val="24"/>
          <w:lang w:eastAsia="zh-CN"/>
        </w:rPr>
      </w:pPr>
      <w:r>
        <w:rPr>
          <w:rFonts w:hint="eastAsia" w:ascii="宋体" w:hAnsi="宋体" w:eastAsia="宋体" w:cs="宋体"/>
          <w:b/>
          <w:sz w:val="24"/>
          <w:szCs w:val="24"/>
          <w:lang w:eastAsia="zh-CN"/>
        </w:rPr>
        <w:t>操作系统至少win7以上，建议使用win10操作系统。</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（二）首次响应文件提交的截止时间：2024年01月05日上午09:30，在截止时间后提交的首次响应文件为无效文件，将被拒收。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（三）首次响应文件提交时间、地点：</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1.提交时间</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highlight w:val="yellow"/>
          <w:lang w:eastAsia="zh-CN"/>
        </w:rPr>
      </w:pPr>
      <w:r>
        <w:rPr>
          <w:rFonts w:hint="eastAsia" w:ascii="宋体" w:hAnsi="宋体" w:eastAsia="宋体" w:cs="宋体"/>
          <w:sz w:val="24"/>
          <w:szCs w:val="24"/>
          <w:lang w:eastAsia="zh-CN"/>
        </w:rPr>
        <w:t>首次响应文件提交的截止时间（2024年01月05日09:30）前。</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rPr>
      </w:pPr>
      <w:r>
        <w:rPr>
          <w:rFonts w:hint="eastAsia" w:ascii="宋体" w:hAnsi="宋体" w:eastAsia="宋体" w:cs="宋体"/>
          <w:sz w:val="24"/>
          <w:szCs w:val="24"/>
        </w:rPr>
        <w:t>2.提交地点：</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rPr>
      </w:pPr>
      <w:r>
        <w:rPr>
          <w:rFonts w:hint="eastAsia" w:ascii="宋体" w:hAnsi="宋体" w:eastAsia="宋体" w:cs="宋体"/>
          <w:sz w:val="24"/>
          <w:szCs w:val="24"/>
        </w:rPr>
        <w:t xml:space="preserve">“苏采云”系统（网址：http://jszfcg.jsczt.cn/）“开标大厅”或进入徐州政府采购网（网址：http://czj.xz.gov.cn/Home/HomeIndex）-业务工作-用户登录，点击“苏采云”进入系统“开标大厅”。 </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（四）首次响应文件开启时间：2024年01月05日上午09:30。</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（五）首次响应文件开启地点：</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rPr>
      </w:pPr>
      <w:r>
        <w:rPr>
          <w:rFonts w:hint="eastAsia" w:ascii="宋体" w:hAnsi="宋体" w:eastAsia="宋体" w:cs="宋体"/>
          <w:sz w:val="24"/>
          <w:szCs w:val="24"/>
        </w:rPr>
        <w:t>“苏采云”系统（网址：http://jszfcg.jsczt.cn/）“开标大厅”或进入徐州政府采购网（网址：http://czj.xz.gov.cn/Home/HomeIndex）-业务工作-用户登录，点击“苏采云”进入系统“开标大厅”。</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pPr>
        <w:pBdr>
          <w:top w:val="none" w:color="000000" w:sz="0" w:space="0"/>
          <w:left w:val="none" w:color="000000" w:sz="0" w:space="0"/>
          <w:bottom w:val="none" w:color="000000" w:sz="0" w:space="0"/>
          <w:right w:val="none" w:color="000000" w:sz="0" w:space="0"/>
        </w:pBdr>
        <w:shd w:val="clear" w:color="FFFFFF" w:fill="auto"/>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（七）不接受不按要求加盖公章（电子签章）的首次响应文件。电子签章相关要求见“苏采云”系统。</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（八）首次响应文件解密：到达开启时间，“苏采云”系统自动提取所有响应文件，供应商按采购文件规定方式按时在线解密。本项目采购文件规定的供应商按时在线解密方式：</w:t>
      </w:r>
      <w:r>
        <w:rPr>
          <w:rFonts w:hint="eastAsia" w:ascii="宋体" w:hAnsi="宋体" w:eastAsia="宋体" w:cs="宋体"/>
          <w:b/>
          <w:sz w:val="24"/>
          <w:szCs w:val="24"/>
          <w:lang w:eastAsia="zh-CN"/>
        </w:rPr>
        <w:t>开启时间后30分钟内</w:t>
      </w:r>
      <w:r>
        <w:rPr>
          <w:rFonts w:hint="eastAsia" w:ascii="宋体" w:hAnsi="宋体" w:eastAsia="宋体" w:cs="宋体"/>
          <w:sz w:val="24"/>
          <w:szCs w:val="24"/>
          <w:lang w:eastAsia="zh-CN"/>
        </w:rPr>
        <w:t>，通过“苏采云”系统（使用“CA数字证书”）解密。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rPr>
      </w:pPr>
      <w:r>
        <w:rPr>
          <w:rFonts w:hint="eastAsia" w:ascii="宋体" w:hAnsi="宋体" w:eastAsia="宋体" w:cs="宋体"/>
          <w:sz w:val="24"/>
          <w:szCs w:val="24"/>
        </w:rPr>
        <w:t>（九）采购文件（后缀名为“.kedt”）、供应商操作手册及政府采购客户端工具可通过“苏采云”系统（网址：</w:t>
      </w:r>
      <w:r>
        <w:fldChar w:fldCharType="begin"/>
      </w:r>
      <w:r>
        <w:instrText xml:space="preserve"> HYPERLINK "http://jszfcg.jsczt.cn/" \o "http://jszfcg.jsczt.cn/" </w:instrText>
      </w:r>
      <w:r>
        <w:fldChar w:fldCharType="separate"/>
      </w:r>
      <w:r>
        <w:rPr>
          <w:rStyle w:val="51"/>
          <w:rFonts w:hint="eastAsia" w:ascii="宋体" w:hAnsi="宋体" w:eastAsia="宋体" w:cs="宋体"/>
          <w:color w:val="auto"/>
          <w:sz w:val="24"/>
          <w:szCs w:val="24"/>
        </w:rPr>
        <w:t>http://jszfcg.jsczt.cn/</w:t>
      </w:r>
      <w:r>
        <w:rPr>
          <w:rStyle w:val="51"/>
          <w:rFonts w:hint="eastAsia" w:ascii="宋体" w:hAnsi="宋体" w:eastAsia="宋体" w:cs="宋体"/>
          <w:color w:val="auto"/>
          <w:sz w:val="24"/>
          <w:szCs w:val="24"/>
        </w:rPr>
        <w:fldChar w:fldCharType="end"/>
      </w:r>
      <w:r>
        <w:rPr>
          <w:rFonts w:hint="eastAsia" w:ascii="宋体" w:hAnsi="宋体" w:eastAsia="宋体" w:cs="宋体"/>
          <w:sz w:val="24"/>
          <w:szCs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（十）相关说明: 供应商在“苏采云”系统中提交首次响应文件的时间即为数据电文（响应文件，下同）的发送时间和接收时间。</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十三、响应文件编制要求</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请按照以下要求（包括但不限于以下要求）制作：</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25"/>
        <w:rPr>
          <w:rFonts w:ascii="宋体" w:hAnsi="宋体" w:eastAsia="宋体" w:cs="宋体"/>
          <w:sz w:val="24"/>
          <w:szCs w:val="24"/>
          <w:lang w:eastAsia="zh-CN"/>
        </w:rPr>
      </w:pPr>
      <w:r>
        <w:rPr>
          <w:rFonts w:hint="eastAsia" w:ascii="宋体" w:hAnsi="宋体" w:eastAsia="宋体" w:cs="宋体"/>
          <w:sz w:val="24"/>
          <w:szCs w:val="24"/>
          <w:lang w:eastAsia="zh-CN"/>
        </w:rPr>
        <w:t>（一）基本目录</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1.《磋商报价表》（加盖电子签章，格式见《磋商文件》附件。政府采购客户端工具输入报价自动生成）；</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2.授权委托书（提供原件的扫描件，格式见《磋商文件》附件）；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3.授权委托书中受托人身份证原件的扫描件；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4.所报产品的环境标志产品认证证书原件的扫描件（如有）。</w:t>
      </w:r>
    </w:p>
    <w:p>
      <w:pPr>
        <w:pBdr>
          <w:top w:val="none" w:color="000000" w:sz="0" w:space="0"/>
          <w:left w:val="none" w:color="000000" w:sz="0" w:space="0"/>
          <w:bottom w:val="none" w:color="000000" w:sz="0" w:space="0"/>
          <w:right w:val="none" w:color="000000" w:sz="0" w:space="0"/>
        </w:pBdr>
        <w:adjustRightInd w:val="0"/>
        <w:snapToGrid w:val="0"/>
        <w:spacing w:before="240" w:after="240"/>
        <w:rPr>
          <w:rFonts w:ascii="宋体" w:hAnsi="宋体" w:eastAsia="宋体" w:cs="宋体"/>
          <w:sz w:val="24"/>
          <w:szCs w:val="24"/>
          <w:lang w:eastAsia="zh-CN"/>
        </w:rPr>
      </w:pPr>
      <w:r>
        <w:rPr>
          <w:rFonts w:hint="eastAsia" w:ascii="宋体" w:hAnsi="宋体" w:eastAsia="宋体" w:cs="宋体"/>
          <w:sz w:val="24"/>
          <w:szCs w:val="24"/>
          <w:lang w:eastAsia="zh-CN"/>
        </w:rPr>
        <w:t>注：</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（1）所报产品属于《环境标志产品政府采购品目清单》（由财政部 生态环境部印发）范围的，响应文件中提供（如有）所报产品的国家确定的认证机构出具的、处于有效期之内（即“首次响应文件开启时间”当天在有效期之内）的环境标志产品认证证书原件的扫描件。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240" w:firstLineChars="100"/>
        <w:rPr>
          <w:rFonts w:ascii="宋体" w:hAnsi="宋体" w:eastAsia="宋体" w:cs="宋体"/>
          <w:sz w:val="24"/>
          <w:szCs w:val="24"/>
        </w:rPr>
      </w:pPr>
      <w:r>
        <w:rPr>
          <w:rFonts w:hint="eastAsia" w:ascii="宋体" w:hAnsi="宋体" w:eastAsia="宋体" w:cs="宋体"/>
          <w:sz w:val="24"/>
          <w:szCs w:val="24"/>
        </w:rPr>
        <w:t>（2）环境标志产品认证证书是否符合要求，采购人评审时查询中国政府采购网（www.ccgp.gov.cn）相关内容后确定。</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5.所报产品的节能产品认证证书原件的扫描件（如有）。</w:t>
      </w:r>
    </w:p>
    <w:p>
      <w:pPr>
        <w:pBdr>
          <w:top w:val="none" w:color="000000" w:sz="0" w:space="0"/>
          <w:left w:val="none" w:color="000000" w:sz="0" w:space="0"/>
          <w:bottom w:val="none" w:color="000000" w:sz="0" w:space="0"/>
          <w:right w:val="none" w:color="000000" w:sz="0" w:space="0"/>
        </w:pBdr>
        <w:adjustRightInd w:val="0"/>
        <w:snapToGrid w:val="0"/>
        <w:spacing w:before="240" w:after="240"/>
        <w:rPr>
          <w:rFonts w:ascii="宋体" w:hAnsi="宋体" w:eastAsia="宋体" w:cs="宋体"/>
          <w:sz w:val="24"/>
          <w:szCs w:val="24"/>
          <w:lang w:eastAsia="zh-CN"/>
        </w:rPr>
      </w:pPr>
      <w:r>
        <w:rPr>
          <w:rFonts w:hint="eastAsia" w:ascii="宋体" w:hAnsi="宋体" w:eastAsia="宋体" w:cs="宋体"/>
          <w:sz w:val="24"/>
          <w:szCs w:val="24"/>
          <w:lang w:eastAsia="zh-CN"/>
        </w:rPr>
        <w:t>注：</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（1）所报产品属于《节能产品政府采购品目清单》（由财政部 发展改革委印发）范围的，响应文件中提供（如有）所报产品的国家确定的认证机构出具的、处于有效期之内（即“首次响应文件开启时间”当天在有效期之内）的节能产品认证证书原件的扫描件。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rPr>
      </w:pPr>
      <w:r>
        <w:rPr>
          <w:rFonts w:hint="eastAsia" w:ascii="宋体" w:hAnsi="宋体" w:eastAsia="宋体" w:cs="宋体"/>
          <w:sz w:val="24"/>
          <w:szCs w:val="24"/>
        </w:rPr>
        <w:t>（2）节能产品认证证书是否符合要求，采购人评审时查询中国政府采购网（www.ccgp.gov.cn）相关内容后确定。</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25"/>
        <w:rPr>
          <w:rFonts w:ascii="宋体" w:hAnsi="宋体" w:eastAsia="宋体" w:cs="宋体"/>
          <w:sz w:val="24"/>
          <w:szCs w:val="24"/>
          <w:lang w:eastAsia="zh-CN"/>
        </w:rPr>
      </w:pPr>
      <w:r>
        <w:rPr>
          <w:rFonts w:hint="eastAsia" w:ascii="宋体" w:hAnsi="宋体" w:eastAsia="宋体" w:cs="宋体"/>
          <w:sz w:val="24"/>
          <w:szCs w:val="24"/>
          <w:lang w:eastAsia="zh-CN"/>
        </w:rPr>
        <w:t>（二）资格条件（</w:t>
      </w:r>
      <w:r>
        <w:rPr>
          <w:rFonts w:hint="eastAsia" w:ascii="宋体" w:hAnsi="宋体" w:eastAsia="宋体" w:cs="宋体"/>
          <w:b/>
          <w:sz w:val="24"/>
          <w:szCs w:val="24"/>
          <w:lang w:eastAsia="zh-CN"/>
        </w:rPr>
        <w:t>1～7项必须提供，否则响应无效</w:t>
      </w:r>
      <w:r>
        <w:rPr>
          <w:rFonts w:hint="eastAsia" w:ascii="宋体" w:hAnsi="宋体" w:eastAsia="宋体" w:cs="宋体"/>
          <w:sz w:val="24"/>
          <w:szCs w:val="24"/>
          <w:lang w:eastAsia="zh-CN"/>
        </w:rPr>
        <w:t>）</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1.供应商合法有效的法人或者其他组织的营业执照等证明文件，自然人的身份证明。以上证明文件提供原件的扫描件。</w:t>
      </w:r>
    </w:p>
    <w:p>
      <w:pPr>
        <w:pBdr>
          <w:top w:val="none" w:color="000000" w:sz="0" w:space="0"/>
          <w:left w:val="none" w:color="000000" w:sz="0" w:space="0"/>
          <w:bottom w:val="none" w:color="000000" w:sz="0" w:space="0"/>
          <w:right w:val="none" w:color="000000" w:sz="0" w:space="0"/>
        </w:pBdr>
        <w:adjustRightInd w:val="0"/>
        <w:snapToGrid w:val="0"/>
        <w:spacing w:before="240" w:after="240"/>
        <w:ind w:right="26" w:firstLine="480"/>
        <w:rPr>
          <w:rFonts w:ascii="宋体" w:hAnsi="宋体" w:eastAsia="宋体" w:cs="宋体"/>
          <w:sz w:val="24"/>
          <w:szCs w:val="24"/>
          <w:lang w:eastAsia="zh-CN"/>
        </w:rPr>
      </w:pPr>
      <w:r>
        <w:rPr>
          <w:rFonts w:hint="eastAsia" w:ascii="宋体" w:hAnsi="宋体" w:eastAsia="宋体" w:cs="宋体"/>
          <w:sz w:val="24"/>
          <w:szCs w:val="24"/>
          <w:lang w:eastAsia="zh-CN"/>
        </w:rPr>
        <w:t>2.财务状况报告，至少提供：</w:t>
      </w:r>
    </w:p>
    <w:p>
      <w:pPr>
        <w:pBdr>
          <w:top w:val="none" w:color="000000" w:sz="0" w:space="0"/>
          <w:left w:val="none" w:color="000000" w:sz="0" w:space="0"/>
          <w:bottom w:val="none" w:color="000000" w:sz="0" w:space="0"/>
          <w:right w:val="none" w:color="000000" w:sz="0" w:space="0"/>
        </w:pBdr>
        <w:adjustRightInd w:val="0"/>
        <w:snapToGrid w:val="0"/>
        <w:spacing w:before="240" w:after="240"/>
        <w:ind w:right="26" w:firstLine="480"/>
        <w:rPr>
          <w:rFonts w:ascii="宋体" w:hAnsi="宋体" w:eastAsia="宋体" w:cs="宋体"/>
          <w:sz w:val="24"/>
          <w:szCs w:val="24"/>
          <w:lang w:eastAsia="zh-CN"/>
        </w:rPr>
      </w:pPr>
      <w:r>
        <w:rPr>
          <w:rFonts w:hint="eastAsia" w:ascii="宋体" w:hAnsi="宋体" w:eastAsia="宋体" w:cs="宋体"/>
          <w:sz w:val="24"/>
          <w:szCs w:val="24"/>
          <w:lang w:eastAsia="zh-CN"/>
        </w:rPr>
        <w:t>（1）供应商的“首次响应文件提交的截止时间”前6个月内任何月份（不含“首次响应文件提交的截止时间”当月）的资产负债表扫描件1份；</w:t>
      </w:r>
    </w:p>
    <w:p>
      <w:pPr>
        <w:pBdr>
          <w:top w:val="none" w:color="000000" w:sz="0" w:space="0"/>
          <w:left w:val="none" w:color="000000" w:sz="0" w:space="0"/>
          <w:bottom w:val="none" w:color="000000" w:sz="0" w:space="0"/>
          <w:right w:val="none" w:color="000000" w:sz="0" w:space="0"/>
        </w:pBdr>
        <w:adjustRightInd w:val="0"/>
        <w:snapToGrid w:val="0"/>
        <w:spacing w:before="240" w:after="240"/>
        <w:ind w:right="26" w:firstLine="480"/>
        <w:rPr>
          <w:rFonts w:ascii="宋体" w:hAnsi="宋体" w:eastAsia="宋体" w:cs="宋体"/>
          <w:sz w:val="24"/>
          <w:szCs w:val="24"/>
          <w:lang w:eastAsia="zh-CN"/>
        </w:rPr>
      </w:pPr>
      <w:r>
        <w:rPr>
          <w:rFonts w:hint="eastAsia" w:ascii="宋体" w:hAnsi="宋体" w:eastAsia="宋体" w:cs="宋体"/>
          <w:sz w:val="24"/>
          <w:szCs w:val="24"/>
          <w:lang w:eastAsia="zh-CN"/>
        </w:rPr>
        <w:t>（2）供应商的“首次响应文件提交的截止时间”前6个月内任何月份（不含“首次响应文件提交的截止时间”当月）的利润表月报表的扫描件1份。</w:t>
      </w:r>
    </w:p>
    <w:p>
      <w:pPr>
        <w:pBdr>
          <w:top w:val="none" w:color="000000" w:sz="0" w:space="0"/>
          <w:left w:val="none" w:color="000000" w:sz="0" w:space="0"/>
          <w:bottom w:val="none" w:color="000000" w:sz="0" w:space="0"/>
          <w:right w:val="none" w:color="000000" w:sz="0" w:space="0"/>
        </w:pBdr>
        <w:adjustRightInd w:val="0"/>
        <w:snapToGrid w:val="0"/>
        <w:spacing w:before="240" w:after="240"/>
        <w:ind w:right="26" w:firstLine="480"/>
        <w:rPr>
          <w:rFonts w:ascii="宋体" w:hAnsi="宋体" w:eastAsia="宋体" w:cs="宋体"/>
          <w:sz w:val="24"/>
          <w:szCs w:val="24"/>
          <w:lang w:eastAsia="zh-CN"/>
        </w:rPr>
      </w:pPr>
      <w:r>
        <w:rPr>
          <w:rFonts w:hint="eastAsia" w:ascii="宋体" w:hAnsi="宋体" w:eastAsia="宋体" w:cs="宋体"/>
          <w:sz w:val="24"/>
          <w:szCs w:val="24"/>
          <w:lang w:eastAsia="zh-CN"/>
        </w:rPr>
        <w:t>3.供应商的“首次响应文件提交的截止时间”前6个月内任何月份（不含“首次响应文件提交的截止时间”当月）的依法缴纳税收和社会保障资金的相关材料的扫描件1份。</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b/>
          <w:sz w:val="24"/>
          <w:szCs w:val="24"/>
          <w:lang w:eastAsia="zh-CN"/>
        </w:rPr>
      </w:pPr>
      <w:r>
        <w:rPr>
          <w:rFonts w:hint="eastAsia" w:ascii="宋体" w:hAnsi="宋体" w:eastAsia="宋体" w:cs="宋体"/>
          <w:sz w:val="24"/>
          <w:szCs w:val="24"/>
          <w:lang w:eastAsia="zh-CN"/>
        </w:rPr>
        <w:t>4.</w:t>
      </w:r>
      <w:r>
        <w:rPr>
          <w:rFonts w:hint="eastAsia" w:ascii="宋体" w:hAnsi="宋体" w:eastAsia="宋体" w:cs="宋体"/>
          <w:bCs/>
          <w:sz w:val="24"/>
          <w:szCs w:val="24"/>
          <w:lang w:eastAsia="zh-CN"/>
        </w:rPr>
        <w:t xml:space="preserve"> </w:t>
      </w:r>
      <w:r>
        <w:rPr>
          <w:rFonts w:hint="eastAsia" w:ascii="宋体" w:hAnsi="宋体" w:eastAsia="宋体" w:cs="宋体"/>
          <w:sz w:val="24"/>
          <w:szCs w:val="24"/>
          <w:lang w:eastAsia="zh-CN"/>
        </w:rPr>
        <w:t>具备履行合同所必需的设备和专业技术能力的证明材料：响应文件中提供《</w:t>
      </w:r>
      <w:bookmarkStart w:id="15" w:name="_Toc515551102"/>
      <w:r>
        <w:rPr>
          <w:rFonts w:hint="eastAsia" w:ascii="宋体" w:hAnsi="宋体" w:eastAsia="宋体" w:cs="宋体"/>
          <w:sz w:val="24"/>
          <w:szCs w:val="24"/>
          <w:lang w:eastAsia="zh-CN"/>
        </w:rPr>
        <w:t>具备履行合同所必需的设备和专业技术能力的书面声明</w:t>
      </w:r>
      <w:bookmarkEnd w:id="15"/>
      <w:r>
        <w:rPr>
          <w:rFonts w:hint="eastAsia" w:ascii="宋体" w:hAnsi="宋体" w:eastAsia="宋体" w:cs="宋体"/>
          <w:sz w:val="24"/>
          <w:szCs w:val="24"/>
          <w:lang w:eastAsia="zh-CN"/>
        </w:rPr>
        <w:t>（附证明材料原件扫描件）》，加盖公章，格式见《磋商文件》附件）。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5.供应商参加政府采购活动前3年内在经营活动中没有重大违法记录的书面声明（加盖电子签章，格式见《磋商文件》附件）；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6.供应商为中小企业（含中型、小型、微型企业，下同）的，提供《中小企业声明函》原件（电子签章，填写完整。格式见《磋商文件》附件）。《中小企业声明函》查询渠道参考工业和信息化部发布的中小企业规模自测小程序。</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注：中小微企业，应当同时符合以下条件：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供应商为残疾人福利性单位的，视同小微企业，提供《残疾人福利性单位声明函》（电子签章，格式见附件》）。具体以《关于促进残疾人就业政府采购政策的通知》（财库〔2017〕141号）的规定为准。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供应商为监狱企业的，视同小微企业，提供省级以上监狱管理局、戒毒管理局（含新疆生产建设兵团）出具的属于监狱企业的证明文件扫描件。具体以《财政部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7.供应商信用信息（要求见“十四、磋商相关说明”中“(三) 查询及使用供应商信用记录”内容）。</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25"/>
        <w:rPr>
          <w:rFonts w:ascii="宋体" w:hAnsi="宋体" w:eastAsia="宋体" w:cs="宋体"/>
          <w:sz w:val="24"/>
          <w:szCs w:val="24"/>
          <w:lang w:eastAsia="zh-CN"/>
        </w:rPr>
      </w:pPr>
      <w:r>
        <w:rPr>
          <w:rFonts w:hint="eastAsia" w:ascii="宋体" w:hAnsi="宋体" w:eastAsia="宋体" w:cs="宋体"/>
          <w:sz w:val="24"/>
          <w:szCs w:val="24"/>
          <w:lang w:eastAsia="zh-CN"/>
        </w:rPr>
        <w:t>（三）符合条件（</w:t>
      </w:r>
      <w:r>
        <w:rPr>
          <w:rFonts w:hint="eastAsia" w:ascii="宋体" w:hAnsi="宋体" w:eastAsia="宋体" w:cs="宋体"/>
          <w:b/>
          <w:sz w:val="24"/>
          <w:szCs w:val="24"/>
          <w:lang w:eastAsia="zh-CN"/>
        </w:rPr>
        <w:t>必须提供，否则响应无效</w:t>
      </w:r>
      <w:r>
        <w:rPr>
          <w:rFonts w:hint="eastAsia" w:ascii="宋体" w:hAnsi="宋体" w:eastAsia="宋体" w:cs="宋体"/>
          <w:sz w:val="24"/>
          <w:szCs w:val="24"/>
          <w:lang w:eastAsia="zh-CN"/>
        </w:rPr>
        <w:t>）</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1.《磋商报价表》（加盖电子签章，格式见《磋商文件》附件）；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2.《授权委托书》（加盖公章，格式见《磋商文件》附件）；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3.《分项价格表》（加盖电子签章，格式见《磋商文件》附件）；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4.《承诺书》（加盖电子签章，格式见《磋商文件》附件）；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5.《偏离表》（加盖电子签章，格式见《磋商文件》附件）；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（四）综合评审评分项</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1.技术部分</w:t>
      </w:r>
    </w:p>
    <w:p>
      <w:pPr>
        <w:adjustRightInd w:val="0"/>
        <w:snapToGrid w:val="0"/>
        <w:ind w:firstLine="300"/>
        <w:rPr>
          <w:rFonts w:ascii="宋体" w:hAnsi="宋体" w:eastAsia="宋体" w:cs="宋体"/>
          <w:sz w:val="24"/>
          <w:szCs w:val="24"/>
          <w:lang w:eastAsia="zh-CN"/>
        </w:rPr>
      </w:pPr>
      <w:r>
        <w:rPr>
          <w:rFonts w:hint="eastAsia" w:ascii="宋体" w:hAnsi="宋体" w:eastAsia="宋体" w:cs="宋体"/>
          <w:sz w:val="24"/>
          <w:szCs w:val="24"/>
          <w:lang w:eastAsia="zh-CN"/>
        </w:rPr>
        <w:t>（1）总体方案（要求见《磋商文件》附件：1.《评分细则》）；</w:t>
      </w:r>
    </w:p>
    <w:p>
      <w:pPr>
        <w:adjustRightInd w:val="0"/>
        <w:snapToGrid w:val="0"/>
        <w:ind w:firstLine="300"/>
        <w:rPr>
          <w:rFonts w:ascii="宋体" w:hAnsi="宋体" w:eastAsia="宋体" w:cs="宋体"/>
          <w:sz w:val="24"/>
          <w:szCs w:val="24"/>
          <w:lang w:eastAsia="zh-CN"/>
        </w:rPr>
      </w:pPr>
      <w:r>
        <w:rPr>
          <w:rFonts w:hint="eastAsia" w:ascii="宋体" w:hAnsi="宋体" w:eastAsia="宋体" w:cs="宋体"/>
          <w:sz w:val="24"/>
          <w:szCs w:val="24"/>
          <w:lang w:eastAsia="zh-CN"/>
        </w:rPr>
        <w:t>（2）运输服务台账管理方案（要求见《磋商文件》附件：1.《评分细则》）；</w:t>
      </w:r>
    </w:p>
    <w:p>
      <w:pPr>
        <w:adjustRightInd w:val="0"/>
        <w:snapToGrid w:val="0"/>
        <w:ind w:firstLine="300"/>
        <w:rPr>
          <w:rFonts w:ascii="宋体" w:hAnsi="宋体" w:eastAsia="宋体" w:cs="宋体"/>
          <w:sz w:val="24"/>
          <w:szCs w:val="24"/>
          <w:lang w:eastAsia="zh-CN"/>
        </w:rPr>
      </w:pPr>
      <w:r>
        <w:rPr>
          <w:rFonts w:hint="eastAsia" w:ascii="宋体" w:hAnsi="宋体" w:eastAsia="宋体" w:cs="宋体"/>
          <w:sz w:val="24"/>
          <w:szCs w:val="24"/>
          <w:lang w:eastAsia="zh-CN"/>
        </w:rPr>
        <w:t>（3）服务承诺（要求见《磋商文件》附件：1.《评分细则》）；</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 xml:space="preserve">  2.商务部分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（1）供应商综合实力（要求见《磋商文件》附件：1.《评分细则》）</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（五）其他部分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1.价格折扣文件格式（如有）</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注：</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1.供应商应对以上文件的合法性、真实性负责。</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2.签订合同前，中标人必须向采购人提交其响应文件中所有扫描件的原件，采购人核查无误后，签订合同。如中标人不能在采购人规定的时间内向采购人提供原件，将被采购人视为放弃中标资格。</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360"/>
        <w:rPr>
          <w:rFonts w:ascii="宋体" w:hAnsi="宋体" w:eastAsia="宋体" w:cs="宋体"/>
          <w:sz w:val="24"/>
          <w:szCs w:val="24"/>
          <w:lang w:eastAsia="zh-CN"/>
        </w:rPr>
      </w:pPr>
      <w:r>
        <w:rPr>
          <w:rFonts w:hint="eastAsia" w:ascii="宋体" w:hAnsi="宋体" w:eastAsia="宋体" w:cs="宋体"/>
          <w:sz w:val="24"/>
          <w:szCs w:val="24"/>
          <w:lang w:eastAsia="zh-CN"/>
        </w:rPr>
        <w:t>（六）提交的首次响应文件的密封、签署、盖章要求：</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1.密封（加密）要求：</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供应商应当按照《磋商文件》和“苏采云”系统的要求编制并加密响应文件。本项目供应商须通过“苏采云”系统提供的政府采购客户端工具（使用“CA数字证书”）对其数据电文形式的响应文件加密。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2.签署要求：见《磋商文件》第九章附件中相关格式要求</w:t>
      </w:r>
      <w:r>
        <w:rPr>
          <w:rFonts w:hint="eastAsia" w:ascii="宋体" w:hAnsi="宋体" w:eastAsia="宋体" w:cs="宋体"/>
          <w:b/>
          <w:sz w:val="24"/>
          <w:szCs w:val="24"/>
          <w:lang w:eastAsia="zh-CN"/>
        </w:rPr>
        <w:t>（竞争性磋商文件中如需“授权代表签字或盖章”，供应商可打印成文档。签字或盖章后再扫描上传，最后再电子签章）</w:t>
      </w:r>
      <w:r>
        <w:rPr>
          <w:rFonts w:hint="eastAsia" w:ascii="宋体" w:hAnsi="宋体" w:eastAsia="宋体" w:cs="宋体"/>
          <w:sz w:val="24"/>
          <w:szCs w:val="24"/>
          <w:lang w:eastAsia="zh-CN"/>
        </w:rPr>
        <w:t>。</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3.盖章要求：见《磋商文件》第九章附件中相关格式要求。供应商须通过“苏采云”系统提供的政府采购客户端工具（使用“CA数字证书”）加盖电子签章。</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97"/>
        <w:rPr>
          <w:rFonts w:ascii="宋体" w:hAnsi="宋体" w:eastAsia="宋体" w:cs="宋体"/>
          <w:sz w:val="24"/>
          <w:szCs w:val="24"/>
          <w:lang w:eastAsia="zh-CN"/>
        </w:rPr>
      </w:pPr>
      <w:r>
        <w:rPr>
          <w:rFonts w:hint="eastAsia" w:ascii="宋体" w:hAnsi="宋体" w:eastAsia="宋体" w:cs="宋体"/>
          <w:sz w:val="24"/>
          <w:szCs w:val="24"/>
          <w:lang w:eastAsia="zh-CN"/>
        </w:rPr>
        <w:t xml:space="preserve">（七）通过“苏采云”系统提交政府采购客户端工具导出加密的响应文件（后缀名为zip）。响应文件不得超过150M！ </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97"/>
        <w:rPr>
          <w:rFonts w:ascii="宋体" w:hAnsi="宋体" w:eastAsia="宋体" w:cs="宋体"/>
          <w:sz w:val="24"/>
          <w:szCs w:val="24"/>
          <w:lang w:eastAsia="zh-CN"/>
        </w:rPr>
      </w:pPr>
      <w:r>
        <w:rPr>
          <w:rFonts w:hint="eastAsia" w:ascii="宋体" w:hAnsi="宋体" w:eastAsia="宋体" w:cs="宋体"/>
          <w:sz w:val="24"/>
          <w:szCs w:val="24"/>
          <w:lang w:eastAsia="zh-CN"/>
        </w:rPr>
        <w:t>注：</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97"/>
        <w:rPr>
          <w:rFonts w:ascii="宋体" w:hAnsi="宋体" w:eastAsia="宋体" w:cs="宋体"/>
          <w:sz w:val="24"/>
          <w:szCs w:val="24"/>
          <w:lang w:eastAsia="zh-CN"/>
        </w:rPr>
      </w:pPr>
      <w:r>
        <w:rPr>
          <w:rFonts w:hint="eastAsia" w:ascii="宋体" w:hAnsi="宋体" w:eastAsia="宋体" w:cs="宋体"/>
          <w:sz w:val="24"/>
          <w:szCs w:val="24"/>
          <w:lang w:eastAsia="zh-CN"/>
        </w:rPr>
        <w:t>1.供应商应当按照《磋商文件》的要求编制响应文件，并对其提交的响应文件的真实性、合法性承担法律责任。</w:t>
      </w:r>
    </w:p>
    <w:p>
      <w:pPr>
        <w:adjustRightInd w:val="0"/>
        <w:snapToGrid w:val="0"/>
        <w:rPr>
          <w:rFonts w:ascii="宋体" w:hAnsi="宋体" w:eastAsia="宋体" w:cs="宋体"/>
          <w:sz w:val="24"/>
          <w:szCs w:val="24"/>
          <w:lang w:eastAsia="zh-CN"/>
        </w:rPr>
      </w:pPr>
      <w:r>
        <w:rPr>
          <w:rFonts w:hint="eastAsia" w:ascii="宋体" w:hAnsi="宋体" w:eastAsia="宋体" w:cs="宋体"/>
          <w:sz w:val="24"/>
          <w:szCs w:val="24"/>
          <w:lang w:eastAsia="zh-CN"/>
        </w:rPr>
        <w:br w:type="page"/>
      </w:r>
    </w:p>
    <w:p>
      <w:pPr>
        <w:pBdr>
          <w:top w:val="none" w:color="000000" w:sz="0" w:space="0"/>
          <w:left w:val="none" w:color="000000" w:sz="0" w:space="0"/>
          <w:bottom w:val="none" w:color="000000" w:sz="0" w:space="0"/>
          <w:right w:val="none" w:color="000000" w:sz="0" w:space="0"/>
        </w:pBdr>
        <w:adjustRightInd w:val="0"/>
        <w:snapToGrid w:val="0"/>
        <w:spacing w:before="240" w:after="240"/>
        <w:ind w:firstLine="478"/>
        <w:jc w:val="center"/>
        <w:outlineLvl w:val="0"/>
        <w:rPr>
          <w:rFonts w:ascii="宋体" w:hAnsi="宋体" w:eastAsia="宋体" w:cs="宋体"/>
          <w:sz w:val="24"/>
          <w:szCs w:val="24"/>
          <w:lang w:eastAsia="zh-CN"/>
        </w:rPr>
      </w:pPr>
      <w:bookmarkStart w:id="16" w:name="_Toc8255"/>
      <w:r>
        <w:rPr>
          <w:rFonts w:hint="eastAsia" w:ascii="宋体" w:hAnsi="宋体" w:eastAsia="宋体" w:cs="宋体"/>
          <w:sz w:val="24"/>
          <w:szCs w:val="24"/>
          <w:lang w:eastAsia="zh-CN"/>
        </w:rPr>
        <w:t>第四章 磋商相关说明</w:t>
      </w:r>
      <w:bookmarkEnd w:id="16"/>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十四、磋商相关说明</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(一)磋商要求</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1.被邀请参与磋商的供应商需按本竞争性磋商文件要求的截止时间、方式（地点）提交首次响应文件，同时由法定代表人或法定代表人授权代表通过“苏采云”系统（开标大厅）等待磋商。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2.供应商可通过CA数字证书，在首次响应文件开启时间后，使用CA数字证书在规定时间内解密各自响应文件。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b/>
          <w:sz w:val="24"/>
          <w:szCs w:val="24"/>
          <w:lang w:eastAsia="zh-CN"/>
        </w:rPr>
        <w:t>3.供应商的授权代表或法定代表人须全程守候在“苏采云”系统开标大厅，并确保视频设备正常使用。授权代表或法定代表人须携带授权委托书原件及身份证原件，经磋商小组核查后参与磋商活动。</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4.磋商顺序按照电子标书解密先后时间进行，解密时间相同的，不分先后顺序。</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5.磋商方式：本次磋商采用“苏采云”系统中的视频会议，供应商自行选择任意地点参加远程磋商会议。请供应商在磋商前等候在开标大厅，随时接听磋商小组发出的磋商视频邀请</w:t>
      </w:r>
      <w:r>
        <w:rPr>
          <w:rFonts w:hint="eastAsia" w:ascii="宋体" w:hAnsi="宋体" w:eastAsia="宋体" w:cs="宋体"/>
          <w:b/>
          <w:sz w:val="24"/>
          <w:szCs w:val="24"/>
          <w:lang w:eastAsia="zh-CN"/>
        </w:rPr>
        <w:t>（所有邀请等待时间2分钟，2分钟内所邀请供应商无响应，视同放弃磋商的权利，由解密顺序下一家进行磋商，不再后补）</w:t>
      </w:r>
      <w:r>
        <w:rPr>
          <w:rFonts w:hint="eastAsia" w:ascii="宋体" w:hAnsi="宋体" w:eastAsia="宋体" w:cs="宋体"/>
          <w:sz w:val="24"/>
          <w:szCs w:val="24"/>
          <w:lang w:eastAsia="zh-CN"/>
        </w:rPr>
        <w:t>：</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6.未在规定时间内进行答疑澄清的，视同放弃澄清。</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7.未在规定时间内进行报价的，视为响应无效。</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8.被邀请参与磋商的供应商如未按上述磋商要求执行，视同放弃磋商的权利。</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（二）评审程序</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经磋商确定最终采购需求和提交最后报价的供应商后，由磋商小组采用综合评分法对提交最后报价的供应商的响应文件和最后报价进行综合评分。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磋商小组应当根据综合评分情况，按照评审得分由高到低顺序推荐成交候选供应商，并编写评审报告。评审得分相同的，按照最后报价由低到高的顺序推荐。评审得分且最后报价相同的，按照商务部分优劣顺序推荐；评审得分相同且商务部分得分相同的，按技术部分优劣推荐：</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提供所报产品的节能产品认证证书扫描件（不包括强制采购要求（如有），要求见《磋商文件》附件：2.项目要求（采购需求），下同）的；或所报产品的环境标志产品认证证书扫描件的，被推荐为成交候选供应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2.都符合第1种情况的，提供所报产品的节能产品认证证书扫描件和所报产品的环境标志产品认证证书扫描件的，被推荐为成交候选供应商。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3.都符合第2种情况的，提供所报产品的节能产品认证证书扫描件和所报产品的环境标志产品认证证书扫描件份数最多的，被推荐为成交候选供应商。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说明：节能产品认证证书、环境标志产品认证证书要求：见《磋商文件》中“十三、响应文件编制要求”。</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相关内容和要求见：《中华人民共和国政府采购法》、《中华人民共和国政府采购法实施条例》及《政府采购竞争性磋商采购方式管理暂行办法》</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240"/>
        <w:rPr>
          <w:rFonts w:ascii="宋体" w:hAnsi="宋体" w:eastAsia="宋体" w:cs="宋体"/>
          <w:sz w:val="24"/>
          <w:szCs w:val="24"/>
          <w:lang w:eastAsia="zh-CN"/>
        </w:rPr>
      </w:pPr>
      <w:r>
        <w:rPr>
          <w:rFonts w:hint="eastAsia" w:ascii="宋体" w:hAnsi="宋体" w:eastAsia="宋体" w:cs="宋体"/>
          <w:sz w:val="24"/>
          <w:szCs w:val="24"/>
          <w:lang w:eastAsia="zh-CN"/>
        </w:rPr>
        <w:t> (三) 查询及使用供应商信用记录</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1.由采购人查询信用信息。</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rPr>
      </w:pPr>
      <w:r>
        <w:rPr>
          <w:rFonts w:hint="eastAsia" w:ascii="宋体" w:hAnsi="宋体" w:eastAsia="宋体" w:cs="宋体"/>
          <w:sz w:val="24"/>
          <w:szCs w:val="24"/>
        </w:rPr>
        <w:t>2.查询渠道包括：</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360"/>
        <w:rPr>
          <w:rFonts w:ascii="宋体" w:hAnsi="宋体" w:eastAsia="宋体" w:cs="宋体"/>
          <w:sz w:val="24"/>
          <w:szCs w:val="24"/>
        </w:rPr>
      </w:pPr>
      <w:r>
        <w:rPr>
          <w:rFonts w:hint="eastAsia" w:ascii="宋体" w:hAnsi="宋体" w:eastAsia="宋体" w:cs="宋体"/>
          <w:sz w:val="24"/>
          <w:szCs w:val="24"/>
        </w:rPr>
        <w:t>(1)“信用中国”网（</w:t>
      </w:r>
      <w:r>
        <w:fldChar w:fldCharType="begin"/>
      </w:r>
      <w:r>
        <w:instrText xml:space="preserve"> HYPERLINK "http://www.creditchina.gov.cn/" \o "http://www.creditchina.gov.cn/" </w:instrText>
      </w:r>
      <w:r>
        <w:fldChar w:fldCharType="separate"/>
      </w:r>
      <w:r>
        <w:rPr>
          <w:rStyle w:val="51"/>
          <w:rFonts w:hint="eastAsia" w:ascii="宋体" w:hAnsi="宋体" w:eastAsia="宋体" w:cs="宋体"/>
          <w:color w:val="auto"/>
          <w:sz w:val="24"/>
          <w:szCs w:val="24"/>
        </w:rPr>
        <w:t>www.creditchina.gov.cn</w:t>
      </w:r>
      <w:r>
        <w:rPr>
          <w:rStyle w:val="51"/>
          <w:rFonts w:hint="eastAsia" w:ascii="宋体" w:hAnsi="宋体" w:eastAsia="宋体" w:cs="宋体"/>
          <w:color w:val="auto"/>
          <w:sz w:val="24"/>
          <w:szCs w:val="24"/>
        </w:rPr>
        <w:fldChar w:fldCharType="end"/>
      </w:r>
      <w:r>
        <w:rPr>
          <w:rFonts w:hint="eastAsia" w:ascii="宋体" w:hAnsi="宋体" w:eastAsia="宋体" w:cs="宋体"/>
          <w:sz w:val="24"/>
          <w:szCs w:val="24"/>
        </w:rPr>
        <w:t>）；</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360"/>
        <w:rPr>
          <w:rFonts w:ascii="宋体" w:hAnsi="宋体" w:eastAsia="宋体" w:cs="宋体"/>
          <w:sz w:val="24"/>
          <w:szCs w:val="24"/>
        </w:rPr>
      </w:pPr>
      <w:r>
        <w:rPr>
          <w:rFonts w:hint="eastAsia" w:ascii="宋体" w:hAnsi="宋体" w:eastAsia="宋体" w:cs="宋体"/>
          <w:sz w:val="24"/>
          <w:szCs w:val="24"/>
        </w:rPr>
        <w:t>(2)中国政府采购网（</w:t>
      </w:r>
      <w:r>
        <w:fldChar w:fldCharType="begin"/>
      </w:r>
      <w:r>
        <w:instrText xml:space="preserve"> HYPERLINK "http://www.ccgp.gov.cn/" \o "http://www.ccgp.gov.cn/" </w:instrText>
      </w:r>
      <w:r>
        <w:fldChar w:fldCharType="separate"/>
      </w:r>
      <w:r>
        <w:rPr>
          <w:rStyle w:val="51"/>
          <w:rFonts w:hint="eastAsia" w:ascii="宋体" w:hAnsi="宋体" w:eastAsia="宋体" w:cs="宋体"/>
          <w:color w:val="auto"/>
          <w:sz w:val="24"/>
          <w:szCs w:val="24"/>
        </w:rPr>
        <w:t>www.ccgp.gov.cn</w:t>
      </w:r>
      <w:r>
        <w:rPr>
          <w:rStyle w:val="51"/>
          <w:rFonts w:hint="eastAsia" w:ascii="宋体" w:hAnsi="宋体" w:eastAsia="宋体" w:cs="宋体"/>
          <w:color w:val="auto"/>
          <w:sz w:val="24"/>
          <w:szCs w:val="24"/>
        </w:rPr>
        <w:fldChar w:fldCharType="end"/>
      </w:r>
      <w:r>
        <w:rPr>
          <w:rFonts w:hint="eastAsia" w:ascii="宋体" w:hAnsi="宋体" w:eastAsia="宋体" w:cs="宋体"/>
          <w:sz w:val="24"/>
          <w:szCs w:val="24"/>
        </w:rPr>
        <w:t>）；</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360"/>
        <w:rPr>
          <w:rFonts w:ascii="宋体" w:hAnsi="宋体" w:eastAsia="宋体" w:cs="宋体"/>
          <w:sz w:val="24"/>
          <w:szCs w:val="24"/>
        </w:rPr>
      </w:pPr>
      <w:r>
        <w:rPr>
          <w:rFonts w:hint="eastAsia" w:ascii="宋体" w:hAnsi="宋体" w:eastAsia="宋体" w:cs="宋体"/>
          <w:sz w:val="24"/>
          <w:szCs w:val="24"/>
        </w:rPr>
        <w:t>(3)“诚信江苏”网（</w:t>
      </w:r>
      <w:r>
        <w:fldChar w:fldCharType="begin"/>
      </w:r>
      <w:r>
        <w:instrText xml:space="preserve"> HYPERLINK "http://www.jiangsu.gov.cn/jsxy/index.htm" \o "http://www.jiangsu.gov.cn/jsxy/index.htm" </w:instrText>
      </w:r>
      <w:r>
        <w:fldChar w:fldCharType="separate"/>
      </w:r>
      <w:r>
        <w:rPr>
          <w:rStyle w:val="51"/>
          <w:rFonts w:hint="eastAsia" w:ascii="宋体" w:hAnsi="宋体" w:eastAsia="宋体" w:cs="宋体"/>
          <w:color w:val="auto"/>
          <w:sz w:val="24"/>
          <w:szCs w:val="24"/>
        </w:rPr>
        <w:t>www.jiangsu.gov.cn/jsxy/index.htm</w:t>
      </w:r>
      <w:r>
        <w:rPr>
          <w:rStyle w:val="51"/>
          <w:rFonts w:hint="eastAsia" w:ascii="宋体" w:hAnsi="宋体" w:eastAsia="宋体" w:cs="宋体"/>
          <w:color w:val="auto"/>
          <w:sz w:val="24"/>
          <w:szCs w:val="24"/>
        </w:rPr>
        <w:fldChar w:fldCharType="end"/>
      </w:r>
      <w:r>
        <w:rPr>
          <w:rFonts w:hint="eastAsia" w:ascii="宋体" w:hAnsi="宋体" w:eastAsia="宋体" w:cs="宋体"/>
          <w:sz w:val="24"/>
          <w:szCs w:val="24"/>
        </w:rPr>
        <w:t>）</w:t>
      </w:r>
    </w:p>
    <w:p>
      <w:pPr>
        <w:pBdr>
          <w:top w:val="none" w:color="000000" w:sz="0" w:space="0"/>
          <w:left w:val="none" w:color="000000" w:sz="0" w:space="0"/>
          <w:bottom w:val="none" w:color="000000" w:sz="0" w:space="0"/>
          <w:right w:val="none" w:color="000000" w:sz="0" w:space="0"/>
        </w:pBdr>
        <w:adjustRightInd w:val="0"/>
        <w:snapToGrid w:val="0"/>
        <w:spacing w:before="240" w:after="240"/>
        <w:rPr>
          <w:rFonts w:ascii="宋体" w:hAnsi="宋体" w:eastAsia="宋体" w:cs="宋体"/>
          <w:sz w:val="24"/>
          <w:szCs w:val="24"/>
        </w:rPr>
      </w:pPr>
      <w:r>
        <w:rPr>
          <w:rFonts w:hint="eastAsia" w:ascii="宋体" w:hAnsi="宋体" w:eastAsia="宋体" w:cs="宋体"/>
          <w:sz w:val="24"/>
          <w:szCs w:val="24"/>
        </w:rPr>
        <w:t>和或“信用江苏”网（http://credit.jiangsu.gov.cn/）；</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360"/>
        <w:rPr>
          <w:rFonts w:ascii="宋体" w:hAnsi="宋体" w:eastAsia="宋体" w:cs="宋体"/>
          <w:sz w:val="24"/>
          <w:szCs w:val="24"/>
          <w:lang w:eastAsia="zh-CN"/>
        </w:rPr>
      </w:pPr>
      <w:r>
        <w:rPr>
          <w:rFonts w:hint="eastAsia" w:ascii="宋体" w:hAnsi="宋体" w:eastAsia="宋体" w:cs="宋体"/>
          <w:sz w:val="24"/>
          <w:szCs w:val="24"/>
          <w:lang w:eastAsia="zh-CN"/>
        </w:rPr>
        <w:t xml:space="preserve">(4)“诚信徐州”网（ </w:t>
      </w:r>
      <w:r>
        <w:fldChar w:fldCharType="begin"/>
      </w:r>
      <w:r>
        <w:instrText xml:space="preserve"> HYPERLINK "http://www.xuzhoucredit.gov.cn/" \o "http://www.xuzhoucredit.gov.cn/" </w:instrText>
      </w:r>
      <w:r>
        <w:fldChar w:fldCharType="separate"/>
      </w:r>
      <w:r>
        <w:rPr>
          <w:rStyle w:val="51"/>
          <w:rFonts w:hint="eastAsia" w:ascii="宋体" w:hAnsi="宋体" w:eastAsia="宋体" w:cs="宋体"/>
          <w:color w:val="auto"/>
          <w:sz w:val="24"/>
          <w:szCs w:val="24"/>
          <w:lang w:eastAsia="zh-CN"/>
        </w:rPr>
        <w:t>http://www.xuzhoucredit.gov.cn</w:t>
      </w:r>
      <w:r>
        <w:rPr>
          <w:rStyle w:val="51"/>
          <w:rFonts w:hint="eastAsia" w:ascii="宋体" w:hAnsi="宋体" w:eastAsia="宋体" w:cs="宋体"/>
          <w:color w:val="auto"/>
          <w:sz w:val="24"/>
          <w:szCs w:val="24"/>
          <w:lang w:eastAsia="zh-CN"/>
        </w:rPr>
        <w:fldChar w:fldCharType="end"/>
      </w:r>
      <w:r>
        <w:rPr>
          <w:rFonts w:hint="eastAsia" w:ascii="宋体" w:hAnsi="宋体" w:eastAsia="宋体" w:cs="宋体"/>
          <w:sz w:val="24"/>
          <w:szCs w:val="24"/>
          <w:lang w:eastAsia="zh-CN"/>
        </w:rPr>
        <w:t>）。</w:t>
      </w:r>
    </w:p>
    <w:p>
      <w:pPr>
        <w:pBdr>
          <w:top w:val="none" w:color="000000" w:sz="0" w:space="0"/>
          <w:left w:val="none" w:color="000000" w:sz="0" w:space="0"/>
          <w:bottom w:val="none" w:color="000000" w:sz="0" w:space="0"/>
          <w:right w:val="none" w:color="000000" w:sz="0" w:space="0"/>
        </w:pBdr>
        <w:adjustRightInd w:val="0"/>
        <w:snapToGrid w:val="0"/>
        <w:spacing w:before="240" w:after="240"/>
        <w:rPr>
          <w:rFonts w:ascii="宋体" w:hAnsi="宋体" w:eastAsia="宋体" w:cs="宋体"/>
          <w:sz w:val="24"/>
          <w:szCs w:val="24"/>
        </w:rPr>
      </w:pPr>
      <w:r>
        <w:rPr>
          <w:rFonts w:hint="eastAsia" w:ascii="宋体" w:hAnsi="宋体" w:eastAsia="宋体" w:cs="宋体"/>
          <w:sz w:val="24"/>
          <w:szCs w:val="24"/>
        </w:rPr>
        <w:t>和或“信用徐州”网（www.xuzhoucredit.gov.cn/）。</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3.截止时点（查询环节）：首次响应文件开启后资格审查结束前。</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4.信用信息查询记录和证据留存的具体方式：</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网页截屏打印，与其他采购文件一并保存。</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5.信用信息的使用规则：</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6.信用评价结果查询：见《磋商文件》附件1.《评分细则》。 </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78"/>
        <w:rPr>
          <w:rFonts w:ascii="宋体" w:hAnsi="宋体" w:eastAsia="宋体" w:cs="宋体"/>
          <w:sz w:val="24"/>
          <w:szCs w:val="24"/>
          <w:lang w:eastAsia="zh-CN"/>
        </w:rPr>
      </w:pPr>
      <w:r>
        <w:rPr>
          <w:rFonts w:hint="eastAsia" w:ascii="宋体" w:hAnsi="宋体" w:eastAsia="宋体" w:cs="宋体"/>
          <w:sz w:val="24"/>
          <w:szCs w:val="24"/>
          <w:lang w:eastAsia="zh-CN"/>
        </w:rPr>
        <w:t>十五、评审方法和评审标准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78"/>
        <w:rPr>
          <w:rFonts w:ascii="宋体" w:hAnsi="宋体" w:eastAsia="宋体" w:cs="宋体"/>
          <w:sz w:val="24"/>
          <w:szCs w:val="24"/>
          <w:lang w:eastAsia="zh-CN"/>
        </w:rPr>
      </w:pPr>
      <w:r>
        <w:rPr>
          <w:rFonts w:hint="eastAsia" w:ascii="宋体" w:hAnsi="宋体" w:eastAsia="宋体" w:cs="宋体"/>
          <w:sz w:val="24"/>
          <w:szCs w:val="24"/>
          <w:lang w:eastAsia="zh-CN"/>
        </w:rPr>
        <w:t>1.评审方法：综合评分法</w:t>
      </w:r>
    </w:p>
    <w:p>
      <w:pPr>
        <w:pBdr>
          <w:top w:val="none" w:color="000000" w:sz="0" w:space="0"/>
          <w:left w:val="none" w:color="000000" w:sz="0" w:space="0"/>
          <w:bottom w:val="none" w:color="000000" w:sz="0" w:space="0"/>
          <w:right w:val="none" w:color="000000" w:sz="0" w:space="0"/>
        </w:pBdr>
        <w:adjustRightInd w:val="0"/>
        <w:snapToGrid w:val="0"/>
        <w:spacing w:before="240" w:after="240"/>
        <w:ind w:left="2" w:right="29" w:firstLine="480"/>
        <w:rPr>
          <w:rFonts w:ascii="宋体" w:hAnsi="宋体" w:eastAsia="宋体" w:cs="宋体"/>
          <w:sz w:val="24"/>
          <w:szCs w:val="24"/>
          <w:lang w:eastAsia="zh-CN"/>
        </w:rPr>
      </w:pPr>
      <w:r>
        <w:rPr>
          <w:rFonts w:hint="eastAsia" w:ascii="宋体" w:hAnsi="宋体" w:eastAsia="宋体" w:cs="宋体"/>
          <w:sz w:val="24"/>
          <w:szCs w:val="24"/>
          <w:lang w:eastAsia="zh-CN"/>
        </w:rPr>
        <w:t>2.评审标准：详见《磋商文件》附件1.《评分细则》</w:t>
      </w:r>
    </w:p>
    <w:p>
      <w:pPr>
        <w:pBdr>
          <w:top w:val="none" w:color="000000" w:sz="0" w:space="0"/>
          <w:left w:val="none" w:color="000000" w:sz="0" w:space="0"/>
          <w:bottom w:val="none" w:color="000000" w:sz="0" w:space="0"/>
          <w:right w:val="none" w:color="000000" w:sz="0" w:space="0"/>
        </w:pBdr>
        <w:adjustRightInd w:val="0"/>
        <w:snapToGrid w:val="0"/>
        <w:spacing w:before="240" w:after="240"/>
        <w:ind w:right="25" w:firstLine="480"/>
        <w:rPr>
          <w:rFonts w:ascii="宋体" w:hAnsi="宋体" w:eastAsia="宋体" w:cs="宋体"/>
          <w:sz w:val="24"/>
          <w:szCs w:val="24"/>
          <w:lang w:eastAsia="zh-CN"/>
        </w:rPr>
      </w:pPr>
      <w:r>
        <w:rPr>
          <w:rFonts w:hint="eastAsia" w:ascii="宋体" w:hAnsi="宋体" w:eastAsia="宋体" w:cs="宋体"/>
          <w:sz w:val="24"/>
          <w:szCs w:val="24"/>
          <w:lang w:eastAsia="zh-CN"/>
        </w:rPr>
        <w:t>3.采购项目为非单一产品的，采购人根据采购项目技术构成、产品价格比重等合理确定核心产品，具体核心产品内容见本磋商文件《项目要求（采购需求）》。核心产品为两个及以上的，不同供应商所报的核心产品中有部分产品为同一品牌的，按照提供相同品牌产品处理。</w:t>
      </w:r>
    </w:p>
    <w:p>
      <w:pPr>
        <w:pBdr>
          <w:top w:val="none" w:color="000000" w:sz="0" w:space="0"/>
          <w:left w:val="none" w:color="000000" w:sz="0" w:space="0"/>
          <w:bottom w:val="none" w:color="000000" w:sz="0" w:space="0"/>
          <w:right w:val="none" w:color="000000" w:sz="0" w:space="0"/>
        </w:pBdr>
        <w:adjustRightInd w:val="0"/>
        <w:snapToGrid w:val="0"/>
        <w:spacing w:before="240" w:after="240"/>
        <w:ind w:right="25" w:firstLine="480"/>
        <w:rPr>
          <w:rFonts w:ascii="宋体" w:hAnsi="宋体" w:eastAsia="宋体" w:cs="宋体"/>
          <w:sz w:val="24"/>
          <w:szCs w:val="24"/>
          <w:lang w:eastAsia="zh-CN"/>
        </w:rPr>
      </w:pPr>
      <w:r>
        <w:rPr>
          <w:rFonts w:hint="eastAsia" w:ascii="宋体" w:hAnsi="宋体" w:eastAsia="宋体" w:cs="宋体"/>
          <w:sz w:val="24"/>
          <w:szCs w:val="24"/>
          <w:lang w:eastAsia="zh-CN"/>
        </w:rPr>
        <w:t>多家供应商提供的核心产品品牌相同的作为一个供应商计算，以质量和服务均能满足采购文件实质性响应要求且报价最低的供应商作为该品牌的供应商。</w:t>
      </w:r>
    </w:p>
    <w:p>
      <w:pPr>
        <w:pBdr>
          <w:top w:val="none" w:color="000000" w:sz="0" w:space="0"/>
          <w:left w:val="none" w:color="000000" w:sz="0" w:space="0"/>
          <w:bottom w:val="none" w:color="000000" w:sz="0" w:space="0"/>
          <w:right w:val="none" w:color="000000" w:sz="0" w:space="0"/>
        </w:pBdr>
        <w:adjustRightInd w:val="0"/>
        <w:snapToGrid w:val="0"/>
        <w:spacing w:before="240" w:after="240"/>
        <w:ind w:left="2" w:right="29" w:firstLine="480"/>
        <w:rPr>
          <w:rFonts w:ascii="宋体" w:hAnsi="宋体" w:eastAsia="宋体" w:cs="宋体"/>
          <w:sz w:val="24"/>
          <w:szCs w:val="24"/>
          <w:lang w:eastAsia="zh-CN"/>
        </w:rPr>
      </w:pPr>
      <w:r>
        <w:rPr>
          <w:rFonts w:hint="eastAsia" w:ascii="宋体" w:hAnsi="宋体" w:eastAsia="宋体" w:cs="宋体"/>
          <w:sz w:val="24"/>
          <w:szCs w:val="24"/>
          <w:lang w:eastAsia="zh-CN"/>
        </w:rPr>
        <w:t>十六、磋商过程中可能实质性变动的内容：在磋商过程中，磋商小组可以根据《磋商文件》和磋商情况实质性变动采购需求中的技术、服务要求以及合同草案条款。</w:t>
      </w:r>
    </w:p>
    <w:p>
      <w:pPr>
        <w:pBdr>
          <w:top w:val="none" w:color="000000" w:sz="0" w:space="0"/>
          <w:left w:val="none" w:color="000000" w:sz="0" w:space="0"/>
          <w:bottom w:val="none" w:color="000000" w:sz="0" w:space="0"/>
          <w:right w:val="none" w:color="000000" w:sz="0" w:space="0"/>
        </w:pBdr>
        <w:adjustRightInd w:val="0"/>
        <w:snapToGrid w:val="0"/>
        <w:spacing w:before="240" w:after="240"/>
        <w:ind w:left="2" w:right="29" w:firstLine="480"/>
        <w:rPr>
          <w:rFonts w:ascii="宋体" w:hAnsi="宋体" w:eastAsia="宋体" w:cs="宋体"/>
          <w:sz w:val="24"/>
          <w:szCs w:val="24"/>
          <w:lang w:eastAsia="zh-CN"/>
        </w:rPr>
      </w:pPr>
      <w:r>
        <w:rPr>
          <w:rFonts w:hint="eastAsia" w:ascii="宋体" w:hAnsi="宋体" w:eastAsia="宋体" w:cs="宋体"/>
          <w:sz w:val="24"/>
          <w:szCs w:val="24"/>
          <w:lang w:eastAsia="zh-CN"/>
        </w:rPr>
        <w:t>十七、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pPr>
        <w:adjustRightInd w:val="0"/>
        <w:snapToGrid w:val="0"/>
        <w:rPr>
          <w:rFonts w:ascii="宋体" w:hAnsi="宋体" w:eastAsia="宋体" w:cs="宋体"/>
          <w:sz w:val="24"/>
          <w:szCs w:val="24"/>
          <w:lang w:eastAsia="zh-CN"/>
        </w:rPr>
      </w:pPr>
      <w:r>
        <w:rPr>
          <w:rFonts w:hint="eastAsia" w:ascii="宋体" w:hAnsi="宋体" w:eastAsia="宋体" w:cs="宋体"/>
          <w:sz w:val="24"/>
          <w:szCs w:val="24"/>
          <w:lang w:eastAsia="zh-CN"/>
        </w:rPr>
        <w:br w:type="page"/>
      </w:r>
    </w:p>
    <w:p>
      <w:pPr>
        <w:pBdr>
          <w:top w:val="none" w:color="000000" w:sz="0" w:space="0"/>
          <w:left w:val="none" w:color="000000" w:sz="0" w:space="0"/>
          <w:bottom w:val="none" w:color="000000" w:sz="0" w:space="0"/>
          <w:right w:val="none" w:color="000000" w:sz="0" w:space="0"/>
        </w:pBdr>
        <w:adjustRightInd w:val="0"/>
        <w:snapToGrid w:val="0"/>
        <w:spacing w:before="240" w:after="240"/>
        <w:ind w:left="2" w:right="29" w:firstLine="480"/>
        <w:jc w:val="center"/>
        <w:outlineLvl w:val="0"/>
        <w:rPr>
          <w:rFonts w:ascii="宋体" w:hAnsi="宋体" w:eastAsia="宋体" w:cs="宋体"/>
          <w:sz w:val="24"/>
          <w:szCs w:val="24"/>
          <w:lang w:eastAsia="zh-CN"/>
        </w:rPr>
      </w:pPr>
      <w:bookmarkStart w:id="17" w:name="_Toc8400"/>
      <w:r>
        <w:rPr>
          <w:rFonts w:hint="eastAsia" w:ascii="宋体" w:hAnsi="宋体" w:eastAsia="宋体" w:cs="宋体"/>
          <w:sz w:val="24"/>
          <w:szCs w:val="24"/>
          <w:lang w:eastAsia="zh-CN"/>
        </w:rPr>
        <w:t>第五章 确定成交供应商及合同签订等 </w:t>
      </w:r>
      <w:bookmarkEnd w:id="17"/>
    </w:p>
    <w:p>
      <w:pPr>
        <w:pBdr>
          <w:top w:val="none" w:color="000000" w:sz="0" w:space="0"/>
          <w:left w:val="none" w:color="000000" w:sz="0" w:space="0"/>
          <w:bottom w:val="none" w:color="000000" w:sz="0" w:space="0"/>
          <w:right w:val="none" w:color="000000" w:sz="0" w:space="0"/>
        </w:pBdr>
        <w:adjustRightInd w:val="0"/>
        <w:snapToGrid w:val="0"/>
        <w:spacing w:before="240" w:after="240"/>
        <w:ind w:left="2" w:right="29" w:firstLine="480"/>
        <w:rPr>
          <w:rFonts w:ascii="宋体" w:hAnsi="宋体" w:eastAsia="宋体" w:cs="宋体"/>
          <w:sz w:val="24"/>
          <w:szCs w:val="24"/>
          <w:lang w:eastAsia="zh-CN"/>
        </w:rPr>
      </w:pPr>
      <w:r>
        <w:rPr>
          <w:rFonts w:hint="eastAsia" w:ascii="宋体" w:hAnsi="宋体" w:eastAsia="宋体" w:cs="宋体"/>
          <w:sz w:val="24"/>
          <w:szCs w:val="24"/>
          <w:lang w:eastAsia="zh-CN"/>
        </w:rPr>
        <w:t>十八、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磋商报价表》（最后报价）。</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十九、采购人与成交供应商应当在成交通知书发出之日起15日内，按照《磋商文件》确定的合同文本以及采购标的、规格型号、采购金额、采购数量、技术和服务要求等事项签订政府采购合同。</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特别说明： 按照《政府采购法》及其实施条例以及相关规定，中标或者成交后无正当理由拒不与采购人签订政府采购合同的, 在一至三年内禁止参加政府采购活动，列入政府采购严重违法失信行为记录名单。</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二十、签订合同前，中标人必须向采购人提交其响应文件中所有扫描件的原件，采购人核查无误后，签订合同。如中标人不能在采购人规定的时间内向采购人提供原件，将被采购人视为放弃中标资格。</w:t>
      </w:r>
    </w:p>
    <w:p>
      <w:pPr>
        <w:adjustRightInd w:val="0"/>
        <w:snapToGrid w:val="0"/>
        <w:rPr>
          <w:rFonts w:ascii="宋体" w:hAnsi="宋体" w:eastAsia="宋体" w:cs="宋体"/>
          <w:sz w:val="24"/>
          <w:szCs w:val="24"/>
          <w:lang w:eastAsia="zh-CN"/>
        </w:rPr>
      </w:pPr>
      <w:r>
        <w:rPr>
          <w:rFonts w:hint="eastAsia" w:ascii="宋体" w:hAnsi="宋体" w:eastAsia="宋体" w:cs="宋体"/>
          <w:sz w:val="24"/>
          <w:szCs w:val="24"/>
          <w:lang w:eastAsia="zh-CN"/>
        </w:rPr>
        <w:br w:type="page"/>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jc w:val="center"/>
        <w:outlineLvl w:val="0"/>
        <w:rPr>
          <w:rFonts w:ascii="宋体" w:hAnsi="宋体" w:eastAsia="宋体" w:cs="宋体"/>
          <w:sz w:val="24"/>
          <w:szCs w:val="24"/>
          <w:lang w:eastAsia="zh-CN"/>
        </w:rPr>
      </w:pPr>
      <w:bookmarkStart w:id="18" w:name="_Toc23843"/>
      <w:r>
        <w:rPr>
          <w:rFonts w:hint="eastAsia" w:ascii="宋体" w:hAnsi="宋体" w:eastAsia="宋体" w:cs="宋体"/>
          <w:sz w:val="24"/>
          <w:szCs w:val="24"/>
          <w:lang w:eastAsia="zh-CN"/>
        </w:rPr>
        <w:t>第六章 磋商文件的澄清或者修改 </w:t>
      </w:r>
      <w:bookmarkEnd w:id="18"/>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二十一、《磋商文件》的澄清或者修改</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形式通知所有获取《磋商文件》的供应商。发布本项目的“更正公告”后采购代理机构已尽通知义务。敬请各所有获取《磋商文件》的供应商关注本项目的“更正公告”，否则，将自行承担相应的风险。</w:t>
      </w:r>
    </w:p>
    <w:p>
      <w:pPr>
        <w:adjustRightInd w:val="0"/>
        <w:snapToGrid w:val="0"/>
        <w:rPr>
          <w:rFonts w:ascii="宋体" w:hAnsi="宋体" w:eastAsia="宋体" w:cs="宋体"/>
          <w:sz w:val="24"/>
          <w:szCs w:val="24"/>
          <w:lang w:eastAsia="zh-CN"/>
        </w:rPr>
      </w:pPr>
      <w:r>
        <w:rPr>
          <w:rFonts w:hint="eastAsia" w:ascii="宋体" w:hAnsi="宋体" w:eastAsia="宋体" w:cs="宋体"/>
          <w:sz w:val="24"/>
          <w:szCs w:val="24"/>
          <w:lang w:eastAsia="zh-CN"/>
        </w:rPr>
        <w:br w:type="page"/>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jc w:val="center"/>
        <w:outlineLvl w:val="0"/>
        <w:rPr>
          <w:rFonts w:ascii="宋体" w:hAnsi="宋体" w:eastAsia="宋体" w:cs="宋体"/>
          <w:sz w:val="24"/>
          <w:szCs w:val="24"/>
          <w:lang w:eastAsia="zh-CN"/>
        </w:rPr>
      </w:pPr>
      <w:bookmarkStart w:id="19" w:name="_Toc902"/>
      <w:r>
        <w:rPr>
          <w:rFonts w:hint="eastAsia" w:ascii="宋体" w:hAnsi="宋体" w:eastAsia="宋体" w:cs="宋体"/>
          <w:sz w:val="24"/>
          <w:szCs w:val="24"/>
          <w:lang w:eastAsia="zh-CN"/>
        </w:rPr>
        <w:t>第七章 询问和质疑</w:t>
      </w:r>
      <w:bookmarkEnd w:id="19"/>
    </w:p>
    <w:p>
      <w:pPr>
        <w:pBdr>
          <w:top w:val="none" w:color="000000" w:sz="0" w:space="0"/>
          <w:left w:val="none" w:color="000000" w:sz="0" w:space="0"/>
          <w:bottom w:val="none" w:color="000000" w:sz="0" w:space="0"/>
          <w:right w:val="none" w:color="000000" w:sz="0" w:space="0"/>
        </w:pBdr>
        <w:adjustRightInd w:val="0"/>
        <w:snapToGrid w:val="0"/>
        <w:spacing w:before="240" w:after="240"/>
        <w:ind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二十二、询问和质疑</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1.根据公诚管理咨询有限公司与徐州经济技术开发区大庙街道办事处（采购人）签订的本采购项目的《委托代理协议》，供应商对政府采购活动事项有疑问的，向徐州经济技术开发区大庙街道办事处（采购人）提出询问；供应商认为采购文件、采购过程和中标、成交结果使自己的权益受到损害的，可以在知道或者应知其权益受到损害之日起七个工作日内，以书面形式向徐州经济技术开发区大庙街道办事处（采购人）提出质疑。询问和质疑由徐州经济技术开发区大庙街道办事处（采购人）依法处理。</w:t>
      </w:r>
    </w:p>
    <w:p>
      <w:pPr>
        <w:pBdr>
          <w:top w:val="none" w:color="000000" w:sz="0" w:space="0"/>
          <w:left w:val="none" w:color="000000" w:sz="0" w:space="0"/>
          <w:bottom w:val="none" w:color="000000" w:sz="0" w:space="0"/>
          <w:right w:val="none" w:color="000000" w:sz="0" w:space="0"/>
        </w:pBdr>
        <w:shd w:val="clear" w:color="FFFFFF" w:fill="auto"/>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2.供应商在法定质疑期内一次性提出针对同一采购程序环节的质疑。</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3.质疑函</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接收质疑函的方式：供应商直接送交或供应商通过快递邮寄。</w:t>
      </w:r>
    </w:p>
    <w:p>
      <w:pPr>
        <w:pBdr>
          <w:top w:val="none" w:color="000000" w:sz="0" w:space="0"/>
          <w:left w:val="none" w:color="000000" w:sz="0" w:space="0"/>
          <w:bottom w:val="none" w:color="000000" w:sz="0" w:space="0"/>
          <w:right w:val="none" w:color="000000" w:sz="0" w:space="0"/>
        </w:pBdr>
        <w:shd w:val="clear" w:color="FFFFFF" w:fill="auto"/>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联系部门：公诚管理咨询有限公司</w:t>
      </w:r>
    </w:p>
    <w:p>
      <w:pPr>
        <w:pBdr>
          <w:top w:val="none" w:color="000000" w:sz="0" w:space="0"/>
          <w:left w:val="none" w:color="000000" w:sz="0" w:space="0"/>
          <w:bottom w:val="none" w:color="000000" w:sz="0" w:space="0"/>
          <w:right w:val="none" w:color="000000" w:sz="0" w:space="0"/>
        </w:pBdr>
        <w:shd w:val="clear" w:color="FFFFFF" w:fill="auto"/>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联系人：朱晓营、黄小斌、杨海滨</w:t>
      </w:r>
    </w:p>
    <w:p>
      <w:pPr>
        <w:pBdr>
          <w:top w:val="none" w:color="000000" w:sz="0" w:space="0"/>
          <w:left w:val="none" w:color="000000" w:sz="0" w:space="0"/>
          <w:bottom w:val="none" w:color="000000" w:sz="0" w:space="0"/>
          <w:right w:val="none" w:color="000000" w:sz="0" w:space="0"/>
        </w:pBdr>
        <w:shd w:val="clear" w:color="FFFFFF" w:fill="auto"/>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联系电话：15366778476、13022565577</w:t>
      </w:r>
    </w:p>
    <w:p>
      <w:pPr>
        <w:pBdr>
          <w:top w:val="none" w:color="000000" w:sz="0" w:space="0"/>
          <w:left w:val="none" w:color="000000" w:sz="0" w:space="0"/>
          <w:bottom w:val="none" w:color="000000" w:sz="0" w:space="0"/>
          <w:right w:val="none" w:color="000000" w:sz="0" w:space="0"/>
        </w:pBdr>
        <w:shd w:val="clear" w:color="FFFFFF" w:fill="auto"/>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通讯地址：江苏省徐州市云龙区绿地瀛海办公楼A座303室</w:t>
      </w:r>
    </w:p>
    <w:p>
      <w:pPr>
        <w:adjustRightInd w:val="0"/>
        <w:snapToGrid w:val="0"/>
        <w:rPr>
          <w:rFonts w:ascii="宋体" w:hAnsi="宋体" w:eastAsia="宋体" w:cs="宋体"/>
          <w:sz w:val="24"/>
          <w:szCs w:val="24"/>
          <w:lang w:eastAsia="zh-CN"/>
        </w:rPr>
      </w:pPr>
      <w:r>
        <w:rPr>
          <w:rFonts w:hint="eastAsia" w:ascii="宋体" w:hAnsi="宋体" w:eastAsia="宋体" w:cs="宋体"/>
          <w:sz w:val="24"/>
          <w:szCs w:val="24"/>
          <w:lang w:eastAsia="zh-CN"/>
        </w:rPr>
        <w:br w:type="page"/>
      </w:r>
    </w:p>
    <w:p>
      <w:pPr>
        <w:adjustRightInd w:val="0"/>
        <w:snapToGrid w:val="0"/>
        <w:spacing w:before="240" w:after="240" w:line="240" w:lineRule="atLeast"/>
        <w:ind w:firstLine="480"/>
        <w:jc w:val="center"/>
        <w:outlineLvl w:val="0"/>
        <w:rPr>
          <w:rFonts w:ascii="宋体" w:hAnsi="宋体" w:eastAsia="宋体" w:cs="宋体"/>
          <w:sz w:val="24"/>
          <w:szCs w:val="24"/>
          <w:lang w:eastAsia="zh-CN"/>
        </w:rPr>
      </w:pPr>
      <w:bookmarkStart w:id="20" w:name="_Toc32248"/>
      <w:r>
        <w:rPr>
          <w:rFonts w:hint="eastAsia" w:ascii="宋体" w:hAnsi="宋体" w:eastAsia="宋体" w:cs="宋体"/>
          <w:sz w:val="24"/>
          <w:szCs w:val="24"/>
          <w:lang w:eastAsia="zh-CN"/>
        </w:rPr>
        <w:t>第八章 其他</w:t>
      </w:r>
      <w:bookmarkEnd w:id="20"/>
    </w:p>
    <w:p>
      <w:pPr>
        <w:adjustRightInd w:val="0"/>
        <w:snapToGrid w:val="0"/>
        <w:spacing w:before="240" w:after="240" w:line="240" w:lineRule="atLeast"/>
        <w:ind w:firstLine="480"/>
        <w:rPr>
          <w:rFonts w:ascii="宋体" w:hAnsi="宋体" w:eastAsia="宋体" w:cs="宋体"/>
          <w:sz w:val="24"/>
          <w:szCs w:val="24"/>
          <w:lang w:eastAsia="zh-CN"/>
        </w:rPr>
      </w:pPr>
      <w:r>
        <w:rPr>
          <w:rFonts w:hint="eastAsia" w:ascii="宋体" w:hAnsi="宋体" w:eastAsia="宋体" w:cs="宋体"/>
          <w:sz w:val="24"/>
          <w:szCs w:val="24"/>
          <w:lang w:eastAsia="zh-CN"/>
        </w:rPr>
        <w:t>1、成交供应商在领取成交通知书前，须向公诚管理咨询有限公司缴纳代理服务费，收取标准见附件。</w:t>
      </w:r>
    </w:p>
    <w:p>
      <w:pPr>
        <w:adjustRightInd w:val="0"/>
        <w:snapToGrid w:val="0"/>
        <w:spacing w:before="240" w:after="240" w:line="240" w:lineRule="atLeast"/>
        <w:ind w:firstLine="480"/>
        <w:rPr>
          <w:rFonts w:ascii="宋体" w:hAnsi="宋体" w:eastAsia="宋体" w:cs="宋体"/>
          <w:sz w:val="24"/>
          <w:szCs w:val="24"/>
          <w:lang w:eastAsia="zh-CN"/>
        </w:rPr>
      </w:pPr>
      <w:r>
        <w:rPr>
          <w:rFonts w:hint="eastAsia" w:ascii="宋体" w:hAnsi="宋体" w:eastAsia="宋体" w:cs="宋体"/>
          <w:sz w:val="24"/>
          <w:szCs w:val="24"/>
        </w:rPr>
        <w:t>2、成交结果在徐州政府采购网</w:t>
      </w:r>
      <w:r>
        <w:fldChar w:fldCharType="begin"/>
      </w:r>
      <w:r>
        <w:instrText xml:space="preserve"> HYPERLINK "http://czj.xz.gov.cn/Home/HomeIndex上公布" </w:instrText>
      </w:r>
      <w:r>
        <w:fldChar w:fldCharType="separate"/>
      </w:r>
      <w:r>
        <w:rPr>
          <w:rStyle w:val="51"/>
          <w:rFonts w:hint="eastAsia" w:ascii="宋体" w:hAnsi="宋体" w:eastAsia="宋体" w:cs="宋体"/>
          <w:color w:val="auto"/>
          <w:sz w:val="24"/>
          <w:szCs w:val="24"/>
        </w:rPr>
        <w:t>http://czj.xz.gov.cn/Home/HomeIndex</w:t>
      </w:r>
      <w:r>
        <w:rPr>
          <w:rStyle w:val="51"/>
          <w:rFonts w:hint="eastAsia" w:ascii="宋体" w:hAnsi="宋体" w:eastAsia="宋体" w:cs="宋体"/>
          <w:color w:val="auto"/>
          <w:sz w:val="24"/>
          <w:szCs w:val="24"/>
          <w:u w:val="none"/>
        </w:rPr>
        <w:t>上公布</w:t>
      </w:r>
      <w:r>
        <w:rPr>
          <w:rStyle w:val="51"/>
          <w:rFonts w:hint="eastAsia" w:ascii="宋体" w:hAnsi="宋体" w:eastAsia="宋体" w:cs="宋体"/>
          <w:color w:val="auto"/>
          <w:sz w:val="24"/>
          <w:szCs w:val="24"/>
          <w:u w:val="none"/>
        </w:rPr>
        <w:fldChar w:fldCharType="end"/>
      </w:r>
      <w:r>
        <w:rPr>
          <w:rFonts w:hint="eastAsia" w:ascii="宋体" w:hAnsi="宋体" w:eastAsia="宋体" w:cs="宋体"/>
          <w:sz w:val="24"/>
          <w:szCs w:val="24"/>
        </w:rPr>
        <w:t>。</w:t>
      </w:r>
    </w:p>
    <w:p>
      <w:pPr>
        <w:adjustRightInd w:val="0"/>
        <w:snapToGrid w:val="0"/>
        <w:spacing w:before="240" w:after="240" w:line="240" w:lineRule="atLeast"/>
        <w:ind w:firstLine="480"/>
        <w:rPr>
          <w:rFonts w:ascii="宋体" w:hAnsi="宋体" w:eastAsia="宋体" w:cs="宋体"/>
          <w:sz w:val="24"/>
          <w:szCs w:val="24"/>
          <w:lang w:eastAsia="zh-CN"/>
        </w:rPr>
      </w:pPr>
      <w:r>
        <w:rPr>
          <w:rFonts w:hint="eastAsia" w:ascii="宋体" w:hAnsi="宋体" w:eastAsia="宋体" w:cs="宋体"/>
          <w:sz w:val="24"/>
          <w:szCs w:val="24"/>
          <w:lang w:eastAsia="zh-CN"/>
        </w:rPr>
        <w:t>3、采购人信息</w:t>
      </w:r>
    </w:p>
    <w:p>
      <w:pPr>
        <w:adjustRightInd w:val="0"/>
        <w:snapToGrid w:val="0"/>
        <w:spacing w:before="240" w:after="240" w:line="240" w:lineRule="atLeast"/>
        <w:ind w:firstLine="480"/>
        <w:rPr>
          <w:rFonts w:ascii="宋体" w:hAnsi="宋体" w:eastAsia="宋体" w:cs="宋体"/>
          <w:sz w:val="24"/>
          <w:szCs w:val="24"/>
          <w:lang w:eastAsia="zh-CN"/>
        </w:rPr>
      </w:pPr>
      <w:r>
        <w:rPr>
          <w:rFonts w:hint="eastAsia" w:ascii="宋体" w:hAnsi="宋体" w:eastAsia="宋体" w:cs="宋体"/>
          <w:sz w:val="24"/>
          <w:szCs w:val="24"/>
          <w:lang w:eastAsia="zh-CN"/>
        </w:rPr>
        <w:t>名称：徐州经济技术开发区大庙街道办事处</w:t>
      </w:r>
    </w:p>
    <w:p>
      <w:pPr>
        <w:adjustRightInd w:val="0"/>
        <w:snapToGrid w:val="0"/>
        <w:spacing w:before="240" w:after="240" w:line="240" w:lineRule="atLeast"/>
        <w:ind w:firstLine="480"/>
        <w:rPr>
          <w:rFonts w:ascii="宋体" w:hAnsi="宋体" w:eastAsia="宋体" w:cs="宋体"/>
          <w:sz w:val="24"/>
          <w:szCs w:val="24"/>
          <w:lang w:eastAsia="zh-CN"/>
        </w:rPr>
      </w:pPr>
      <w:r>
        <w:rPr>
          <w:rFonts w:hint="eastAsia" w:ascii="宋体" w:hAnsi="宋体" w:eastAsia="宋体" w:cs="宋体"/>
          <w:sz w:val="24"/>
          <w:szCs w:val="24"/>
          <w:lang w:eastAsia="zh-CN"/>
        </w:rPr>
        <w:t>地址：徐州经济技术开发区</w:t>
      </w:r>
    </w:p>
    <w:p>
      <w:pPr>
        <w:adjustRightInd w:val="0"/>
        <w:snapToGrid w:val="0"/>
        <w:spacing w:before="240" w:after="240" w:line="240" w:lineRule="atLeast"/>
        <w:ind w:firstLine="480"/>
        <w:rPr>
          <w:rFonts w:ascii="宋体" w:hAnsi="宋体" w:eastAsia="宋体" w:cs="宋体"/>
          <w:sz w:val="24"/>
          <w:szCs w:val="24"/>
          <w:lang w:eastAsia="zh-CN"/>
        </w:rPr>
      </w:pPr>
      <w:r>
        <w:rPr>
          <w:rFonts w:hint="eastAsia" w:ascii="宋体" w:hAnsi="宋体" w:eastAsia="宋体" w:cs="宋体"/>
          <w:sz w:val="24"/>
          <w:szCs w:val="24"/>
          <w:lang w:eastAsia="zh-CN"/>
        </w:rPr>
        <w:t>联系方式：15162188111</w:t>
      </w:r>
    </w:p>
    <w:p>
      <w:pPr>
        <w:adjustRightInd w:val="0"/>
        <w:snapToGrid w:val="0"/>
        <w:spacing w:before="240" w:after="240" w:line="240" w:lineRule="atLeast"/>
        <w:ind w:firstLine="480"/>
        <w:rPr>
          <w:rFonts w:ascii="宋体" w:hAnsi="宋体" w:eastAsia="宋体" w:cs="宋体"/>
          <w:sz w:val="24"/>
          <w:szCs w:val="24"/>
          <w:lang w:eastAsia="zh-CN"/>
        </w:rPr>
      </w:pPr>
      <w:r>
        <w:rPr>
          <w:rFonts w:hint="eastAsia" w:ascii="宋体" w:hAnsi="宋体" w:eastAsia="宋体" w:cs="宋体"/>
          <w:sz w:val="24"/>
          <w:szCs w:val="24"/>
          <w:lang w:eastAsia="zh-CN"/>
        </w:rPr>
        <w:t>4、采购代理机构信息</w:t>
      </w:r>
    </w:p>
    <w:p>
      <w:pPr>
        <w:adjustRightInd w:val="0"/>
        <w:snapToGrid w:val="0"/>
        <w:spacing w:before="240" w:after="240" w:line="240" w:lineRule="atLeast"/>
        <w:ind w:firstLine="480"/>
        <w:rPr>
          <w:rFonts w:ascii="宋体" w:hAnsi="宋体" w:eastAsia="宋体" w:cs="宋体"/>
          <w:sz w:val="24"/>
          <w:szCs w:val="24"/>
          <w:lang w:eastAsia="zh-CN"/>
        </w:rPr>
      </w:pPr>
      <w:r>
        <w:rPr>
          <w:rFonts w:hint="eastAsia" w:ascii="宋体" w:hAnsi="宋体" w:eastAsia="宋体" w:cs="宋体"/>
          <w:sz w:val="24"/>
          <w:szCs w:val="24"/>
          <w:lang w:eastAsia="zh-CN"/>
        </w:rPr>
        <w:t>名称：公诚管理咨询有限公司</w:t>
      </w:r>
    </w:p>
    <w:p>
      <w:pPr>
        <w:adjustRightInd w:val="0"/>
        <w:snapToGrid w:val="0"/>
        <w:spacing w:before="240" w:after="240" w:line="240" w:lineRule="atLeast"/>
        <w:ind w:firstLine="480"/>
        <w:rPr>
          <w:rFonts w:ascii="宋体" w:hAnsi="宋体" w:eastAsia="宋体" w:cs="宋体"/>
          <w:sz w:val="24"/>
          <w:szCs w:val="24"/>
          <w:lang w:eastAsia="zh-CN"/>
        </w:rPr>
      </w:pPr>
      <w:r>
        <w:rPr>
          <w:rFonts w:hint="eastAsia" w:ascii="宋体" w:hAnsi="宋体" w:eastAsia="宋体" w:cs="宋体"/>
          <w:sz w:val="24"/>
          <w:szCs w:val="24"/>
          <w:lang w:eastAsia="zh-CN"/>
        </w:rPr>
        <w:t>地址：江苏省徐州市云龙区绿地瀛海办公楼A座303室</w:t>
      </w:r>
    </w:p>
    <w:p>
      <w:pPr>
        <w:pBdr>
          <w:top w:val="none" w:color="000000" w:sz="0" w:space="0"/>
          <w:left w:val="none" w:color="000000" w:sz="0" w:space="0"/>
          <w:bottom w:val="none" w:color="000000" w:sz="0" w:space="0"/>
          <w:right w:val="none" w:color="000000" w:sz="0" w:space="0"/>
        </w:pBdr>
        <w:shd w:val="clear" w:color="FFFFFF" w:fill="auto"/>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联系人：朱晓营、黄小斌、杨海滨</w:t>
      </w:r>
    </w:p>
    <w:p>
      <w:pPr>
        <w:pBdr>
          <w:top w:val="none" w:color="000000" w:sz="0" w:space="0"/>
          <w:left w:val="none" w:color="000000" w:sz="0" w:space="0"/>
          <w:bottom w:val="none" w:color="000000" w:sz="0" w:space="0"/>
          <w:right w:val="none" w:color="000000" w:sz="0" w:space="0"/>
        </w:pBdr>
        <w:shd w:val="clear" w:color="FFFFFF" w:fill="auto"/>
        <w:adjustRightInd w:val="0"/>
        <w:snapToGrid w:val="0"/>
        <w:spacing w:before="240" w:after="240"/>
        <w:ind w:firstLine="480"/>
        <w:rPr>
          <w:rFonts w:ascii="宋体" w:hAnsi="宋体" w:eastAsia="宋体" w:cs="宋体"/>
          <w:sz w:val="24"/>
          <w:szCs w:val="24"/>
          <w:lang w:eastAsia="zh-CN"/>
        </w:rPr>
      </w:pPr>
      <w:r>
        <w:rPr>
          <w:rFonts w:hint="eastAsia" w:ascii="宋体" w:hAnsi="宋体" w:eastAsia="宋体" w:cs="宋体"/>
          <w:sz w:val="24"/>
          <w:szCs w:val="24"/>
          <w:lang w:eastAsia="zh-CN"/>
        </w:rPr>
        <w:t>联系电话：15366778476、13022565577</w:t>
      </w:r>
    </w:p>
    <w:p>
      <w:pPr>
        <w:adjustRightInd w:val="0"/>
        <w:snapToGrid w:val="0"/>
        <w:rPr>
          <w:rFonts w:ascii="宋体" w:hAnsi="宋体" w:eastAsia="宋体" w:cs="宋体"/>
          <w:sz w:val="24"/>
          <w:szCs w:val="24"/>
          <w:lang w:eastAsia="zh-CN"/>
        </w:rPr>
      </w:pPr>
      <w:r>
        <w:rPr>
          <w:rFonts w:hint="eastAsia" w:ascii="宋体" w:hAnsi="宋体" w:eastAsia="宋体" w:cs="宋体"/>
          <w:sz w:val="24"/>
          <w:szCs w:val="24"/>
          <w:lang w:eastAsia="zh-CN"/>
        </w:rPr>
        <w:br w:type="page"/>
      </w:r>
    </w:p>
    <w:p>
      <w:pPr>
        <w:pBdr>
          <w:top w:val="none" w:color="000000" w:sz="0" w:space="0"/>
          <w:left w:val="none" w:color="000000" w:sz="0" w:space="0"/>
          <w:bottom w:val="none" w:color="000000" w:sz="0" w:space="0"/>
          <w:right w:val="none" w:color="000000" w:sz="0" w:space="0"/>
        </w:pBdr>
        <w:adjustRightInd w:val="0"/>
        <w:snapToGrid w:val="0"/>
        <w:spacing w:before="240" w:after="240"/>
        <w:ind w:firstLine="300"/>
        <w:jc w:val="center"/>
        <w:outlineLvl w:val="0"/>
        <w:rPr>
          <w:rFonts w:ascii="宋体" w:hAnsi="宋体" w:eastAsia="宋体" w:cs="宋体"/>
          <w:sz w:val="24"/>
          <w:szCs w:val="24"/>
          <w:lang w:eastAsia="zh-CN"/>
        </w:rPr>
      </w:pPr>
      <w:r>
        <w:rPr>
          <w:rFonts w:hint="eastAsia" w:ascii="宋体" w:hAnsi="宋体" w:eastAsia="宋体" w:cs="宋体"/>
          <w:sz w:val="24"/>
          <w:szCs w:val="24"/>
          <w:lang w:eastAsia="zh-CN"/>
        </w:rPr>
        <w:t xml:space="preserve"> </w:t>
      </w:r>
      <w:bookmarkStart w:id="21" w:name="_Toc1729"/>
      <w:r>
        <w:rPr>
          <w:rFonts w:hint="eastAsia" w:ascii="宋体" w:hAnsi="宋体" w:eastAsia="宋体" w:cs="宋体"/>
          <w:sz w:val="24"/>
          <w:szCs w:val="24"/>
          <w:lang w:eastAsia="zh-CN"/>
        </w:rPr>
        <w:t>附件</w:t>
      </w:r>
      <w:bookmarkEnd w:id="21"/>
    </w:p>
    <w:p>
      <w:pPr>
        <w:pBdr>
          <w:top w:val="none" w:color="000000" w:sz="0" w:space="0"/>
          <w:left w:val="none" w:color="000000" w:sz="0" w:space="0"/>
          <w:bottom w:val="none" w:color="000000" w:sz="0" w:space="0"/>
          <w:right w:val="none" w:color="000000" w:sz="0" w:space="0"/>
        </w:pBdr>
        <w:adjustRightInd w:val="0"/>
        <w:snapToGrid w:val="0"/>
        <w:spacing w:before="240" w:after="240"/>
        <w:ind w:firstLine="492"/>
        <w:rPr>
          <w:rFonts w:ascii="宋体" w:hAnsi="宋体" w:eastAsia="宋体" w:cs="宋体"/>
          <w:sz w:val="24"/>
          <w:szCs w:val="24"/>
          <w:lang w:eastAsia="zh-CN"/>
        </w:rPr>
      </w:pPr>
      <w:r>
        <w:rPr>
          <w:rFonts w:hint="eastAsia" w:ascii="宋体" w:hAnsi="宋体" w:eastAsia="宋体" w:cs="宋体"/>
          <w:sz w:val="24"/>
          <w:szCs w:val="24"/>
          <w:lang w:eastAsia="zh-CN"/>
        </w:rPr>
        <w:t>附件：</w:t>
      </w:r>
    </w:p>
    <w:p>
      <w:pPr>
        <w:pBdr>
          <w:top w:val="none" w:color="000000" w:sz="0" w:space="0"/>
          <w:left w:val="none" w:color="000000" w:sz="0" w:space="0"/>
          <w:bottom w:val="none" w:color="000000" w:sz="0" w:space="0"/>
          <w:right w:val="none" w:color="000000" w:sz="0" w:space="0"/>
        </w:pBdr>
        <w:adjustRightInd w:val="0"/>
        <w:snapToGrid w:val="0"/>
        <w:spacing w:before="240" w:after="240" w:line="240" w:lineRule="auto"/>
        <w:ind w:firstLine="969"/>
        <w:rPr>
          <w:rFonts w:ascii="宋体" w:hAnsi="宋体" w:eastAsia="宋体" w:cs="宋体"/>
          <w:sz w:val="24"/>
          <w:szCs w:val="24"/>
          <w:lang w:eastAsia="zh-CN"/>
        </w:rPr>
      </w:pPr>
      <w:r>
        <w:rPr>
          <w:rFonts w:hint="eastAsia" w:ascii="宋体" w:hAnsi="宋体" w:eastAsia="宋体" w:cs="宋体"/>
          <w:sz w:val="24"/>
          <w:szCs w:val="24"/>
          <w:lang w:eastAsia="zh-CN"/>
        </w:rPr>
        <w:t>1.《评分细则》</w:t>
      </w:r>
    </w:p>
    <w:p>
      <w:pPr>
        <w:pBdr>
          <w:top w:val="none" w:color="000000" w:sz="0" w:space="0"/>
          <w:left w:val="none" w:color="000000" w:sz="0" w:space="0"/>
          <w:bottom w:val="none" w:color="000000" w:sz="0" w:space="0"/>
          <w:right w:val="none" w:color="000000" w:sz="0" w:space="0"/>
        </w:pBdr>
        <w:adjustRightInd w:val="0"/>
        <w:snapToGrid w:val="0"/>
        <w:spacing w:before="240" w:after="240" w:line="240" w:lineRule="auto"/>
        <w:ind w:firstLine="972"/>
        <w:rPr>
          <w:rFonts w:ascii="宋体" w:hAnsi="宋体" w:eastAsia="宋体" w:cs="宋体"/>
          <w:sz w:val="24"/>
          <w:szCs w:val="24"/>
          <w:lang w:eastAsia="zh-CN"/>
        </w:rPr>
      </w:pPr>
      <w:r>
        <w:rPr>
          <w:rFonts w:hint="eastAsia" w:ascii="宋体" w:hAnsi="宋体" w:eastAsia="宋体" w:cs="宋体"/>
          <w:sz w:val="24"/>
          <w:szCs w:val="24"/>
          <w:lang w:eastAsia="zh-CN"/>
        </w:rPr>
        <w:t>2.《项目要求（采购需求）》</w:t>
      </w:r>
    </w:p>
    <w:p>
      <w:pPr>
        <w:pBdr>
          <w:top w:val="none" w:color="000000" w:sz="0" w:space="0"/>
          <w:left w:val="none" w:color="000000" w:sz="0" w:space="0"/>
          <w:bottom w:val="none" w:color="000000" w:sz="0" w:space="0"/>
          <w:right w:val="none" w:color="000000" w:sz="0" w:space="0"/>
        </w:pBdr>
        <w:adjustRightInd w:val="0"/>
        <w:snapToGrid w:val="0"/>
        <w:spacing w:before="240" w:after="240" w:line="240" w:lineRule="auto"/>
        <w:ind w:firstLine="972"/>
        <w:rPr>
          <w:rFonts w:ascii="宋体" w:hAnsi="宋体" w:eastAsia="宋体" w:cs="宋体"/>
          <w:sz w:val="24"/>
          <w:szCs w:val="24"/>
          <w:lang w:eastAsia="zh-CN"/>
        </w:rPr>
      </w:pPr>
      <w:r>
        <w:rPr>
          <w:rFonts w:hint="eastAsia" w:ascii="宋体" w:hAnsi="宋体" w:eastAsia="宋体" w:cs="宋体"/>
          <w:sz w:val="24"/>
          <w:szCs w:val="24"/>
          <w:lang w:eastAsia="zh-CN"/>
        </w:rPr>
        <w:t>3.《磋商报价表》</w:t>
      </w:r>
    </w:p>
    <w:p>
      <w:pPr>
        <w:pBdr>
          <w:top w:val="none" w:color="000000" w:sz="0" w:space="0"/>
          <w:left w:val="none" w:color="000000" w:sz="0" w:space="0"/>
          <w:bottom w:val="none" w:color="000000" w:sz="0" w:space="0"/>
          <w:right w:val="none" w:color="000000" w:sz="0" w:space="0"/>
        </w:pBdr>
        <w:adjustRightInd w:val="0"/>
        <w:snapToGrid w:val="0"/>
        <w:spacing w:before="240" w:after="240" w:line="240" w:lineRule="auto"/>
        <w:ind w:firstLine="972"/>
        <w:rPr>
          <w:rFonts w:ascii="宋体" w:hAnsi="宋体" w:eastAsia="宋体" w:cs="宋体"/>
          <w:sz w:val="24"/>
          <w:szCs w:val="24"/>
          <w:lang w:eastAsia="zh-CN"/>
        </w:rPr>
      </w:pPr>
      <w:r>
        <w:rPr>
          <w:rFonts w:hint="eastAsia" w:ascii="宋体" w:hAnsi="宋体" w:eastAsia="宋体" w:cs="宋体"/>
          <w:sz w:val="24"/>
          <w:szCs w:val="24"/>
          <w:lang w:eastAsia="zh-CN"/>
        </w:rPr>
        <w:t>4.《分项价格表》</w:t>
      </w:r>
    </w:p>
    <w:p>
      <w:pPr>
        <w:pBdr>
          <w:top w:val="none" w:color="000000" w:sz="0" w:space="0"/>
          <w:left w:val="none" w:color="000000" w:sz="0" w:space="0"/>
          <w:bottom w:val="none" w:color="000000" w:sz="0" w:space="0"/>
          <w:right w:val="none" w:color="000000" w:sz="0" w:space="0"/>
        </w:pBdr>
        <w:adjustRightInd w:val="0"/>
        <w:snapToGrid w:val="0"/>
        <w:spacing w:before="240" w:after="240" w:line="240" w:lineRule="auto"/>
        <w:ind w:firstLine="972"/>
        <w:rPr>
          <w:rFonts w:ascii="宋体" w:hAnsi="宋体" w:eastAsia="宋体" w:cs="宋体"/>
          <w:sz w:val="24"/>
          <w:szCs w:val="24"/>
          <w:lang w:eastAsia="zh-CN"/>
        </w:rPr>
      </w:pPr>
      <w:r>
        <w:rPr>
          <w:rFonts w:hint="eastAsia" w:ascii="宋体" w:hAnsi="宋体" w:eastAsia="宋体" w:cs="宋体"/>
          <w:sz w:val="24"/>
          <w:szCs w:val="24"/>
          <w:lang w:eastAsia="zh-CN"/>
        </w:rPr>
        <w:t>5.《偏离表》</w:t>
      </w:r>
    </w:p>
    <w:p>
      <w:pPr>
        <w:pBdr>
          <w:top w:val="none" w:color="000000" w:sz="0" w:space="0"/>
          <w:left w:val="none" w:color="000000" w:sz="0" w:space="0"/>
          <w:bottom w:val="none" w:color="000000" w:sz="0" w:space="0"/>
          <w:right w:val="none" w:color="000000" w:sz="0" w:space="0"/>
        </w:pBdr>
        <w:adjustRightInd w:val="0"/>
        <w:snapToGrid w:val="0"/>
        <w:spacing w:before="240" w:after="240" w:line="240" w:lineRule="auto"/>
        <w:ind w:firstLine="972"/>
        <w:rPr>
          <w:rFonts w:ascii="宋体" w:hAnsi="宋体" w:eastAsia="宋体" w:cs="宋体"/>
          <w:sz w:val="24"/>
          <w:szCs w:val="24"/>
          <w:lang w:eastAsia="zh-CN"/>
        </w:rPr>
      </w:pPr>
      <w:r>
        <w:rPr>
          <w:rFonts w:hint="eastAsia" w:ascii="宋体" w:hAnsi="宋体" w:eastAsia="宋体" w:cs="宋体"/>
          <w:sz w:val="24"/>
          <w:szCs w:val="24"/>
          <w:lang w:eastAsia="zh-CN"/>
        </w:rPr>
        <w:t>6.《合同草案条款》</w:t>
      </w:r>
    </w:p>
    <w:p>
      <w:pPr>
        <w:pBdr>
          <w:top w:val="none" w:color="000000" w:sz="0" w:space="0"/>
          <w:left w:val="none" w:color="000000" w:sz="0" w:space="0"/>
          <w:bottom w:val="none" w:color="000000" w:sz="0" w:space="0"/>
          <w:right w:val="none" w:color="000000" w:sz="0" w:space="0"/>
        </w:pBdr>
        <w:adjustRightInd w:val="0"/>
        <w:snapToGrid w:val="0"/>
        <w:spacing w:before="240" w:after="240" w:line="240" w:lineRule="auto"/>
        <w:ind w:firstLine="972"/>
        <w:rPr>
          <w:rFonts w:ascii="宋体" w:hAnsi="宋体" w:eastAsia="宋体" w:cs="宋体"/>
          <w:sz w:val="24"/>
          <w:szCs w:val="24"/>
          <w:lang w:eastAsia="zh-CN"/>
        </w:rPr>
      </w:pPr>
      <w:r>
        <w:rPr>
          <w:rFonts w:hint="eastAsia" w:ascii="宋体" w:hAnsi="宋体" w:eastAsia="宋体" w:cs="宋体"/>
          <w:sz w:val="24"/>
          <w:szCs w:val="24"/>
          <w:lang w:eastAsia="zh-CN"/>
        </w:rPr>
        <w:t>7.《承诺书》</w:t>
      </w:r>
    </w:p>
    <w:p>
      <w:pPr>
        <w:pBdr>
          <w:top w:val="none" w:color="000000" w:sz="0" w:space="0"/>
          <w:left w:val="none" w:color="000000" w:sz="0" w:space="0"/>
          <w:bottom w:val="none" w:color="000000" w:sz="0" w:space="0"/>
          <w:right w:val="none" w:color="000000" w:sz="0" w:space="0"/>
        </w:pBdr>
        <w:adjustRightInd w:val="0"/>
        <w:snapToGrid w:val="0"/>
        <w:spacing w:before="240" w:after="240" w:line="240" w:lineRule="auto"/>
        <w:ind w:firstLine="972"/>
        <w:rPr>
          <w:rFonts w:ascii="宋体" w:hAnsi="宋体" w:eastAsia="宋体" w:cs="宋体"/>
          <w:sz w:val="24"/>
          <w:szCs w:val="24"/>
          <w:lang w:eastAsia="zh-CN"/>
        </w:rPr>
      </w:pPr>
      <w:r>
        <w:rPr>
          <w:rFonts w:hint="eastAsia" w:ascii="宋体" w:hAnsi="宋体" w:eastAsia="宋体" w:cs="宋体"/>
          <w:sz w:val="24"/>
          <w:szCs w:val="24"/>
          <w:lang w:eastAsia="zh-CN"/>
        </w:rPr>
        <w:t>8.《授权委托书》</w:t>
      </w:r>
    </w:p>
    <w:p>
      <w:pPr>
        <w:pBdr>
          <w:top w:val="none" w:color="000000" w:sz="0" w:space="0"/>
          <w:left w:val="none" w:color="000000" w:sz="0" w:space="0"/>
          <w:bottom w:val="none" w:color="000000" w:sz="0" w:space="0"/>
          <w:right w:val="none" w:color="000000" w:sz="0" w:space="0"/>
        </w:pBdr>
        <w:adjustRightInd w:val="0"/>
        <w:snapToGrid w:val="0"/>
        <w:spacing w:before="240" w:after="240" w:line="240" w:lineRule="auto"/>
        <w:ind w:firstLine="972"/>
        <w:rPr>
          <w:rFonts w:ascii="宋体" w:hAnsi="宋体" w:eastAsia="宋体" w:cs="宋体"/>
          <w:sz w:val="24"/>
          <w:szCs w:val="24"/>
          <w:lang w:eastAsia="zh-CN"/>
        </w:rPr>
      </w:pPr>
      <w:r>
        <w:rPr>
          <w:rFonts w:hint="eastAsia" w:ascii="宋体" w:hAnsi="宋体" w:eastAsia="宋体" w:cs="宋体"/>
          <w:sz w:val="24"/>
          <w:szCs w:val="24"/>
          <w:lang w:eastAsia="zh-CN"/>
        </w:rPr>
        <w:t>9.《中小企业声明函》</w:t>
      </w:r>
    </w:p>
    <w:p>
      <w:pPr>
        <w:pBdr>
          <w:top w:val="none" w:color="000000" w:sz="0" w:space="0"/>
          <w:left w:val="none" w:color="000000" w:sz="0" w:space="0"/>
          <w:bottom w:val="none" w:color="000000" w:sz="0" w:space="0"/>
          <w:right w:val="none" w:color="000000" w:sz="0" w:space="0"/>
        </w:pBdr>
        <w:adjustRightInd w:val="0"/>
        <w:snapToGrid w:val="0"/>
        <w:spacing w:before="240" w:after="240" w:line="240" w:lineRule="auto"/>
        <w:ind w:firstLine="972"/>
        <w:rPr>
          <w:rFonts w:ascii="宋体" w:hAnsi="宋体" w:eastAsia="宋体" w:cs="宋体"/>
          <w:sz w:val="24"/>
          <w:szCs w:val="24"/>
          <w:lang w:eastAsia="zh-CN"/>
        </w:rPr>
      </w:pPr>
      <w:r>
        <w:rPr>
          <w:rFonts w:hint="eastAsia" w:ascii="宋体" w:hAnsi="宋体" w:eastAsia="宋体" w:cs="宋体"/>
          <w:sz w:val="24"/>
          <w:szCs w:val="24"/>
          <w:lang w:eastAsia="zh-CN"/>
        </w:rPr>
        <w:t>10.《供应商参加政府采购活动前3年内在经营活动中没有重大违法记录的书面声明》</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972"/>
        <w:rPr>
          <w:rFonts w:ascii="宋体" w:hAnsi="宋体" w:eastAsia="宋体" w:cs="宋体"/>
          <w:sz w:val="24"/>
          <w:szCs w:val="24"/>
          <w:lang w:eastAsia="zh-CN"/>
        </w:rPr>
      </w:pPr>
      <w:r>
        <w:rPr>
          <w:rFonts w:hint="eastAsia" w:ascii="宋体" w:hAnsi="宋体" w:eastAsia="宋体" w:cs="宋体"/>
          <w:sz w:val="24"/>
          <w:szCs w:val="24"/>
          <w:lang w:eastAsia="zh-CN"/>
        </w:rPr>
        <w:t>11.《残疾人福利性单位声明函》</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972"/>
        <w:rPr>
          <w:rFonts w:ascii="宋体" w:hAnsi="宋体" w:eastAsia="宋体" w:cs="宋体"/>
          <w:sz w:val="24"/>
          <w:szCs w:val="24"/>
          <w:lang w:eastAsia="zh-CN"/>
        </w:rPr>
      </w:pPr>
      <w:r>
        <w:rPr>
          <w:rFonts w:hint="eastAsia" w:ascii="宋体" w:hAnsi="宋体" w:eastAsia="宋体" w:cs="宋体"/>
          <w:sz w:val="24"/>
          <w:szCs w:val="24"/>
          <w:lang w:eastAsia="zh-CN"/>
        </w:rPr>
        <w:t>12.《具备履行合同所必需的设备和专业技术能力的书面声明（附证明材料原件的扫描件）》</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972"/>
        <w:rPr>
          <w:rFonts w:ascii="宋体" w:hAnsi="宋体" w:eastAsia="宋体" w:cs="宋体"/>
          <w:sz w:val="24"/>
          <w:szCs w:val="24"/>
          <w:lang w:eastAsia="zh-CN"/>
        </w:rPr>
      </w:pPr>
      <w:r>
        <w:rPr>
          <w:rFonts w:hint="eastAsia" w:ascii="宋体" w:hAnsi="宋体" w:eastAsia="宋体" w:cs="宋体"/>
          <w:sz w:val="24"/>
          <w:szCs w:val="24"/>
          <w:lang w:eastAsia="zh-CN"/>
        </w:rPr>
        <w:t>13.《代理服务收费标准》</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972"/>
        <w:rPr>
          <w:rFonts w:ascii="宋体" w:hAnsi="宋体" w:eastAsia="宋体" w:cs="宋体"/>
          <w:sz w:val="24"/>
          <w:szCs w:val="24"/>
          <w:lang w:eastAsia="zh-CN"/>
        </w:rPr>
      </w:pPr>
      <w:r>
        <w:rPr>
          <w:rFonts w:hint="eastAsia" w:ascii="宋体" w:hAnsi="宋体" w:eastAsia="宋体" w:cs="宋体"/>
          <w:sz w:val="24"/>
          <w:szCs w:val="24"/>
          <w:lang w:eastAsia="zh-CN"/>
        </w:rPr>
        <w:t>14.《预付款保函支付条款模板》</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972"/>
        <w:rPr>
          <w:rFonts w:ascii="宋体" w:hAnsi="宋体" w:eastAsia="宋体" w:cs="宋体"/>
          <w:sz w:val="24"/>
          <w:szCs w:val="24"/>
          <w:lang w:eastAsia="zh-CN"/>
        </w:rPr>
      </w:pPr>
      <w:r>
        <w:rPr>
          <w:rFonts w:hint="eastAsia" w:ascii="宋体" w:hAnsi="宋体" w:eastAsia="宋体" w:cs="宋体"/>
          <w:sz w:val="24"/>
          <w:szCs w:val="24"/>
          <w:lang w:eastAsia="zh-CN"/>
        </w:rPr>
        <w:t>15.《人员配置表》</w:t>
      </w:r>
    </w:p>
    <w:p>
      <w:pPr>
        <w:adjustRightInd w:val="0"/>
        <w:snapToGrid w:val="0"/>
        <w:spacing w:line="240" w:lineRule="auto"/>
        <w:rPr>
          <w:rFonts w:ascii="宋体" w:hAnsi="宋体" w:eastAsia="宋体" w:cs="宋体"/>
          <w:sz w:val="24"/>
          <w:szCs w:val="24"/>
          <w:lang w:eastAsia="zh-CN"/>
        </w:rPr>
      </w:pPr>
      <w:r>
        <w:rPr>
          <w:rFonts w:hint="eastAsia" w:ascii="宋体" w:hAnsi="宋体" w:eastAsia="宋体" w:cs="宋体"/>
          <w:sz w:val="24"/>
          <w:szCs w:val="24"/>
          <w:lang w:eastAsia="zh-CN"/>
        </w:rPr>
        <w:br w:type="page"/>
      </w:r>
    </w:p>
    <w:p>
      <w:pPr>
        <w:numPr>
          <w:ilvl w:val="0"/>
          <w:numId w:val="2"/>
        </w:numPr>
        <w:adjustRightInd w:val="0"/>
        <w:snapToGrid w:val="0"/>
        <w:spacing w:line="240" w:lineRule="auto"/>
        <w:ind w:firstLine="562"/>
        <w:jc w:val="center"/>
        <w:outlineLvl w:val="1"/>
        <w:rPr>
          <w:rFonts w:ascii="宋体" w:hAnsi="宋体" w:eastAsia="宋体" w:cs="宋体"/>
          <w:b/>
          <w:sz w:val="24"/>
          <w:szCs w:val="24"/>
          <w:lang w:eastAsia="zh-CN"/>
        </w:rPr>
      </w:pPr>
      <w:r>
        <w:rPr>
          <w:rFonts w:hint="eastAsia" w:ascii="宋体" w:hAnsi="宋体" w:eastAsia="宋体" w:cs="宋体"/>
          <w:b/>
          <w:sz w:val="24"/>
          <w:szCs w:val="24"/>
          <w:lang w:eastAsia="zh-CN"/>
        </w:rPr>
        <w:t>评分细则</w:t>
      </w:r>
    </w:p>
    <w:tbl>
      <w:tblPr>
        <w:tblStyle w:val="5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844"/>
        <w:gridCol w:w="5522"/>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2156" w:type="dxa"/>
            <w:gridSpan w:val="2"/>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评分项目</w:t>
            </w:r>
          </w:p>
        </w:tc>
        <w:tc>
          <w:tcPr>
            <w:tcW w:w="5522"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评分细则</w:t>
            </w:r>
          </w:p>
        </w:tc>
        <w:tc>
          <w:tcPr>
            <w:tcW w:w="84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2156" w:type="dxa"/>
            <w:gridSpan w:val="2"/>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一、</w:t>
            </w:r>
            <w:r>
              <w:rPr>
                <w:rFonts w:hint="eastAsia" w:asciiTheme="minorEastAsia" w:hAnsiTheme="minorEastAsia" w:eastAsiaTheme="minorEastAsia" w:cstheme="minorEastAsia"/>
                <w:color w:val="000000"/>
                <w:sz w:val="21"/>
                <w:szCs w:val="21"/>
                <w:lang w:eastAsia="zh-CN"/>
              </w:rPr>
              <w:t>磋商报价</w:t>
            </w:r>
            <w:r>
              <w:rPr>
                <w:rFonts w:hint="eastAsia" w:asciiTheme="minorEastAsia" w:hAnsiTheme="minorEastAsia" w:eastAsiaTheme="minorEastAsia" w:cstheme="minorEastAsia"/>
                <w:color w:val="000000"/>
                <w:sz w:val="21"/>
                <w:szCs w:val="21"/>
              </w:rPr>
              <w:t>（10分）</w:t>
            </w:r>
          </w:p>
        </w:tc>
        <w:tc>
          <w:tcPr>
            <w:tcW w:w="5522"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采用低价优先法计算，即满足磋商文件要求且最后报价最低的供应商的价格为磋商基准价，其价格分为满分。其他供应商的价格分统一按照下列公式计算：磋商报价得分=（磋商基准价/最后磋商报价）×10；得分四舍五入保留小数点后2位。</w:t>
            </w:r>
          </w:p>
        </w:tc>
        <w:tc>
          <w:tcPr>
            <w:tcW w:w="84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2" w:type="dxa"/>
            <w:vMerge w:val="restart"/>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二、商务部分 （</w:t>
            </w:r>
            <w:r>
              <w:rPr>
                <w:rFonts w:asciiTheme="minorEastAsia" w:hAnsiTheme="minorEastAsia" w:eastAsiaTheme="minorEastAsia" w:cstheme="minorEastAsia"/>
                <w:color w:val="000000"/>
                <w:sz w:val="21"/>
                <w:szCs w:val="21"/>
              </w:rPr>
              <w:t>23</w:t>
            </w:r>
            <w:r>
              <w:rPr>
                <w:rFonts w:hint="eastAsia" w:asciiTheme="minorEastAsia" w:hAnsiTheme="minorEastAsia" w:eastAsiaTheme="minorEastAsia" w:cstheme="minorEastAsia"/>
                <w:color w:val="000000"/>
                <w:sz w:val="21"/>
                <w:szCs w:val="21"/>
              </w:rPr>
              <w:t>分）</w:t>
            </w:r>
          </w:p>
        </w:tc>
        <w:tc>
          <w:tcPr>
            <w:tcW w:w="844" w:type="dxa"/>
            <w:vMerge w:val="restart"/>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供应商</w:t>
            </w:r>
            <w:r>
              <w:rPr>
                <w:rFonts w:hint="eastAsia" w:asciiTheme="minorEastAsia" w:hAnsiTheme="minorEastAsia" w:eastAsiaTheme="minorEastAsia" w:cstheme="minorEastAsia"/>
                <w:color w:val="000000"/>
                <w:sz w:val="21"/>
                <w:szCs w:val="21"/>
              </w:rPr>
              <w:t>综合实</w:t>
            </w:r>
            <w:r>
              <w:rPr>
                <w:rFonts w:hint="eastAsia" w:asciiTheme="minorEastAsia" w:hAnsiTheme="minorEastAsia" w:eastAsiaTheme="minorEastAsia" w:cstheme="minorEastAsia"/>
                <w:color w:val="000000"/>
                <w:sz w:val="21"/>
                <w:szCs w:val="21"/>
                <w:lang w:eastAsia="zh-CN"/>
              </w:rPr>
              <w:t>力</w:t>
            </w:r>
            <w:r>
              <w:rPr>
                <w:rFonts w:hint="eastAsia" w:asciiTheme="minorEastAsia" w:hAnsiTheme="minorEastAsia" w:eastAsiaTheme="minorEastAsia" w:cstheme="minorEastAsia"/>
                <w:color w:val="000000"/>
                <w:sz w:val="21"/>
                <w:szCs w:val="21"/>
              </w:rPr>
              <w:t>（</w:t>
            </w:r>
            <w:r>
              <w:rPr>
                <w:rFonts w:asciiTheme="minorEastAsia" w:hAnsiTheme="minorEastAsia" w:eastAsiaTheme="minorEastAsia" w:cstheme="minorEastAsia"/>
                <w:color w:val="000000"/>
                <w:sz w:val="21"/>
                <w:szCs w:val="21"/>
              </w:rPr>
              <w:t>23</w:t>
            </w:r>
            <w:r>
              <w:rPr>
                <w:rFonts w:hint="eastAsia" w:asciiTheme="minorEastAsia" w:hAnsiTheme="minorEastAsia" w:eastAsiaTheme="minorEastAsia" w:cstheme="minorEastAsia"/>
                <w:color w:val="000000"/>
                <w:sz w:val="21"/>
                <w:szCs w:val="21"/>
              </w:rPr>
              <w:t>分）</w:t>
            </w:r>
          </w:p>
        </w:tc>
        <w:tc>
          <w:tcPr>
            <w:tcW w:w="5522"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响应文件</w:t>
            </w:r>
            <w:r>
              <w:rPr>
                <w:rFonts w:hint="eastAsia" w:asciiTheme="minorEastAsia" w:hAnsiTheme="minorEastAsia" w:eastAsiaTheme="minorEastAsia" w:cstheme="minorEastAsia"/>
                <w:color w:val="000000"/>
                <w:sz w:val="21"/>
                <w:szCs w:val="21"/>
              </w:rPr>
              <w:t>中提供</w:t>
            </w:r>
            <w:r>
              <w:rPr>
                <w:rFonts w:hint="eastAsia" w:asciiTheme="minorEastAsia" w:hAnsiTheme="minorEastAsia" w:eastAsiaTheme="minorEastAsia" w:cstheme="minorEastAsia"/>
                <w:color w:val="000000"/>
                <w:sz w:val="21"/>
                <w:szCs w:val="21"/>
                <w:lang w:eastAsia="zh-CN"/>
              </w:rPr>
              <w:t>供应商</w:t>
            </w:r>
            <w:r>
              <w:rPr>
                <w:rFonts w:hint="eastAsia" w:asciiTheme="minorEastAsia" w:hAnsiTheme="minorEastAsia" w:eastAsiaTheme="minorEastAsia" w:cstheme="minorEastAsia"/>
                <w:color w:val="000000"/>
                <w:sz w:val="21"/>
                <w:szCs w:val="21"/>
              </w:rPr>
              <w:t>的：ISO9001质量体系认证证书复、ISO14001环境体系认证证书、ISO45001职业健康安全管理体系认证证书，每提供一个得</w:t>
            </w:r>
            <w:r>
              <w:rPr>
                <w:rFonts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rPr>
              <w:t>分；本项最高得</w:t>
            </w:r>
            <w:r>
              <w:rPr>
                <w:rFonts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rPr>
              <w:t>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响应文件</w:t>
            </w:r>
            <w:r>
              <w:rPr>
                <w:rFonts w:hint="eastAsia" w:asciiTheme="minorEastAsia" w:hAnsiTheme="minorEastAsia" w:eastAsiaTheme="minorEastAsia" w:cstheme="minorEastAsia"/>
                <w:color w:val="000000"/>
                <w:sz w:val="21"/>
                <w:szCs w:val="21"/>
              </w:rPr>
              <w:t>中须上传证书原件扫描件，不提供的不得分。</w:t>
            </w:r>
          </w:p>
        </w:tc>
        <w:tc>
          <w:tcPr>
            <w:tcW w:w="84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color w:val="000000"/>
                <w:sz w:val="21"/>
                <w:szCs w:val="21"/>
                <w:lang w:eastAsia="zh-CN"/>
              </w:rPr>
            </w:pPr>
            <w:r>
              <w:rPr>
                <w:rFonts w:asciiTheme="minorEastAsia" w:hAnsiTheme="minorEastAsia" w:eastAsiaTheme="minorEastAsia" w:cstheme="minorEastAsia"/>
                <w:color w:val="000000"/>
                <w:sz w:val="21"/>
                <w:szCs w:val="21"/>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1312" w:type="dxa"/>
            <w:vMerge w:val="continue"/>
          </w:tcPr>
          <w:p>
            <w:pPr>
              <w:spacing w:after="0" w:line="240" w:lineRule="auto"/>
              <w:rPr>
                <w:rFonts w:asciiTheme="minorEastAsia" w:hAnsiTheme="minorEastAsia" w:eastAsiaTheme="minorEastAsia" w:cstheme="minorEastAsia"/>
                <w:sz w:val="21"/>
                <w:szCs w:val="21"/>
              </w:rPr>
            </w:pPr>
          </w:p>
        </w:tc>
        <w:tc>
          <w:tcPr>
            <w:tcW w:w="844" w:type="dxa"/>
            <w:vMerge w:val="continue"/>
          </w:tcPr>
          <w:p>
            <w:pPr>
              <w:spacing w:after="0" w:line="240" w:lineRule="auto"/>
              <w:rPr>
                <w:rFonts w:asciiTheme="minorEastAsia" w:hAnsiTheme="minorEastAsia" w:eastAsiaTheme="minorEastAsia" w:cstheme="minorEastAsia"/>
                <w:sz w:val="21"/>
                <w:szCs w:val="21"/>
              </w:rPr>
            </w:pPr>
          </w:p>
        </w:tc>
        <w:tc>
          <w:tcPr>
            <w:tcW w:w="5522"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响应文件</w:t>
            </w:r>
            <w:r>
              <w:rPr>
                <w:rFonts w:hint="eastAsia" w:asciiTheme="minorEastAsia" w:hAnsiTheme="minorEastAsia" w:eastAsiaTheme="minorEastAsia" w:cstheme="minorEastAsia"/>
                <w:color w:val="000000"/>
                <w:sz w:val="21"/>
                <w:szCs w:val="21"/>
              </w:rPr>
              <w:t>中提供</w:t>
            </w:r>
            <w:r>
              <w:rPr>
                <w:rFonts w:hint="eastAsia" w:asciiTheme="minorEastAsia" w:hAnsiTheme="minorEastAsia" w:eastAsiaTheme="minorEastAsia" w:cstheme="minorEastAsia"/>
                <w:color w:val="000000"/>
                <w:sz w:val="21"/>
                <w:szCs w:val="21"/>
                <w:lang w:eastAsia="zh-CN"/>
              </w:rPr>
              <w:t>供应商</w:t>
            </w:r>
            <w:r>
              <w:rPr>
                <w:rFonts w:hint="eastAsia" w:asciiTheme="minorEastAsia" w:hAnsiTheme="minorEastAsia" w:eastAsiaTheme="minorEastAsia" w:cstheme="minorEastAsia"/>
                <w:color w:val="000000"/>
                <w:sz w:val="21"/>
                <w:szCs w:val="21"/>
              </w:rPr>
              <w:t>的：</w:t>
            </w:r>
            <w:r>
              <w:rPr>
                <w:rFonts w:hint="eastAsia" w:asciiTheme="minorEastAsia" w:hAnsiTheme="minorEastAsia" w:eastAsiaTheme="minorEastAsia" w:cstheme="minorEastAsia"/>
                <w:color w:val="000000"/>
                <w:sz w:val="21"/>
                <w:szCs w:val="21"/>
                <w:lang w:eastAsia="zh-CN"/>
              </w:rPr>
              <w:t>《从事</w:t>
            </w:r>
            <w:r>
              <w:rPr>
                <w:rFonts w:hint="eastAsia" w:asciiTheme="minorEastAsia" w:hAnsiTheme="minorEastAsia" w:eastAsiaTheme="minorEastAsia" w:cstheme="minorEastAsia"/>
                <w:color w:val="000000"/>
                <w:sz w:val="21"/>
                <w:szCs w:val="21"/>
              </w:rPr>
              <w:t>城市生活垃圾经营性清扫、收集、运输服务许可证</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（有</w:t>
            </w:r>
            <w:r>
              <w:rPr>
                <w:rFonts w:hint="eastAsia" w:asciiTheme="minorEastAsia" w:hAnsiTheme="minorEastAsia" w:eastAsiaTheme="minorEastAsia" w:cstheme="minorEastAsia"/>
                <w:color w:val="000000"/>
                <w:sz w:val="21"/>
                <w:szCs w:val="21"/>
                <w:lang w:eastAsia="zh-CN"/>
              </w:rPr>
              <w:t>效</w:t>
            </w:r>
            <w:r>
              <w:rPr>
                <w:rFonts w:hint="eastAsia" w:asciiTheme="minorEastAsia" w:hAnsiTheme="minorEastAsia" w:eastAsiaTheme="minorEastAsia" w:cstheme="minorEastAsia"/>
                <w:color w:val="000000"/>
                <w:sz w:val="21"/>
                <w:szCs w:val="21"/>
              </w:rPr>
              <w:t>期内）。本项最高得10分。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响应文件</w:t>
            </w:r>
            <w:r>
              <w:rPr>
                <w:rFonts w:hint="eastAsia" w:asciiTheme="minorEastAsia" w:hAnsiTheme="minorEastAsia" w:eastAsiaTheme="minorEastAsia" w:cstheme="minorEastAsia"/>
                <w:color w:val="000000"/>
                <w:sz w:val="21"/>
                <w:szCs w:val="21"/>
              </w:rPr>
              <w:t>中须上传证书原件扫描件，不提供的不得分。</w:t>
            </w:r>
          </w:p>
        </w:tc>
        <w:tc>
          <w:tcPr>
            <w:tcW w:w="84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312" w:type="dxa"/>
            <w:vMerge w:val="continue"/>
          </w:tcPr>
          <w:p>
            <w:pPr>
              <w:spacing w:after="0" w:line="240" w:lineRule="auto"/>
              <w:rPr>
                <w:rFonts w:asciiTheme="minorEastAsia" w:hAnsiTheme="minorEastAsia" w:eastAsiaTheme="minorEastAsia" w:cstheme="minorEastAsia"/>
                <w:sz w:val="21"/>
                <w:szCs w:val="21"/>
              </w:rPr>
            </w:pPr>
          </w:p>
        </w:tc>
        <w:tc>
          <w:tcPr>
            <w:tcW w:w="844" w:type="dxa"/>
            <w:vMerge w:val="continue"/>
          </w:tcPr>
          <w:p>
            <w:pPr>
              <w:spacing w:after="0" w:line="240" w:lineRule="auto"/>
              <w:rPr>
                <w:rFonts w:asciiTheme="minorEastAsia" w:hAnsiTheme="minorEastAsia" w:eastAsiaTheme="minorEastAsia" w:cstheme="minorEastAsia"/>
                <w:sz w:val="21"/>
                <w:szCs w:val="21"/>
              </w:rPr>
            </w:pPr>
          </w:p>
        </w:tc>
        <w:tc>
          <w:tcPr>
            <w:tcW w:w="5522"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响应文件中提供供应商自</w:t>
            </w:r>
            <w:r>
              <w:rPr>
                <w:rFonts w:asciiTheme="minorEastAsia" w:hAnsiTheme="minorEastAsia" w:eastAsiaTheme="minorEastAsia" w:cstheme="minorEastAsia"/>
                <w:color w:val="000000"/>
                <w:sz w:val="21"/>
                <w:szCs w:val="21"/>
                <w:lang w:eastAsia="zh-CN"/>
              </w:rPr>
              <w:t>2020</w:t>
            </w:r>
            <w:r>
              <w:rPr>
                <w:rFonts w:hint="eastAsia" w:asciiTheme="minorEastAsia" w:hAnsiTheme="minorEastAsia" w:eastAsiaTheme="minorEastAsia" w:cstheme="minorEastAsia"/>
                <w:color w:val="000000"/>
                <w:sz w:val="21"/>
                <w:szCs w:val="21"/>
                <w:lang w:eastAsia="zh-CN"/>
              </w:rPr>
              <w:t>年</w:t>
            </w:r>
            <w:r>
              <w:rPr>
                <w:rFonts w:asciiTheme="minorEastAsia" w:hAnsiTheme="minorEastAsia" w:eastAsiaTheme="minorEastAsia" w:cstheme="minorEastAsia"/>
                <w:color w:val="000000"/>
                <w:sz w:val="21"/>
                <w:szCs w:val="21"/>
                <w:lang w:eastAsia="zh-CN"/>
              </w:rPr>
              <w:t>12</w:t>
            </w:r>
            <w:r>
              <w:rPr>
                <w:rFonts w:hint="eastAsia" w:asciiTheme="minorEastAsia" w:hAnsiTheme="minorEastAsia" w:eastAsiaTheme="minorEastAsia" w:cstheme="minorEastAsia"/>
                <w:color w:val="000000"/>
                <w:sz w:val="21"/>
                <w:szCs w:val="21"/>
                <w:lang w:eastAsia="zh-CN"/>
              </w:rPr>
              <w:t>月</w:t>
            </w:r>
            <w:r>
              <w:rPr>
                <w:rFonts w:asciiTheme="minorEastAsia" w:hAnsiTheme="minorEastAsia" w:eastAsiaTheme="minorEastAsia" w:cstheme="minorEastAsia"/>
                <w:color w:val="000000"/>
                <w:sz w:val="21"/>
                <w:szCs w:val="21"/>
                <w:lang w:eastAsia="zh-CN"/>
              </w:rPr>
              <w:t>1</w:t>
            </w:r>
            <w:r>
              <w:rPr>
                <w:rFonts w:hint="eastAsia" w:asciiTheme="minorEastAsia" w:hAnsiTheme="minorEastAsia" w:eastAsiaTheme="minorEastAsia" w:cstheme="minorEastAsia"/>
                <w:color w:val="000000"/>
                <w:sz w:val="21"/>
                <w:szCs w:val="21"/>
                <w:lang w:eastAsia="zh-CN"/>
              </w:rPr>
              <w:t>日以来承担过和本项目类似的垃圾清运业绩证明的每有一个得</w:t>
            </w:r>
            <w:r>
              <w:rPr>
                <w:rFonts w:asciiTheme="minorEastAsia" w:hAnsiTheme="minorEastAsia" w:eastAsiaTheme="minorEastAsia" w:cstheme="minorEastAsia"/>
                <w:color w:val="000000"/>
                <w:sz w:val="21"/>
                <w:szCs w:val="21"/>
                <w:lang w:eastAsia="zh-CN"/>
              </w:rPr>
              <w:t>2</w:t>
            </w:r>
            <w:r>
              <w:rPr>
                <w:rFonts w:hint="eastAsia" w:asciiTheme="minorEastAsia" w:hAnsiTheme="minorEastAsia" w:eastAsiaTheme="minorEastAsia" w:cstheme="minorEastAsia"/>
                <w:color w:val="000000"/>
                <w:sz w:val="21"/>
                <w:szCs w:val="21"/>
                <w:lang w:eastAsia="zh-CN"/>
              </w:rPr>
              <w:t>分，本项目最高得</w:t>
            </w:r>
            <w:r>
              <w:rPr>
                <w:rFonts w:asciiTheme="minorEastAsia" w:hAnsiTheme="minorEastAsia" w:eastAsiaTheme="minorEastAsia" w:cstheme="minorEastAsia"/>
                <w:color w:val="000000"/>
                <w:sz w:val="21"/>
                <w:szCs w:val="21"/>
                <w:lang w:eastAsia="zh-CN"/>
              </w:rPr>
              <w:t>4</w:t>
            </w:r>
            <w:r>
              <w:rPr>
                <w:rFonts w:hint="eastAsia" w:asciiTheme="minorEastAsia" w:hAnsiTheme="minorEastAsia" w:eastAsiaTheme="minorEastAsia" w:cstheme="minorEastAsia"/>
                <w:color w:val="000000"/>
                <w:sz w:val="21"/>
                <w:szCs w:val="21"/>
                <w:lang w:eastAsia="zh-CN"/>
              </w:rPr>
              <w:t>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提供合同原件扫描件，具体时间以合同签订日期为准，不清晰或者不能判定是否为类似业绩的不得分。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不提供的不得分。</w:t>
            </w:r>
          </w:p>
        </w:tc>
        <w:tc>
          <w:tcPr>
            <w:tcW w:w="84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color w:val="000000"/>
                <w:sz w:val="21"/>
                <w:szCs w:val="21"/>
                <w:lang w:eastAsia="zh-CN"/>
              </w:rPr>
            </w:pPr>
            <w:r>
              <w:rPr>
                <w:rFonts w:asciiTheme="minorEastAsia" w:hAnsiTheme="minorEastAsia" w:eastAsiaTheme="minorEastAsia" w:cstheme="minorEastAsia"/>
                <w:color w:val="000000"/>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1312" w:type="dxa"/>
            <w:vMerge w:val="continue"/>
          </w:tcPr>
          <w:p>
            <w:pPr>
              <w:spacing w:after="0" w:line="240" w:lineRule="auto"/>
              <w:rPr>
                <w:rFonts w:asciiTheme="minorEastAsia" w:hAnsiTheme="minorEastAsia" w:eastAsiaTheme="minorEastAsia" w:cstheme="minorEastAsia"/>
                <w:sz w:val="21"/>
                <w:szCs w:val="21"/>
              </w:rPr>
            </w:pPr>
          </w:p>
        </w:tc>
        <w:tc>
          <w:tcPr>
            <w:tcW w:w="844" w:type="dxa"/>
            <w:vMerge w:val="continue"/>
          </w:tcPr>
          <w:p>
            <w:pPr>
              <w:spacing w:after="0" w:line="240" w:lineRule="auto"/>
              <w:rPr>
                <w:rFonts w:asciiTheme="minorEastAsia" w:hAnsiTheme="minorEastAsia" w:eastAsiaTheme="minorEastAsia" w:cstheme="minorEastAsia"/>
                <w:sz w:val="21"/>
                <w:szCs w:val="21"/>
              </w:rPr>
            </w:pPr>
          </w:p>
        </w:tc>
        <w:tc>
          <w:tcPr>
            <w:tcW w:w="5522"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收运配备车辆（须</w:t>
            </w:r>
            <w:r>
              <w:rPr>
                <w:rFonts w:hint="eastAsia" w:asciiTheme="minorEastAsia" w:hAnsiTheme="minorEastAsia" w:eastAsiaTheme="minorEastAsia" w:cstheme="minorEastAsia"/>
                <w:color w:val="000000"/>
                <w:sz w:val="21"/>
                <w:szCs w:val="21"/>
                <w:lang w:eastAsia="zh-CN"/>
              </w:rPr>
              <w:t>供应商</w:t>
            </w:r>
            <w:r>
              <w:rPr>
                <w:rFonts w:hint="eastAsia" w:asciiTheme="minorEastAsia" w:hAnsiTheme="minorEastAsia" w:eastAsiaTheme="minorEastAsia" w:cstheme="minorEastAsia"/>
                <w:color w:val="000000"/>
                <w:sz w:val="21"/>
                <w:szCs w:val="21"/>
              </w:rPr>
              <w:t>所有）：</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垃圾压缩车核载吨位5吨以上，配备4辆车，得6分；配备3辆车，得4分；配备2辆车，得2分。本项最高得6 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响应文件</w:t>
            </w:r>
            <w:r>
              <w:rPr>
                <w:rFonts w:hint="eastAsia" w:asciiTheme="minorEastAsia" w:hAnsiTheme="minorEastAsia" w:eastAsiaTheme="minorEastAsia" w:cstheme="minorEastAsia"/>
                <w:color w:val="000000"/>
                <w:sz w:val="21"/>
                <w:szCs w:val="21"/>
              </w:rPr>
              <w:t>中须上传行驶证原件扫描件，不提供的不得分。</w:t>
            </w:r>
          </w:p>
        </w:tc>
        <w:tc>
          <w:tcPr>
            <w:tcW w:w="84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312" w:type="dxa"/>
            <w:vMerge w:val="restart"/>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三、技术</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r>
              <w:rPr>
                <w:rFonts w:asciiTheme="minorEastAsia" w:hAnsiTheme="minorEastAsia" w:eastAsiaTheme="minorEastAsia" w:cstheme="minorEastAsia"/>
                <w:color w:val="000000"/>
                <w:sz w:val="21"/>
                <w:szCs w:val="21"/>
              </w:rPr>
              <w:t>7</w:t>
            </w:r>
            <w:r>
              <w:rPr>
                <w:rFonts w:hint="eastAsia" w:asciiTheme="minorEastAsia" w:hAnsiTheme="minorEastAsia" w:eastAsiaTheme="minorEastAsia" w:cstheme="minorEastAsia"/>
                <w:color w:val="000000"/>
                <w:sz w:val="21"/>
                <w:szCs w:val="21"/>
              </w:rPr>
              <w:t>分）</w:t>
            </w:r>
          </w:p>
        </w:tc>
        <w:tc>
          <w:tcPr>
            <w:tcW w:w="84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运输服务</w:t>
            </w:r>
            <w:r>
              <w:rPr>
                <w:rFonts w:hint="eastAsia" w:asciiTheme="minorEastAsia" w:hAnsiTheme="minorEastAsia" w:eastAsiaTheme="minorEastAsia" w:cstheme="minorEastAsia"/>
                <w:color w:val="000000"/>
                <w:sz w:val="21"/>
                <w:szCs w:val="21"/>
              </w:rPr>
              <w:t>方案（40分）</w:t>
            </w:r>
          </w:p>
        </w:tc>
        <w:tc>
          <w:tcPr>
            <w:tcW w:w="5522"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w:t>
            </w:r>
            <w:r>
              <w:rPr>
                <w:rFonts w:hint="eastAsia" w:asciiTheme="minorEastAsia" w:hAnsiTheme="minorEastAsia" w:eastAsiaTheme="minorEastAsia" w:cstheme="minorEastAsia"/>
                <w:color w:val="000000"/>
                <w:sz w:val="21"/>
                <w:szCs w:val="21"/>
                <w:lang w:eastAsia="zh-CN"/>
              </w:rPr>
              <w:t>供应商</w:t>
            </w:r>
            <w:r>
              <w:rPr>
                <w:rFonts w:hint="eastAsia" w:asciiTheme="minorEastAsia" w:hAnsiTheme="minorEastAsia" w:eastAsiaTheme="minorEastAsia" w:cstheme="minorEastAsia"/>
                <w:color w:val="000000"/>
                <w:sz w:val="21"/>
                <w:szCs w:val="21"/>
              </w:rPr>
              <w:t>提供的垃圾运输</w:t>
            </w:r>
            <w:r>
              <w:rPr>
                <w:rFonts w:hint="eastAsia" w:asciiTheme="minorEastAsia" w:hAnsiTheme="minorEastAsia" w:eastAsiaTheme="minorEastAsia" w:cstheme="minorEastAsia"/>
                <w:color w:val="000000"/>
                <w:sz w:val="21"/>
                <w:szCs w:val="21"/>
                <w:lang w:eastAsia="zh-CN"/>
              </w:rPr>
              <w:t>服务</w:t>
            </w:r>
            <w:r>
              <w:rPr>
                <w:rFonts w:hint="eastAsia" w:asciiTheme="minorEastAsia" w:hAnsiTheme="minorEastAsia" w:eastAsiaTheme="minorEastAsia" w:cstheme="minorEastAsia"/>
                <w:color w:val="000000"/>
                <w:sz w:val="21"/>
                <w:szCs w:val="21"/>
              </w:rPr>
              <w:t>方案进行评分，包括但不限于以下内容：</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①项目概况、项目实施的必要性；</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②运输方案得当且全面；</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③运输的路线、时间的合理性；</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④</w:t>
            </w:r>
            <w:r>
              <w:rPr>
                <w:rFonts w:hint="eastAsia" w:asciiTheme="minorEastAsia" w:hAnsiTheme="minorEastAsia" w:eastAsiaTheme="minorEastAsia" w:cstheme="minorEastAsia"/>
                <w:color w:val="000000"/>
                <w:sz w:val="21"/>
                <w:szCs w:val="21"/>
              </w:rPr>
              <w:t>人员配置及工作职责</w:t>
            </w:r>
            <w:r>
              <w:rPr>
                <w:rFonts w:hint="eastAsia" w:asciiTheme="minorEastAsia" w:hAnsiTheme="minorEastAsia" w:eastAsiaTheme="minorEastAsia" w:cstheme="minorEastAsia"/>
                <w:color w:val="000000"/>
                <w:sz w:val="21"/>
                <w:szCs w:val="21"/>
                <w:lang w:eastAsia="zh-CN"/>
              </w:rPr>
              <w:t>；</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评标专家根据</w:t>
            </w:r>
            <w:r>
              <w:rPr>
                <w:rFonts w:hint="eastAsia" w:asciiTheme="minorEastAsia" w:hAnsiTheme="minorEastAsia" w:eastAsiaTheme="minorEastAsia" w:cstheme="minorEastAsia"/>
                <w:color w:val="000000"/>
                <w:sz w:val="21"/>
                <w:szCs w:val="21"/>
                <w:lang w:eastAsia="zh-CN"/>
              </w:rPr>
              <w:t>供应商</w:t>
            </w:r>
            <w:r>
              <w:rPr>
                <w:rFonts w:hint="eastAsia" w:asciiTheme="minorEastAsia" w:hAnsiTheme="minorEastAsia" w:eastAsiaTheme="minorEastAsia" w:cstheme="minorEastAsia"/>
                <w:color w:val="000000"/>
                <w:sz w:val="21"/>
                <w:szCs w:val="21"/>
              </w:rPr>
              <w:t>方案中的内容进行评价打分。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方案内容全面详细、合理、可行性高、针对性强得40分</w:t>
            </w:r>
            <w:r>
              <w:rPr>
                <w:rFonts w:hint="eastAsia" w:asciiTheme="minorEastAsia" w:hAnsiTheme="minorEastAsia" w:eastAsiaTheme="minorEastAsia" w:cstheme="minorEastAsia"/>
                <w:color w:val="000000"/>
                <w:sz w:val="21"/>
                <w:szCs w:val="21"/>
              </w:rPr>
              <w:t>。</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方案内容较全面详细、较合理、可行性较高、针对性较强得30分</w:t>
            </w:r>
            <w:r>
              <w:rPr>
                <w:rFonts w:hint="eastAsia" w:asciiTheme="minorEastAsia" w:hAnsiTheme="minorEastAsia" w:eastAsiaTheme="minorEastAsia" w:cstheme="minorEastAsia"/>
                <w:color w:val="000000"/>
                <w:sz w:val="21"/>
                <w:szCs w:val="21"/>
              </w:rPr>
              <w:t>。</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方案内容全面性、合理性、可行性均一般、针对性不强得20分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方案内容不够全面、不够合理、可行性及针对性较差得10分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未提供的不得分</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 </w:t>
            </w:r>
          </w:p>
        </w:tc>
        <w:tc>
          <w:tcPr>
            <w:tcW w:w="84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1312" w:type="dxa"/>
            <w:vMerge w:val="continue"/>
          </w:tcPr>
          <w:p>
            <w:pPr>
              <w:spacing w:after="0" w:line="240" w:lineRule="auto"/>
              <w:rPr>
                <w:rFonts w:asciiTheme="minorEastAsia" w:hAnsiTheme="minorEastAsia" w:eastAsiaTheme="minorEastAsia" w:cstheme="minorEastAsia"/>
                <w:sz w:val="21"/>
                <w:szCs w:val="21"/>
              </w:rPr>
            </w:pPr>
          </w:p>
        </w:tc>
        <w:tc>
          <w:tcPr>
            <w:tcW w:w="84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运输服务台账管理方案</w:t>
            </w:r>
          </w:p>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（10分）</w:t>
            </w:r>
          </w:p>
        </w:tc>
        <w:tc>
          <w:tcPr>
            <w:tcW w:w="5522"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根据</w:t>
            </w:r>
            <w:r>
              <w:rPr>
                <w:rFonts w:hint="eastAsia" w:asciiTheme="minorEastAsia" w:hAnsiTheme="minorEastAsia" w:eastAsiaTheme="minorEastAsia" w:cstheme="minorEastAsia"/>
                <w:color w:val="000000"/>
                <w:sz w:val="21"/>
                <w:szCs w:val="21"/>
                <w:lang w:eastAsia="zh-CN"/>
              </w:rPr>
              <w:t>供应商</w:t>
            </w:r>
            <w:r>
              <w:rPr>
                <w:rFonts w:hint="eastAsia" w:asciiTheme="minorEastAsia" w:hAnsiTheme="minorEastAsia" w:eastAsiaTheme="minorEastAsia" w:cstheme="minorEastAsia"/>
                <w:color w:val="000000"/>
                <w:sz w:val="21"/>
                <w:szCs w:val="21"/>
              </w:rPr>
              <w:t>提供的运输服务台账管理方案进行评分，包括但不限于以下内容：</w:t>
            </w:r>
          </w:p>
          <w:p>
            <w:pPr>
              <w:pBdr>
                <w:top w:val="none" w:color="000000" w:sz="0" w:space="0"/>
                <w:left w:val="none" w:color="000000" w:sz="0" w:space="0"/>
                <w:bottom w:val="none" w:color="000000" w:sz="0" w:space="0"/>
                <w:right w:val="none" w:color="000000" w:sz="0" w:space="0"/>
              </w:pBdr>
              <w:spacing w:after="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①运输服务台账管理的必要性；</w:t>
            </w:r>
          </w:p>
          <w:p>
            <w:pPr>
              <w:pBdr>
                <w:top w:val="none" w:color="000000" w:sz="0" w:space="0"/>
                <w:left w:val="none" w:color="000000" w:sz="0" w:space="0"/>
                <w:bottom w:val="none" w:color="000000" w:sz="0" w:space="0"/>
                <w:right w:val="none" w:color="000000" w:sz="0" w:space="0"/>
              </w:pBdr>
              <w:spacing w:after="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②运输服务台账管理的方案得当且全面；</w:t>
            </w:r>
          </w:p>
          <w:p>
            <w:pPr>
              <w:pBdr>
                <w:top w:val="none" w:color="000000" w:sz="0" w:space="0"/>
                <w:left w:val="none" w:color="000000" w:sz="0" w:space="0"/>
                <w:bottom w:val="none" w:color="000000" w:sz="0" w:space="0"/>
                <w:right w:val="none" w:color="000000" w:sz="0" w:space="0"/>
              </w:pBdr>
              <w:spacing w:after="0" w:line="240"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③运输服务台账管理的合理性。</w:t>
            </w:r>
          </w:p>
          <w:p>
            <w:pPr>
              <w:pBdr>
                <w:top w:val="none" w:color="000000" w:sz="0" w:space="0"/>
                <w:left w:val="none" w:color="000000" w:sz="0" w:space="0"/>
                <w:bottom w:val="none" w:color="000000" w:sz="0" w:space="0"/>
                <w:right w:val="none" w:color="000000" w:sz="0" w:space="0"/>
              </w:pBdr>
              <w:spacing w:after="0"/>
              <w:jc w:val="both"/>
            </w:pPr>
            <w:r>
              <w:rPr>
                <w:rFonts w:hint="eastAsia" w:asciiTheme="minorEastAsia" w:hAnsiTheme="minorEastAsia" w:eastAsiaTheme="minorEastAsia" w:cstheme="minorEastAsia"/>
                <w:color w:val="000000"/>
                <w:sz w:val="21"/>
                <w:szCs w:val="21"/>
                <w:lang w:eastAsia="zh-CN"/>
              </w:rPr>
              <w:t>④</w:t>
            </w:r>
            <w:r>
              <w:rPr>
                <w:rFonts w:hint="eastAsia" w:asciiTheme="minorEastAsia" w:hAnsiTheme="minorEastAsia" w:eastAsiaTheme="minorEastAsia" w:cstheme="minorEastAsia"/>
                <w:color w:val="000000"/>
                <w:sz w:val="21"/>
                <w:szCs w:val="21"/>
              </w:rPr>
              <w:t>运输服务台账管理的</w:t>
            </w:r>
            <w:r>
              <w:rPr>
                <w:rFonts w:hint="eastAsia" w:asciiTheme="minorEastAsia" w:hAnsiTheme="minorEastAsia" w:eastAsiaTheme="minorEastAsia" w:cstheme="minorEastAsia"/>
                <w:color w:val="000000"/>
                <w:sz w:val="21"/>
                <w:szCs w:val="21"/>
                <w:lang w:eastAsia="zh-CN"/>
              </w:rPr>
              <w:t>针对</w:t>
            </w:r>
            <w:r>
              <w:rPr>
                <w:rFonts w:hint="eastAsia" w:asciiTheme="minorEastAsia" w:hAnsiTheme="minorEastAsia" w:eastAsiaTheme="minorEastAsia" w:cstheme="minorEastAsia"/>
                <w:color w:val="000000"/>
                <w:sz w:val="21"/>
                <w:szCs w:val="21"/>
              </w:rPr>
              <w:t>性。</w:t>
            </w:r>
          </w:p>
          <w:p>
            <w:pPr>
              <w:pBdr>
                <w:top w:val="none" w:color="000000" w:sz="0" w:space="0"/>
                <w:left w:val="none" w:color="000000" w:sz="0" w:space="0"/>
                <w:bottom w:val="none" w:color="000000" w:sz="0" w:space="0"/>
                <w:right w:val="none" w:color="000000" w:sz="0" w:space="0"/>
              </w:pBdr>
              <w:spacing w:after="0" w:line="24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评标专家根据</w:t>
            </w:r>
            <w:r>
              <w:rPr>
                <w:rFonts w:hint="eastAsia" w:asciiTheme="minorEastAsia" w:hAnsiTheme="minorEastAsia" w:eastAsiaTheme="minorEastAsia" w:cstheme="minorEastAsia"/>
                <w:color w:val="000000"/>
                <w:sz w:val="21"/>
                <w:szCs w:val="21"/>
                <w:lang w:eastAsia="zh-CN"/>
              </w:rPr>
              <w:t>供应商</w:t>
            </w:r>
            <w:r>
              <w:rPr>
                <w:rFonts w:hint="eastAsia" w:asciiTheme="minorEastAsia" w:hAnsiTheme="minorEastAsia" w:eastAsiaTheme="minorEastAsia" w:cstheme="minorEastAsia"/>
                <w:color w:val="000000"/>
                <w:sz w:val="21"/>
                <w:szCs w:val="21"/>
              </w:rPr>
              <w:t>的方案中的内容进行评价打分。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方案内容全面详细、合理、可行性高、针对性强得10分</w:t>
            </w:r>
            <w:r>
              <w:rPr>
                <w:rFonts w:hint="eastAsia" w:asciiTheme="minorEastAsia" w:hAnsiTheme="minorEastAsia" w:eastAsiaTheme="minorEastAsia" w:cstheme="minorEastAsia"/>
                <w:color w:val="000000"/>
                <w:sz w:val="21"/>
                <w:szCs w:val="21"/>
              </w:rPr>
              <w:t>。</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方案内容较全面详细、较合理、可行性较高、针对性较强得7分</w:t>
            </w:r>
            <w:r>
              <w:rPr>
                <w:rFonts w:hint="eastAsia" w:asciiTheme="minorEastAsia" w:hAnsiTheme="minorEastAsia" w:eastAsiaTheme="minorEastAsia" w:cstheme="minorEastAsia"/>
                <w:color w:val="000000"/>
                <w:sz w:val="21"/>
                <w:szCs w:val="21"/>
              </w:rPr>
              <w:t>。</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方案内容全面性、合理性、可行性均一般、针对性不强得4分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方案内容不够全面详细、不够合理、可行性及针对性较差得1分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未提供的不得分</w:t>
            </w:r>
            <w:r>
              <w:rPr>
                <w:rFonts w:hint="eastAsia" w:asciiTheme="minorEastAsia" w:hAnsiTheme="minorEastAsia" w:eastAsiaTheme="minorEastAsia" w:cstheme="minorEastAsia"/>
                <w:color w:val="000000"/>
                <w:sz w:val="21"/>
                <w:szCs w:val="21"/>
                <w:lang w:eastAsia="zh-CN"/>
              </w:rPr>
              <w:t>。</w:t>
            </w:r>
          </w:p>
        </w:tc>
        <w:tc>
          <w:tcPr>
            <w:tcW w:w="84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1312" w:type="dxa"/>
            <w:vMerge w:val="continue"/>
          </w:tcPr>
          <w:p>
            <w:pPr>
              <w:spacing w:after="0" w:line="240" w:lineRule="auto"/>
              <w:rPr>
                <w:rFonts w:asciiTheme="minorEastAsia" w:hAnsiTheme="minorEastAsia" w:eastAsiaTheme="minorEastAsia" w:cstheme="minorEastAsia"/>
                <w:sz w:val="21"/>
                <w:szCs w:val="21"/>
              </w:rPr>
            </w:pPr>
          </w:p>
        </w:tc>
        <w:tc>
          <w:tcPr>
            <w:tcW w:w="84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服务承诺</w:t>
            </w:r>
          </w:p>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（10分）</w:t>
            </w:r>
          </w:p>
        </w:tc>
        <w:tc>
          <w:tcPr>
            <w:tcW w:w="5522"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对比各</w:t>
            </w:r>
            <w:r>
              <w:rPr>
                <w:rFonts w:hint="eastAsia" w:asciiTheme="minorEastAsia" w:hAnsiTheme="minorEastAsia" w:eastAsiaTheme="minorEastAsia" w:cstheme="minorEastAsia"/>
                <w:color w:val="000000"/>
                <w:sz w:val="21"/>
                <w:szCs w:val="21"/>
                <w:lang w:eastAsia="zh-CN"/>
              </w:rPr>
              <w:t>供应商</w:t>
            </w:r>
            <w:r>
              <w:rPr>
                <w:rFonts w:hint="eastAsia" w:asciiTheme="minorEastAsia" w:hAnsiTheme="minorEastAsia" w:eastAsiaTheme="minorEastAsia" w:cstheme="minorEastAsia"/>
                <w:color w:val="000000"/>
                <w:sz w:val="21"/>
                <w:szCs w:val="21"/>
              </w:rPr>
              <w:t>提供的“服务承诺” 内容（内容包括：对本项目日产垃圾预估量、运输时间，运输路线，处理垃圾管理、服务完成时间、运输路线、运输服务台账管理等内容）由评审小组综合评审后打分；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内容全面详细、合理、可行性高、针对性强得10分</w:t>
            </w:r>
            <w:r>
              <w:rPr>
                <w:rFonts w:hint="eastAsia" w:asciiTheme="minorEastAsia" w:hAnsiTheme="minorEastAsia" w:eastAsiaTheme="minorEastAsia" w:cstheme="minorEastAsia"/>
                <w:color w:val="000000"/>
                <w:sz w:val="21"/>
                <w:szCs w:val="21"/>
              </w:rPr>
              <w:t>。</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内容较全面详细、较合理、可行性较高、针对性较强得7分</w:t>
            </w:r>
            <w:r>
              <w:rPr>
                <w:rFonts w:hint="eastAsia" w:asciiTheme="minorEastAsia" w:hAnsiTheme="minorEastAsia" w:eastAsiaTheme="minorEastAsia" w:cstheme="minorEastAsia"/>
                <w:color w:val="000000"/>
                <w:sz w:val="21"/>
                <w:szCs w:val="21"/>
              </w:rPr>
              <w:t>。</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内容全面性、合理性、可行性均一般、针对性不强得4分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内容不够全面详细、不够合理、可行性及针对性较差得1分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未提供的不得分</w:t>
            </w:r>
            <w:r>
              <w:rPr>
                <w:rFonts w:hint="eastAsia" w:asciiTheme="minorEastAsia" w:hAnsiTheme="minorEastAsia" w:eastAsiaTheme="minorEastAsia" w:cstheme="minorEastAsia"/>
                <w:color w:val="000000"/>
                <w:sz w:val="21"/>
                <w:szCs w:val="21"/>
                <w:lang w:eastAsia="zh-CN"/>
              </w:rPr>
              <w:t>。</w:t>
            </w:r>
          </w:p>
        </w:tc>
        <w:tc>
          <w:tcPr>
            <w:tcW w:w="84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1312" w:type="dxa"/>
            <w:vMerge w:val="continue"/>
          </w:tcPr>
          <w:p>
            <w:pPr>
              <w:spacing w:after="0" w:line="240" w:lineRule="auto"/>
              <w:rPr>
                <w:rFonts w:asciiTheme="minorEastAsia" w:hAnsiTheme="minorEastAsia" w:eastAsiaTheme="minorEastAsia" w:cstheme="minorEastAsia"/>
                <w:sz w:val="21"/>
                <w:szCs w:val="21"/>
              </w:rPr>
            </w:pPr>
          </w:p>
        </w:tc>
        <w:tc>
          <w:tcPr>
            <w:tcW w:w="84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事故应急救援预案</w:t>
            </w:r>
            <w:r>
              <w:rPr>
                <w:rFonts w:hint="eastAsia" w:asciiTheme="minorEastAsia" w:hAnsiTheme="minorEastAsia" w:eastAsiaTheme="minorEastAsia" w:cstheme="minorEastAsia"/>
                <w:color w:val="000000"/>
                <w:sz w:val="21"/>
                <w:szCs w:val="21"/>
                <w:lang w:eastAsia="zh-CN"/>
              </w:rPr>
              <w:t>（7分）</w:t>
            </w:r>
          </w:p>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color w:val="000000"/>
                <w:sz w:val="21"/>
                <w:szCs w:val="21"/>
              </w:rPr>
            </w:pPr>
          </w:p>
        </w:tc>
        <w:tc>
          <w:tcPr>
            <w:tcW w:w="5522"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应急预案包括不限于（应明确预案的目的、适用范围、职责和应急组织机构、制度和流程以及各种紧急情况、装卸高峰期应急措施及事故的应对措施）</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内容全面详细、合理、可行性高、针对性强得</w:t>
            </w:r>
            <w:r>
              <w:rPr>
                <w:rFonts w:asciiTheme="minorEastAsia" w:hAnsiTheme="minorEastAsia" w:eastAsiaTheme="minorEastAsia" w:cstheme="minorEastAsia"/>
                <w:color w:val="000000"/>
                <w:sz w:val="21"/>
                <w:szCs w:val="21"/>
                <w:lang w:eastAsia="zh-CN"/>
              </w:rPr>
              <w:t>7</w:t>
            </w:r>
            <w:r>
              <w:rPr>
                <w:rFonts w:hint="eastAsia" w:asciiTheme="minorEastAsia" w:hAnsiTheme="minorEastAsia" w:eastAsiaTheme="minorEastAsia" w:cstheme="minorEastAsia"/>
                <w:color w:val="000000"/>
                <w:sz w:val="21"/>
                <w:szCs w:val="21"/>
                <w:lang w:eastAsia="zh-CN"/>
              </w:rPr>
              <w:t>分</w:t>
            </w:r>
            <w:r>
              <w:rPr>
                <w:rFonts w:hint="eastAsia" w:asciiTheme="minorEastAsia" w:hAnsiTheme="minorEastAsia" w:eastAsiaTheme="minorEastAsia" w:cstheme="minorEastAsia"/>
                <w:color w:val="000000"/>
                <w:sz w:val="21"/>
                <w:szCs w:val="21"/>
              </w:rPr>
              <w:t>。</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内容较全面详细、较合理、可行性较高、针对性较强得</w:t>
            </w:r>
            <w:r>
              <w:rPr>
                <w:rFonts w:asciiTheme="minorEastAsia" w:hAnsiTheme="minorEastAsia" w:eastAsiaTheme="minorEastAsia" w:cstheme="minorEastAsia"/>
                <w:color w:val="000000"/>
                <w:sz w:val="21"/>
                <w:szCs w:val="21"/>
                <w:lang w:eastAsia="zh-CN"/>
              </w:rPr>
              <w:t>5</w:t>
            </w:r>
            <w:r>
              <w:rPr>
                <w:rFonts w:hint="eastAsia" w:asciiTheme="minorEastAsia" w:hAnsiTheme="minorEastAsia" w:eastAsiaTheme="minorEastAsia" w:cstheme="minorEastAsia"/>
                <w:color w:val="000000"/>
                <w:sz w:val="21"/>
                <w:szCs w:val="21"/>
                <w:lang w:eastAsia="zh-CN"/>
              </w:rPr>
              <w:t>分</w:t>
            </w:r>
            <w:r>
              <w:rPr>
                <w:rFonts w:hint="eastAsia" w:asciiTheme="minorEastAsia" w:hAnsiTheme="minorEastAsia" w:eastAsiaTheme="minorEastAsia" w:cstheme="minorEastAsia"/>
                <w:color w:val="000000"/>
                <w:sz w:val="21"/>
                <w:szCs w:val="21"/>
              </w:rPr>
              <w:t>。</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内容全面性、合理性、可行性均一般、针对性不强得</w:t>
            </w:r>
            <w:r>
              <w:rPr>
                <w:rFonts w:asciiTheme="minorEastAsia" w:hAnsiTheme="minorEastAsia" w:eastAsiaTheme="minorEastAsia" w:cstheme="minorEastAsia"/>
                <w:color w:val="000000"/>
                <w:sz w:val="21"/>
                <w:szCs w:val="21"/>
                <w:lang w:eastAsia="zh-CN"/>
              </w:rPr>
              <w:t>3</w:t>
            </w:r>
            <w:r>
              <w:rPr>
                <w:rFonts w:hint="eastAsia" w:asciiTheme="minorEastAsia" w:hAnsiTheme="minorEastAsia" w:eastAsiaTheme="minorEastAsia" w:cstheme="minorEastAsia"/>
                <w:color w:val="000000"/>
                <w:sz w:val="21"/>
                <w:szCs w:val="21"/>
                <w:lang w:eastAsia="zh-CN"/>
              </w:rPr>
              <w:t>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内容不够全面详细、不够合理、可行性及针对性较差得1分</w:t>
            </w:r>
          </w:p>
          <w:p>
            <w:pPr>
              <w:pBdr>
                <w:top w:val="none" w:color="000000" w:sz="0" w:space="0"/>
                <w:left w:val="none" w:color="000000" w:sz="0" w:space="0"/>
                <w:bottom w:val="none" w:color="000000" w:sz="0" w:space="0"/>
                <w:right w:val="none" w:color="000000" w:sz="0" w:space="0"/>
              </w:pBdr>
              <w:spacing w:after="0"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未提供的不得分</w:t>
            </w:r>
            <w:r>
              <w:rPr>
                <w:rFonts w:hint="eastAsia" w:asciiTheme="minorEastAsia" w:hAnsiTheme="minorEastAsia" w:eastAsiaTheme="minorEastAsia" w:cstheme="minorEastAsia"/>
                <w:color w:val="000000"/>
                <w:sz w:val="21"/>
                <w:szCs w:val="21"/>
                <w:lang w:eastAsia="zh-CN"/>
              </w:rPr>
              <w:t>。</w:t>
            </w:r>
          </w:p>
        </w:tc>
        <w:tc>
          <w:tcPr>
            <w:tcW w:w="84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240" w:lineRule="auto"/>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7</w:t>
            </w:r>
          </w:p>
        </w:tc>
      </w:tr>
    </w:tbl>
    <w:p>
      <w:pPr>
        <w:pStyle w:val="2"/>
      </w:pPr>
    </w:p>
    <w:p>
      <w:pPr>
        <w:adjustRightInd w:val="0"/>
        <w:snapToGrid w:val="0"/>
        <w:rPr>
          <w:rFonts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adjustRightInd w:val="0"/>
        <w:snapToGrid w:val="0"/>
        <w:spacing w:line="400" w:lineRule="atLeast"/>
        <w:jc w:val="center"/>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2、项目要求（采购需求）</w:t>
      </w:r>
    </w:p>
    <w:p>
      <w:pPr>
        <w:adjustRightInd w:val="0"/>
        <w:snapToGrid w:val="0"/>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一、采购标的：大庙街道各村居垃圾分类收运服务项目</w:t>
      </w:r>
    </w:p>
    <w:p>
      <w:pPr>
        <w:adjustRightInd w:val="0"/>
        <w:snapToGrid w:val="0"/>
        <w:spacing w:after="0" w:line="360" w:lineRule="auto"/>
        <w:ind w:firstLine="480" w:firstLineChars="200"/>
        <w:rPr>
          <w:rFonts w:ascii="宋体" w:hAnsi="宋体" w:eastAsia="宋体" w:cs="宋体"/>
          <w:b/>
          <w:color w:val="000000"/>
          <w:sz w:val="24"/>
          <w:lang w:eastAsia="zh-CN"/>
        </w:rPr>
      </w:pPr>
      <w:r>
        <w:rPr>
          <w:rFonts w:hint="eastAsia" w:ascii="宋体" w:hAnsi="宋体" w:eastAsia="宋体" w:cs="宋体"/>
          <w:bCs/>
          <w:sz w:val="24"/>
          <w:szCs w:val="24"/>
          <w:lang w:eastAsia="zh-CN"/>
        </w:rPr>
        <w:t>二、本项目不接受超过132万元（采购项目预算金额）的报价</w:t>
      </w:r>
    </w:p>
    <w:p>
      <w:pPr>
        <w:pStyle w:val="2"/>
        <w:spacing w:before="0" w:line="360" w:lineRule="auto"/>
        <w:ind w:firstLine="482" w:firstLineChars="200"/>
        <w:rPr>
          <w:rFonts w:eastAsia="宋体"/>
        </w:rPr>
      </w:pPr>
      <w:r>
        <w:rPr>
          <w:rFonts w:hint="eastAsia" w:ascii="宋体" w:hAnsi="宋体" w:eastAsia="宋体" w:cs="宋体"/>
          <w:color w:val="000000"/>
          <w:sz w:val="24"/>
        </w:rPr>
        <w:t>注：报价包括项目运营费、税金、车辆使用费、车辆折旧费、人员工资、利润等全部费用。</w:t>
      </w:r>
      <w:r>
        <w:rPr>
          <w:rFonts w:ascii="宋体" w:hAnsi="宋体" w:eastAsia="宋体" w:cs="宋体"/>
          <w:color w:val="000000"/>
          <w:sz w:val="24"/>
        </w:rPr>
        <w:t>采购人不再支付报价以外的任何费用</w:t>
      </w:r>
      <w:r>
        <w:rPr>
          <w:rFonts w:hint="eastAsia" w:ascii="宋体" w:hAnsi="宋体" w:eastAsia="宋体" w:cs="宋体"/>
          <w:color w:val="000000"/>
          <w:sz w:val="24"/>
        </w:rPr>
        <w:t>。</w:t>
      </w:r>
    </w:p>
    <w:p>
      <w:pPr>
        <w:pStyle w:val="2"/>
        <w:spacing w:before="0" w:line="360" w:lineRule="auto"/>
        <w:ind w:firstLine="482" w:firstLineChars="200"/>
        <w:rPr>
          <w:rFonts w:ascii="宋体" w:hAnsi="宋体" w:eastAsia="宋体" w:cs="宋体"/>
          <w:sz w:val="24"/>
          <w:szCs w:val="24"/>
        </w:rPr>
      </w:pPr>
      <w:r>
        <w:rPr>
          <w:rFonts w:hint="eastAsia" w:ascii="宋体" w:hAnsi="宋体" w:eastAsia="宋体" w:cs="宋体"/>
          <w:sz w:val="24"/>
          <w:szCs w:val="24"/>
        </w:rPr>
        <w:t>三、项目具体地点及桶数</w:t>
      </w:r>
    </w:p>
    <w:tbl>
      <w:tblPr>
        <w:tblStyle w:val="55"/>
        <w:tblW w:w="7473"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960"/>
        <w:gridCol w:w="2313"/>
        <w:gridCol w:w="2420"/>
        <w:gridCol w:w="1780"/>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序号</w:t>
            </w:r>
          </w:p>
        </w:tc>
        <w:tc>
          <w:tcPr>
            <w:tcW w:w="231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所属村</w:t>
            </w:r>
          </w:p>
        </w:tc>
        <w:tc>
          <w:tcPr>
            <w:tcW w:w="242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垃圾日产量（桶）</w:t>
            </w:r>
          </w:p>
        </w:tc>
        <w:tc>
          <w:tcPr>
            <w:tcW w:w="178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月数</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李井村</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hint="eastAsia" w:ascii="宋体" w:hAnsi="宋体" w:eastAsia="宋体" w:cs="宋体"/>
                <w:color w:val="000000"/>
                <w:sz w:val="24"/>
                <w:lang w:eastAsia="zh-CN"/>
              </w:rPr>
              <w:t>70</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2</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河套村</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hint="eastAsia" w:ascii="宋体" w:hAnsi="宋体" w:eastAsia="宋体" w:cs="宋体"/>
                <w:color w:val="000000"/>
                <w:sz w:val="24"/>
                <w:lang w:eastAsia="zh-CN"/>
              </w:rPr>
              <w:t>75</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3</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前姚村</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hint="eastAsia" w:ascii="宋体" w:hAnsi="宋体" w:eastAsia="宋体" w:cs="宋体"/>
                <w:color w:val="000000"/>
                <w:sz w:val="24"/>
                <w:lang w:eastAsia="zh-CN"/>
              </w:rPr>
              <w:t>75</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4</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后姚村</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hint="eastAsia" w:ascii="宋体" w:hAnsi="宋体" w:eastAsia="宋体" w:cs="宋体"/>
                <w:color w:val="000000"/>
                <w:sz w:val="24"/>
                <w:lang w:eastAsia="zh-CN"/>
              </w:rPr>
              <w:t>75</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5</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李庄村</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hint="eastAsia" w:ascii="宋体" w:hAnsi="宋体" w:eastAsia="宋体" w:cs="宋体"/>
                <w:color w:val="000000"/>
                <w:sz w:val="24"/>
                <w:lang w:eastAsia="zh-CN"/>
              </w:rPr>
              <w:t>95</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6</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马庄村</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hint="eastAsia" w:ascii="宋体" w:hAnsi="宋体" w:eastAsia="宋体" w:cs="宋体"/>
                <w:color w:val="000000"/>
                <w:sz w:val="24"/>
                <w:lang w:eastAsia="zh-CN"/>
              </w:rPr>
              <w:t>80</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7</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前坝村</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hint="eastAsia" w:ascii="宋体" w:hAnsi="宋体" w:eastAsia="宋体" w:cs="宋体"/>
                <w:color w:val="000000"/>
                <w:sz w:val="24"/>
                <w:lang w:eastAsia="zh-CN"/>
              </w:rPr>
              <w:t>90</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8</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安然村</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hint="eastAsia" w:ascii="宋体" w:hAnsi="宋体" w:eastAsia="宋体" w:cs="宋体"/>
                <w:color w:val="000000"/>
                <w:sz w:val="24"/>
                <w:lang w:eastAsia="zh-CN"/>
              </w:rPr>
              <w:t>95</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9</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安顺社区</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hint="eastAsia" w:ascii="宋体" w:hAnsi="宋体" w:eastAsia="宋体" w:cs="宋体"/>
                <w:color w:val="000000"/>
                <w:sz w:val="24"/>
                <w:lang w:eastAsia="zh-CN"/>
              </w:rPr>
              <w:t>60</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10</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华美社区</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hint="eastAsia" w:ascii="宋体" w:hAnsi="宋体" w:eastAsia="宋体" w:cs="宋体"/>
                <w:color w:val="000000"/>
                <w:sz w:val="24"/>
                <w:lang w:eastAsia="zh-CN"/>
              </w:rPr>
              <w:t>7</w:t>
            </w:r>
            <w:r>
              <w:rPr>
                <w:rFonts w:ascii="宋体" w:hAnsi="宋体" w:eastAsia="宋体" w:cs="宋体"/>
                <w:color w:val="000000"/>
                <w:sz w:val="24"/>
              </w:rPr>
              <w:t>0</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11</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华新社区</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hint="eastAsia" w:ascii="宋体" w:hAnsi="宋体" w:eastAsia="宋体" w:cs="宋体"/>
                <w:color w:val="000000"/>
                <w:sz w:val="24"/>
                <w:lang w:eastAsia="zh-CN"/>
              </w:rPr>
              <w:t>70</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大庙村</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hint="eastAsia" w:ascii="宋体" w:hAnsi="宋体" w:eastAsia="宋体" w:cs="宋体"/>
                <w:color w:val="000000"/>
                <w:sz w:val="24"/>
                <w:lang w:eastAsia="zh-CN"/>
              </w:rPr>
              <w:t>110</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13</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侯集村</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hint="eastAsia" w:ascii="宋体" w:hAnsi="宋体" w:eastAsia="宋体" w:cs="宋体"/>
                <w:color w:val="000000"/>
                <w:sz w:val="24"/>
                <w:lang w:eastAsia="zh-CN"/>
              </w:rPr>
              <w:t>245</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ascii="宋体" w:hAnsi="宋体" w:eastAsia="宋体" w:cs="宋体"/>
                <w:color w:val="000000"/>
                <w:sz w:val="24"/>
              </w:rPr>
              <w:t>1</w:t>
            </w:r>
            <w:r>
              <w:rPr>
                <w:rFonts w:hint="eastAsia" w:ascii="宋体" w:hAnsi="宋体" w:eastAsia="宋体" w:cs="宋体"/>
                <w:color w:val="000000"/>
                <w:sz w:val="24"/>
                <w:lang w:eastAsia="zh-CN"/>
              </w:rPr>
              <w:t>4</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虎山村</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hint="eastAsia" w:ascii="宋体" w:hAnsi="宋体" w:eastAsia="宋体" w:cs="宋体"/>
                <w:color w:val="000000"/>
                <w:sz w:val="24"/>
                <w:lang w:eastAsia="zh-CN"/>
              </w:rPr>
              <w:t>80</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9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ascii="宋体" w:hAnsi="宋体" w:eastAsia="宋体" w:cs="宋体"/>
                <w:color w:val="000000"/>
                <w:sz w:val="24"/>
              </w:rPr>
              <w:t>1</w:t>
            </w:r>
            <w:r>
              <w:rPr>
                <w:rFonts w:hint="eastAsia" w:ascii="宋体" w:hAnsi="宋体" w:eastAsia="宋体" w:cs="宋体"/>
                <w:color w:val="000000"/>
                <w:sz w:val="24"/>
                <w:lang w:eastAsia="zh-CN"/>
              </w:rPr>
              <w:t>5</w:t>
            </w:r>
          </w:p>
        </w:tc>
        <w:tc>
          <w:tcPr>
            <w:tcW w:w="231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夏庄村</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80</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283" w:hRule="atLeast"/>
        </w:trPr>
        <w:tc>
          <w:tcPr>
            <w:tcW w:w="3273"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总计</w:t>
            </w:r>
          </w:p>
        </w:tc>
        <w:tc>
          <w:tcPr>
            <w:tcW w:w="24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rPr>
                <w:rFonts w:eastAsia="宋体"/>
                <w:lang w:eastAsia="zh-CN"/>
              </w:rPr>
            </w:pPr>
            <w:r>
              <w:rPr>
                <w:rFonts w:hint="eastAsia" w:ascii="宋体" w:hAnsi="宋体" w:eastAsia="宋体" w:cs="宋体"/>
                <w:color w:val="000000"/>
                <w:sz w:val="24"/>
                <w:lang w:eastAsia="zh-CN"/>
              </w:rPr>
              <w:t>1370</w:t>
            </w:r>
          </w:p>
        </w:tc>
        <w:tc>
          <w:tcPr>
            <w:tcW w:w="17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color w:val="000000"/>
                <w:sz w:val="24"/>
              </w:rPr>
              <w:t> </w:t>
            </w:r>
          </w:p>
        </w:tc>
      </w:tr>
    </w:tbl>
    <w:p>
      <w:pPr>
        <w:adjustRightInd w:val="0"/>
        <w:snapToGrid w:val="0"/>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四、总体要求</w:t>
      </w:r>
    </w:p>
    <w:p>
      <w:pPr>
        <w:adjustRightInd w:val="0"/>
        <w:snapToGrid w:val="0"/>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1、项目服务对象和服务期限</w:t>
      </w:r>
    </w:p>
    <w:p>
      <w:pPr>
        <w:adjustRightInd w:val="0"/>
        <w:snapToGrid w:val="0"/>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大庙街道各村居垃圾分类收运项目，包括李井村、河套村、前姚村、后姚村、李庄村、马庄村、前坝村、安然村、安顺社区、华美社区、华新社区、大庙村、侯集村、虎山村、夏庄村共 15个村居,合计220L 垃圾桶1370个。</w:t>
      </w:r>
    </w:p>
    <w:p>
      <w:pPr>
        <w:adjustRightInd w:val="0"/>
        <w:snapToGrid w:val="0"/>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2、运输要求</w:t>
      </w:r>
    </w:p>
    <w:p>
      <w:pPr>
        <w:adjustRightInd w:val="0"/>
        <w:snapToGrid w:val="0"/>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（1）运输过程要求车辆全封闭，不得有抛冒滴漏发生。</w:t>
      </w:r>
    </w:p>
    <w:p>
      <w:pPr>
        <w:adjustRightInd w:val="0"/>
        <w:snapToGrid w:val="0"/>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（2）运输车辆进入村居要严格按照村居规定。</w:t>
      </w:r>
    </w:p>
    <w:p>
      <w:pPr>
        <w:adjustRightInd w:val="0"/>
        <w:snapToGrid w:val="0"/>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（3）运输车辆禁止收集除垃圾以外的其他垃圾等垃圾一旦发现按《徐州市生活垃圾分类管理条例》执行。</w:t>
      </w:r>
    </w:p>
    <w:p>
      <w:pPr>
        <w:adjustRightInd w:val="0"/>
        <w:snapToGrid w:val="0"/>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（4）运输人员、路线和时间要求</w:t>
      </w:r>
    </w:p>
    <w:p>
      <w:pPr>
        <w:adjustRightInd w:val="0"/>
        <w:snapToGrid w:val="0"/>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收运过程中要求工作人员统一着装、配工作证，定时、定点进行收集，输运单位按照垃圾分类收集范围合理规划运输路线(运输线路应及时报备)，确保垃圾分类集中点位做到全覆盖、每天全收集(具体收运时间早上4 点到8 点，如遇特殊情况下午 14 点到 18 点)。</w:t>
      </w:r>
    </w:p>
    <w:p>
      <w:pPr>
        <w:adjustRightInd w:val="0"/>
        <w:snapToGrid w:val="0"/>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五、其他要求：见《磋商文件》附件《合同主要条款》（合同草案的条款）。</w:t>
      </w:r>
    </w:p>
    <w:p>
      <w:pPr>
        <w:adjustRightInd w:val="0"/>
        <w:snapToGrid w:val="0"/>
        <w:rPr>
          <w:rFonts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adjustRightInd w:val="0"/>
        <w:snapToGrid w:val="0"/>
        <w:spacing w:line="400" w:lineRule="atLeast"/>
        <w:jc w:val="center"/>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3、磋商报价表</w:t>
      </w:r>
    </w:p>
    <w:p>
      <w:pPr>
        <w:pBdr>
          <w:top w:val="none" w:color="000000" w:sz="0" w:space="0"/>
          <w:left w:val="none" w:color="000000" w:sz="0" w:space="0"/>
          <w:bottom w:val="none" w:color="000000" w:sz="0" w:space="0"/>
          <w:right w:val="none" w:color="000000" w:sz="0" w:space="0"/>
        </w:pBdr>
        <w:adjustRightInd w:val="0"/>
        <w:snapToGrid w:val="0"/>
        <w:spacing w:after="0" w:line="24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项目编号：JSZC-320390-GCMC-C2023-0004</w:t>
      </w:r>
    </w:p>
    <w:p>
      <w:pPr>
        <w:pBdr>
          <w:top w:val="none" w:color="000000" w:sz="0" w:space="0"/>
          <w:left w:val="none" w:color="000000" w:sz="0" w:space="0"/>
          <w:bottom w:val="none" w:color="000000" w:sz="0" w:space="0"/>
          <w:right w:val="none" w:color="000000" w:sz="0" w:space="0"/>
        </w:pBdr>
        <w:adjustRightInd w:val="0"/>
        <w:snapToGrid w:val="0"/>
        <w:spacing w:after="0" w:line="240" w:lineRule="auto"/>
        <w:rPr>
          <w:rFonts w:ascii="宋体" w:hAnsi="宋体" w:eastAsia="宋体" w:cs="宋体"/>
          <w:sz w:val="24"/>
          <w:szCs w:val="24"/>
          <w:lang w:eastAsia="zh-CN"/>
        </w:rPr>
      </w:pPr>
      <w:r>
        <w:rPr>
          <w:rFonts w:hint="eastAsia" w:ascii="宋体" w:hAnsi="宋体" w:eastAsia="宋体" w:cs="宋体"/>
          <w:sz w:val="24"/>
          <w:szCs w:val="24"/>
          <w:lang w:eastAsia="zh-CN"/>
        </w:rPr>
        <w:t>项目名称：大庙街道各村居垃圾分类收运服务项目           本次为首次报价                            货币单位：人民币元</w:t>
      </w:r>
    </w:p>
    <w:tbl>
      <w:tblPr>
        <w:tblStyle w:val="54"/>
        <w:tblW w:w="8522"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3649"/>
        <w:gridCol w:w="1923"/>
        <w:gridCol w:w="2950"/>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1163" w:hRule="atLeast"/>
        </w:trPr>
        <w:tc>
          <w:tcPr>
            <w:tcW w:w="36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after="0" w:line="24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1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after="0" w:line="240" w:lineRule="auto"/>
              <w:jc w:val="center"/>
              <w:rPr>
                <w:rFonts w:ascii="宋体" w:hAnsi="宋体" w:eastAsia="宋体" w:cs="宋体"/>
                <w:sz w:val="24"/>
                <w:szCs w:val="24"/>
              </w:rPr>
            </w:pPr>
            <w:r>
              <w:rPr>
                <w:rFonts w:hint="eastAsia" w:ascii="宋体" w:hAnsi="宋体" w:eastAsia="宋体" w:cs="宋体"/>
                <w:sz w:val="24"/>
                <w:szCs w:val="24"/>
              </w:rPr>
              <w:t>项目内容</w:t>
            </w:r>
          </w:p>
        </w:tc>
        <w:tc>
          <w:tcPr>
            <w:tcW w:w="29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after="0" w:line="240" w:lineRule="auto"/>
              <w:jc w:val="center"/>
              <w:rPr>
                <w:rFonts w:ascii="宋体" w:hAnsi="宋体" w:eastAsia="宋体" w:cs="宋体"/>
                <w:sz w:val="24"/>
                <w:szCs w:val="24"/>
              </w:rPr>
            </w:pPr>
            <w:r>
              <w:rPr>
                <w:rFonts w:hint="eastAsia" w:ascii="宋体" w:hAnsi="宋体" w:eastAsia="宋体" w:cs="宋体"/>
                <w:sz w:val="24"/>
                <w:szCs w:val="24"/>
              </w:rPr>
              <w:t>总价（小写）</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1214" w:hRule="atLeast"/>
        </w:trPr>
        <w:tc>
          <w:tcPr>
            <w:tcW w:w="36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after="0" w:line="24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大庙街道各村居垃圾分类收运服务项目</w:t>
            </w:r>
          </w:p>
        </w:tc>
        <w:tc>
          <w:tcPr>
            <w:tcW w:w="1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after="0" w:line="240" w:lineRule="auto"/>
              <w:jc w:val="center"/>
              <w:rPr>
                <w:rFonts w:ascii="宋体" w:hAnsi="宋体" w:eastAsia="宋体" w:cs="宋体"/>
                <w:sz w:val="24"/>
                <w:szCs w:val="24"/>
              </w:rPr>
            </w:pPr>
            <w:r>
              <w:rPr>
                <w:rFonts w:hint="eastAsia" w:ascii="宋体" w:hAnsi="宋体" w:eastAsia="宋体" w:cs="宋体"/>
                <w:sz w:val="24"/>
                <w:szCs w:val="24"/>
              </w:rPr>
              <w:t>详见响应文件</w:t>
            </w:r>
          </w:p>
        </w:tc>
        <w:tc>
          <w:tcPr>
            <w:tcW w:w="29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after="0" w:line="240" w:lineRule="auto"/>
              <w:jc w:val="center"/>
              <w:rPr>
                <w:rFonts w:ascii="宋体" w:hAnsi="宋体" w:eastAsia="宋体" w:cs="宋体"/>
                <w:sz w:val="24"/>
                <w:szCs w:val="24"/>
              </w:rPr>
            </w:pPr>
            <w:r>
              <w:rPr>
                <w:rFonts w:hint="eastAsia" w:ascii="宋体" w:hAnsi="宋体" w:eastAsia="宋体" w:cs="宋体"/>
                <w:sz w:val="24"/>
                <w:szCs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1452" w:hRule="atLeast"/>
        </w:trPr>
        <w:tc>
          <w:tcPr>
            <w:tcW w:w="36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after="0" w:line="240" w:lineRule="auto"/>
              <w:jc w:val="center"/>
              <w:rPr>
                <w:rFonts w:ascii="宋体" w:hAnsi="宋体" w:eastAsia="宋体" w:cs="宋体"/>
                <w:sz w:val="24"/>
                <w:szCs w:val="24"/>
              </w:rPr>
            </w:pPr>
            <w:r>
              <w:rPr>
                <w:rFonts w:hint="eastAsia" w:ascii="宋体" w:hAnsi="宋体" w:eastAsia="宋体" w:cs="宋体"/>
                <w:sz w:val="24"/>
                <w:szCs w:val="24"/>
              </w:rPr>
              <w:t>总价（大写）：</w:t>
            </w:r>
          </w:p>
        </w:tc>
        <w:tc>
          <w:tcPr>
            <w:tcW w:w="487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after="0" w:line="240" w:lineRule="auto"/>
              <w:jc w:val="center"/>
              <w:rPr>
                <w:rFonts w:ascii="宋体" w:hAnsi="宋体" w:eastAsia="宋体" w:cs="宋体"/>
                <w:sz w:val="24"/>
                <w:szCs w:val="24"/>
              </w:rPr>
            </w:pPr>
            <w:r>
              <w:rPr>
                <w:rFonts w:hint="eastAsia" w:ascii="宋体" w:hAnsi="宋体" w:eastAsia="宋体" w:cs="宋体"/>
                <w:sz w:val="24"/>
                <w:szCs w:val="24"/>
              </w:rPr>
              <w:t> </w:t>
            </w:r>
          </w:p>
        </w:tc>
      </w:tr>
    </w:tbl>
    <w:p>
      <w:pPr>
        <w:pBdr>
          <w:top w:val="none" w:color="000000" w:sz="0" w:space="0"/>
          <w:left w:val="none" w:color="000000" w:sz="0" w:space="0"/>
          <w:bottom w:val="none" w:color="000000" w:sz="0" w:space="0"/>
          <w:right w:val="none" w:color="000000" w:sz="0" w:space="0"/>
        </w:pBdr>
        <w:adjustRightInd w:val="0"/>
        <w:snapToGrid w:val="0"/>
        <w:spacing w:after="0" w:line="24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供应商承诺：本报价（总价）为供应商本企业提供的工程服务。</w:t>
      </w:r>
    </w:p>
    <w:p>
      <w:pPr>
        <w:pBdr>
          <w:top w:val="none" w:color="000000" w:sz="0" w:space="0"/>
          <w:left w:val="none" w:color="000000" w:sz="0" w:space="0"/>
          <w:bottom w:val="none" w:color="000000" w:sz="0" w:space="0"/>
          <w:right w:val="none" w:color="000000" w:sz="0" w:space="0"/>
        </w:pBdr>
        <w:adjustRightInd w:val="0"/>
        <w:snapToGrid w:val="0"/>
        <w:spacing w:after="0" w:line="24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 报价说明：</w:t>
      </w:r>
    </w:p>
    <w:p>
      <w:pPr>
        <w:pBdr>
          <w:top w:val="none" w:color="000000" w:sz="0" w:space="0"/>
          <w:left w:val="none" w:color="000000" w:sz="0" w:space="0"/>
          <w:bottom w:val="none" w:color="000000" w:sz="0" w:space="0"/>
          <w:right w:val="none" w:color="000000" w:sz="0" w:space="0"/>
        </w:pBdr>
        <w:adjustRightInd w:val="0"/>
        <w:snapToGrid w:val="0"/>
        <w:spacing w:after="0" w:line="240" w:lineRule="auto"/>
        <w:ind w:left="479"/>
        <w:rPr>
          <w:rFonts w:ascii="宋体" w:hAnsi="宋体" w:eastAsia="宋体" w:cs="宋体"/>
          <w:sz w:val="24"/>
          <w:szCs w:val="24"/>
          <w:lang w:eastAsia="zh-CN"/>
        </w:rPr>
      </w:pPr>
      <w:r>
        <w:rPr>
          <w:rFonts w:hint="eastAsia" w:ascii="宋体" w:hAnsi="宋体" w:eastAsia="宋体" w:cs="宋体"/>
          <w:sz w:val="24"/>
          <w:szCs w:val="24"/>
          <w:lang w:eastAsia="zh-CN"/>
        </w:rPr>
        <w:t>1、报价包括完成项目的所有费用。采购人不再支付报价以外的任何费用。</w:t>
      </w:r>
    </w:p>
    <w:p>
      <w:pPr>
        <w:pBdr>
          <w:top w:val="none" w:color="000000" w:sz="0" w:space="0"/>
          <w:left w:val="none" w:color="000000" w:sz="0" w:space="0"/>
          <w:bottom w:val="none" w:color="000000" w:sz="0" w:space="0"/>
          <w:right w:val="none" w:color="000000" w:sz="0" w:space="0"/>
        </w:pBdr>
        <w:adjustRightInd w:val="0"/>
        <w:snapToGrid w:val="0"/>
        <w:spacing w:after="0" w:line="240" w:lineRule="auto"/>
        <w:ind w:left="479"/>
        <w:rPr>
          <w:rFonts w:ascii="宋体" w:hAnsi="宋体" w:eastAsia="宋体" w:cs="宋体"/>
          <w:sz w:val="24"/>
          <w:szCs w:val="24"/>
          <w:lang w:eastAsia="zh-CN"/>
        </w:rPr>
      </w:pPr>
      <w:r>
        <w:rPr>
          <w:rFonts w:hint="eastAsia" w:ascii="宋体" w:hAnsi="宋体" w:eastAsia="宋体" w:cs="宋体"/>
          <w:sz w:val="24"/>
          <w:szCs w:val="24"/>
          <w:lang w:eastAsia="zh-CN"/>
        </w:rPr>
        <w:t>2、报价以总价为准，大小写不一致以大写为准；</w:t>
      </w:r>
    </w:p>
    <w:p>
      <w:pPr>
        <w:pBdr>
          <w:top w:val="none" w:color="000000" w:sz="0" w:space="0"/>
          <w:left w:val="none" w:color="000000" w:sz="0" w:space="0"/>
          <w:bottom w:val="none" w:color="000000" w:sz="0" w:space="0"/>
          <w:right w:val="none" w:color="000000" w:sz="0" w:space="0"/>
        </w:pBdr>
        <w:adjustRightInd w:val="0"/>
        <w:snapToGrid w:val="0"/>
        <w:spacing w:after="0" w:line="240" w:lineRule="auto"/>
        <w:ind w:left="479"/>
        <w:rPr>
          <w:rFonts w:ascii="宋体" w:hAnsi="宋体" w:eastAsia="宋体" w:cs="宋体"/>
          <w:sz w:val="24"/>
          <w:szCs w:val="24"/>
          <w:lang w:eastAsia="zh-CN"/>
        </w:rPr>
      </w:pPr>
      <w:r>
        <w:rPr>
          <w:rFonts w:hint="eastAsia" w:ascii="宋体" w:hAnsi="宋体" w:eastAsia="宋体" w:cs="宋体"/>
          <w:sz w:val="24"/>
          <w:szCs w:val="24"/>
          <w:lang w:eastAsia="zh-CN"/>
        </w:rPr>
        <w:t>3、偏离说明：详见《偏离表》；</w:t>
      </w:r>
    </w:p>
    <w:p>
      <w:pPr>
        <w:pBdr>
          <w:top w:val="none" w:color="000000" w:sz="0" w:space="0"/>
          <w:left w:val="none" w:color="000000" w:sz="0" w:space="0"/>
          <w:bottom w:val="none" w:color="000000" w:sz="0" w:space="0"/>
          <w:right w:val="none" w:color="000000" w:sz="0" w:space="0"/>
        </w:pBdr>
        <w:adjustRightInd w:val="0"/>
        <w:snapToGrid w:val="0"/>
        <w:spacing w:after="0" w:line="240" w:lineRule="auto"/>
        <w:ind w:left="479"/>
        <w:rPr>
          <w:rFonts w:ascii="宋体" w:hAnsi="宋体" w:eastAsia="宋体" w:cs="宋体"/>
          <w:sz w:val="24"/>
          <w:szCs w:val="24"/>
          <w:lang w:eastAsia="zh-CN"/>
        </w:rPr>
      </w:pPr>
      <w:r>
        <w:rPr>
          <w:rFonts w:hint="eastAsia" w:ascii="宋体" w:hAnsi="宋体" w:eastAsia="宋体" w:cs="宋体"/>
          <w:sz w:val="24"/>
          <w:szCs w:val="24"/>
          <w:lang w:eastAsia="zh-CN"/>
        </w:rPr>
        <w:t>4、如最后报价未列明单价，则最后所报各项单价计算方法为：（最后报价/最初报价）* 各项最初报价的单价。</w:t>
      </w:r>
    </w:p>
    <w:p>
      <w:pPr>
        <w:pBdr>
          <w:top w:val="none" w:color="000000" w:sz="0" w:space="0"/>
          <w:left w:val="none" w:color="000000" w:sz="0" w:space="0"/>
          <w:bottom w:val="none" w:color="000000" w:sz="0" w:space="0"/>
          <w:right w:val="none" w:color="000000" w:sz="0" w:space="0"/>
        </w:pBdr>
        <w:adjustRightInd w:val="0"/>
        <w:snapToGrid w:val="0"/>
        <w:spacing w:after="0" w:line="240" w:lineRule="auto"/>
        <w:ind w:right="29"/>
        <w:jc w:val="both"/>
        <w:rPr>
          <w:rFonts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adjustRightInd w:val="0"/>
        <w:snapToGrid w:val="0"/>
        <w:spacing w:after="0" w:line="240" w:lineRule="auto"/>
        <w:ind w:right="29"/>
        <w:jc w:val="both"/>
        <w:rPr>
          <w:rFonts w:ascii="宋体" w:hAnsi="宋体" w:eastAsia="宋体" w:cs="宋体"/>
          <w:sz w:val="24"/>
          <w:szCs w:val="24"/>
          <w:lang w:eastAsia="zh-CN"/>
        </w:rPr>
      </w:pPr>
      <w:r>
        <w:rPr>
          <w:rFonts w:hint="eastAsia" w:ascii="宋体" w:hAnsi="宋体" w:eastAsia="宋体" w:cs="宋体"/>
          <w:sz w:val="24"/>
          <w:szCs w:val="24"/>
          <w:lang w:eastAsia="zh-CN"/>
        </w:rPr>
        <w:t>供应商（盖单位电子签章）：</w:t>
      </w:r>
    </w:p>
    <w:p>
      <w:pPr>
        <w:pBdr>
          <w:top w:val="none" w:color="000000" w:sz="0" w:space="0"/>
          <w:left w:val="none" w:color="000000" w:sz="0" w:space="0"/>
          <w:bottom w:val="none" w:color="000000" w:sz="0" w:space="0"/>
          <w:right w:val="none" w:color="000000" w:sz="0" w:space="0"/>
        </w:pBdr>
        <w:adjustRightInd w:val="0"/>
        <w:snapToGrid w:val="0"/>
        <w:spacing w:after="0" w:line="240" w:lineRule="auto"/>
        <w:ind w:right="29"/>
        <w:jc w:val="both"/>
        <w:rPr>
          <w:rFonts w:ascii="宋体" w:hAnsi="宋体" w:eastAsia="宋体" w:cs="宋体"/>
          <w:sz w:val="24"/>
          <w:szCs w:val="24"/>
          <w:lang w:eastAsia="zh-CN"/>
        </w:rPr>
      </w:pPr>
      <w:r>
        <w:rPr>
          <w:rFonts w:hint="eastAsia" w:ascii="宋体" w:hAnsi="宋体" w:eastAsia="宋体" w:cs="宋体"/>
          <w:sz w:val="24"/>
          <w:szCs w:val="24"/>
          <w:lang w:eastAsia="zh-CN"/>
        </w:rPr>
        <w:t>法定代表人(负责人)或授权代表（签字或盖章）：  </w:t>
      </w:r>
    </w:p>
    <w:p>
      <w:pPr>
        <w:pBdr>
          <w:top w:val="none" w:color="000000" w:sz="0" w:space="0"/>
          <w:left w:val="none" w:color="000000" w:sz="0" w:space="0"/>
          <w:bottom w:val="none" w:color="000000" w:sz="0" w:space="0"/>
          <w:right w:val="none" w:color="000000" w:sz="0" w:space="0"/>
        </w:pBdr>
        <w:adjustRightInd w:val="0"/>
        <w:snapToGrid w:val="0"/>
        <w:spacing w:after="0" w:line="240" w:lineRule="auto"/>
        <w:ind w:right="29"/>
        <w:jc w:val="both"/>
        <w:rPr>
          <w:rFonts w:ascii="宋体" w:hAnsi="宋体" w:eastAsia="宋体" w:cs="宋体"/>
          <w:sz w:val="24"/>
          <w:szCs w:val="24"/>
          <w:lang w:eastAsia="zh-CN"/>
        </w:rPr>
      </w:pPr>
      <w:r>
        <w:rPr>
          <w:rFonts w:hint="eastAsia" w:ascii="宋体" w:hAnsi="宋体" w:eastAsia="宋体" w:cs="宋体"/>
          <w:sz w:val="24"/>
          <w:szCs w:val="24"/>
          <w:lang w:eastAsia="zh-CN"/>
        </w:rPr>
        <w:t>日期：</w:t>
      </w:r>
    </w:p>
    <w:p>
      <w:pPr>
        <w:pStyle w:val="2"/>
      </w:pPr>
    </w:p>
    <w:p>
      <w:pPr>
        <w:pBdr>
          <w:top w:val="none" w:color="000000" w:sz="0" w:space="0"/>
          <w:left w:val="none" w:color="000000" w:sz="0" w:space="0"/>
          <w:bottom w:val="none" w:color="000000" w:sz="0" w:space="0"/>
          <w:right w:val="none" w:color="000000" w:sz="0" w:space="0"/>
        </w:pBdr>
        <w:adjustRightInd w:val="0"/>
        <w:snapToGrid w:val="0"/>
        <w:spacing w:before="240" w:after="240"/>
        <w:ind w:firstLine="972"/>
        <w:rPr>
          <w:rFonts w:ascii="宋体" w:hAnsi="宋体" w:eastAsia="宋体" w:cs="宋体"/>
          <w:sz w:val="24"/>
          <w:szCs w:val="24"/>
        </w:rPr>
      </w:pPr>
      <w:r>
        <w:rPr>
          <w:rFonts w:hint="eastAsia" w:ascii="宋体" w:hAnsi="宋体" w:eastAsia="宋体" w:cs="宋体"/>
          <w:sz w:val="24"/>
          <w:szCs w:val="24"/>
        </w:rPr>
        <w:t>本项目有二次</w:t>
      </w:r>
      <w:r>
        <w:rPr>
          <w:rFonts w:hint="eastAsia" w:ascii="宋体" w:hAnsi="宋体" w:eastAsia="宋体" w:cs="宋体"/>
          <w:sz w:val="24"/>
          <w:szCs w:val="24"/>
          <w:lang w:eastAsia="zh-CN"/>
        </w:rPr>
        <w:t>报价</w:t>
      </w:r>
      <w:r>
        <w:rPr>
          <w:rFonts w:hint="eastAsia" w:ascii="宋体" w:hAnsi="宋体" w:eastAsia="宋体" w:cs="宋体"/>
          <w:sz w:val="24"/>
          <w:szCs w:val="24"/>
        </w:rPr>
        <w:t>，磋商报价表（最终）模版同本表。</w:t>
      </w:r>
    </w:p>
    <w:p>
      <w:pPr>
        <w:adjustRightInd w:val="0"/>
        <w:snapToGrid w:val="0"/>
        <w:rPr>
          <w:rFonts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adjustRightInd w:val="0"/>
        <w:snapToGrid w:val="0"/>
        <w:spacing w:line="400" w:lineRule="atLeast"/>
        <w:jc w:val="center"/>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4．分项价格表</w:t>
      </w:r>
    </w:p>
    <w:p>
      <w:pPr>
        <w:adjustRightInd w:val="0"/>
        <w:snapToGrid w:val="0"/>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本次为首次报价</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972"/>
        <w:rPr>
          <w:rFonts w:ascii="宋体" w:hAnsi="宋体" w:eastAsia="宋体" w:cs="宋体"/>
          <w:sz w:val="24"/>
          <w:szCs w:val="24"/>
          <w:lang w:eastAsia="zh-CN"/>
        </w:rPr>
      </w:pPr>
      <w:r>
        <w:rPr>
          <w:rFonts w:hint="eastAsia" w:ascii="宋体" w:hAnsi="宋体" w:eastAsia="宋体" w:cs="宋体"/>
          <w:sz w:val="24"/>
          <w:szCs w:val="24"/>
          <w:lang w:eastAsia="zh-CN"/>
        </w:rPr>
        <w:t>项目编号：JSZC-320390-GCMC-C2023-0004</w:t>
      </w:r>
    </w:p>
    <w:p>
      <w:pPr>
        <w:pBdr>
          <w:top w:val="none" w:color="000000" w:sz="0" w:space="0"/>
          <w:left w:val="none" w:color="000000" w:sz="0" w:space="0"/>
          <w:bottom w:val="none" w:color="000000" w:sz="0" w:space="0"/>
          <w:right w:val="none" w:color="000000" w:sz="0" w:space="0"/>
        </w:pBdr>
        <w:adjustRightInd w:val="0"/>
        <w:snapToGrid w:val="0"/>
        <w:spacing w:before="240" w:after="240"/>
        <w:ind w:firstLine="972"/>
        <w:rPr>
          <w:rFonts w:ascii="宋体" w:hAnsi="宋体" w:eastAsia="宋体" w:cs="宋体"/>
          <w:sz w:val="24"/>
          <w:szCs w:val="24"/>
          <w:lang w:eastAsia="zh-CN"/>
        </w:rPr>
      </w:pPr>
      <w:r>
        <w:rPr>
          <w:rFonts w:hint="eastAsia" w:ascii="宋体" w:hAnsi="宋体" w:eastAsia="宋体" w:cs="宋体"/>
          <w:sz w:val="24"/>
          <w:szCs w:val="24"/>
          <w:lang w:eastAsia="zh-CN"/>
        </w:rPr>
        <w:t>项目名称：大庙街道各村居垃圾分类收运服务项目</w:t>
      </w:r>
    </w:p>
    <w:p>
      <w:pPr>
        <w:adjustRightInd w:val="0"/>
        <w:snapToGrid w:val="0"/>
        <w:spacing w:line="0" w:lineRule="atLeast"/>
        <w:rPr>
          <w:rFonts w:ascii="宋体" w:hAnsi="宋体" w:eastAsia="宋体" w:cs="宋体"/>
          <w:sz w:val="24"/>
          <w:szCs w:val="24"/>
          <w:lang w:eastAsia="zh-CN"/>
        </w:rPr>
      </w:pPr>
    </w:p>
    <w:p>
      <w:pPr>
        <w:adjustRightInd w:val="0"/>
        <w:snapToGrid w:val="0"/>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自拟格式</w:t>
      </w:r>
    </w:p>
    <w:p>
      <w:pPr>
        <w:adjustRightInd w:val="0"/>
        <w:snapToGrid w:val="0"/>
        <w:spacing w:line="0" w:lineRule="atLeast"/>
        <w:rPr>
          <w:rFonts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adjustRightInd w:val="0"/>
        <w:snapToGrid w:val="0"/>
        <w:spacing w:before="240" w:after="240"/>
        <w:rPr>
          <w:rFonts w:ascii="宋体" w:hAnsi="宋体" w:eastAsia="宋体" w:cs="宋体"/>
          <w:sz w:val="24"/>
          <w:szCs w:val="24"/>
          <w:lang w:eastAsia="zh-CN"/>
        </w:rPr>
      </w:pPr>
    </w:p>
    <w:p>
      <w:pPr>
        <w:widowControl w:val="0"/>
        <w:adjustRightInd w:val="0"/>
        <w:snapToGrid w:val="0"/>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供应商（盖单位电子签章）：</w:t>
      </w:r>
    </w:p>
    <w:p>
      <w:pPr>
        <w:widowControl w:val="0"/>
        <w:adjustRightInd w:val="0"/>
        <w:snapToGrid w:val="0"/>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法定代表人(负责人)或授权代表（签字或盖章）：</w:t>
      </w:r>
    </w:p>
    <w:p>
      <w:pPr>
        <w:widowControl w:val="0"/>
        <w:adjustRightInd w:val="0"/>
        <w:snapToGrid w:val="0"/>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日期：</w:t>
      </w:r>
    </w:p>
    <w:p>
      <w:pPr>
        <w:widowControl w:val="0"/>
        <w:adjustRightInd w:val="0"/>
        <w:snapToGrid w:val="0"/>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说明：</w:t>
      </w:r>
    </w:p>
    <w:p>
      <w:pPr>
        <w:widowControl w:val="0"/>
        <w:adjustRightInd w:val="0"/>
        <w:snapToGrid w:val="0"/>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中小微企业的划分具体以《政府采购促进中小企业发展暂行办法》（财库[2011]181号）和《工业和信息化部、国家统计局、国家发展和改革委员会、财政部关于印发中小企业划型标准规定的通知》（工信部联企业[2011]300号）的规定为准。</w:t>
      </w:r>
    </w:p>
    <w:p>
      <w:pPr>
        <w:widowControl w:val="0"/>
        <w:adjustRightInd w:val="0"/>
        <w:snapToGrid w:val="0"/>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2.享受政府采购支持政策的残疾人福利性单位应满足的条件以《关于促进残疾人就业政府采购政策的通知》（财库〔2017〕141号）的规定为准。</w:t>
      </w:r>
    </w:p>
    <w:p>
      <w:pPr>
        <w:widowControl w:val="0"/>
        <w:adjustRightInd w:val="0"/>
        <w:snapToGrid w:val="0"/>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3．供应商为“小型”或“微型”或“监狱企业”、“残疾人福利性单位”的，须算出“小型和微型和监狱企业和残疾人福利性单位” 总价合计”。</w:t>
      </w:r>
    </w:p>
    <w:p>
      <w:pPr>
        <w:widowControl w:val="0"/>
        <w:adjustRightInd w:val="0"/>
        <w:snapToGrid w:val="0"/>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注：1．</w:t>
      </w:r>
      <w:r>
        <w:rPr>
          <w:rFonts w:hint="eastAsia" w:ascii="宋体" w:hAnsi="宋体" w:eastAsia="宋体" w:cs="宋体"/>
          <w:b/>
          <w:sz w:val="24"/>
          <w:szCs w:val="24"/>
          <w:lang w:eastAsia="zh-CN"/>
        </w:rPr>
        <w:t>如果不提供《分项价格表》将视为没有实质性响应。</w:t>
      </w:r>
    </w:p>
    <w:p>
      <w:pPr>
        <w:widowControl w:val="0"/>
        <w:numPr>
          <w:ilvl w:val="0"/>
          <w:numId w:val="3"/>
        </w:num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响应供应商对以上数据的真实性负责。</w:t>
      </w:r>
    </w:p>
    <w:p>
      <w:pPr>
        <w:widowControl w:val="0"/>
        <w:adjustRightInd w:val="0"/>
        <w:snapToGrid w:val="0"/>
        <w:spacing w:line="360" w:lineRule="auto"/>
        <w:ind w:firstLine="482"/>
        <w:rPr>
          <w:rFonts w:ascii="宋体" w:hAnsi="宋体" w:eastAsia="宋体" w:cs="宋体"/>
          <w:b/>
          <w:bCs/>
          <w:sz w:val="24"/>
          <w:szCs w:val="24"/>
          <w:lang w:eastAsia="zh-CN"/>
        </w:rPr>
      </w:pPr>
      <w:r>
        <w:rPr>
          <w:rFonts w:hint="eastAsia" w:ascii="宋体" w:hAnsi="宋体" w:eastAsia="宋体" w:cs="宋体"/>
          <w:b/>
          <w:bCs/>
          <w:sz w:val="24"/>
          <w:szCs w:val="24"/>
          <w:lang w:eastAsia="zh-CN"/>
        </w:rPr>
        <w:t>公诚管理咨询有限公司有权将以上内容进行公示。</w:t>
      </w:r>
      <w:r>
        <w:rPr>
          <w:rFonts w:hint="eastAsia" w:ascii="宋体" w:hAnsi="宋体" w:eastAsia="宋体" w:cs="宋体"/>
          <w:b/>
          <w:bCs/>
          <w:sz w:val="24"/>
          <w:szCs w:val="24"/>
          <w:lang w:eastAsia="zh-CN"/>
        </w:rPr>
        <w:br w:type="page"/>
      </w:r>
    </w:p>
    <w:p>
      <w:pPr>
        <w:adjustRightInd w:val="0"/>
        <w:snapToGrid w:val="0"/>
        <w:spacing w:line="400" w:lineRule="atLeast"/>
        <w:jc w:val="center"/>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5、偏离表</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lang w:eastAsia="zh-CN"/>
        </w:rPr>
      </w:pPr>
      <w:r>
        <w:rPr>
          <w:rFonts w:hint="eastAsia" w:ascii="宋体" w:hAnsi="宋体" w:eastAsia="宋体" w:cs="宋体"/>
          <w:sz w:val="24"/>
          <w:szCs w:val="24"/>
          <w:lang w:eastAsia="zh-CN"/>
        </w:rPr>
        <w:t>（首次报价）</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项目编号：JSZC-320390-GCMC-C2023-0004</w:t>
      </w:r>
    </w:p>
    <w:p>
      <w:pPr>
        <w:pStyle w:val="74"/>
        <w:adjustRightInd w:val="0"/>
        <w:snapToGrid w:val="0"/>
        <w:rPr>
          <w:rFonts w:ascii="宋体" w:hAnsi="宋体" w:cs="宋体"/>
          <w:color w:val="auto"/>
        </w:rPr>
      </w:pPr>
    </w:p>
    <w:tbl>
      <w:tblPr>
        <w:tblStyle w:val="54"/>
        <w:tblW w:w="9145" w:type="dxa"/>
        <w:tblInd w:w="-623"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1410"/>
        <w:gridCol w:w="854"/>
        <w:gridCol w:w="2291"/>
        <w:gridCol w:w="1355"/>
        <w:gridCol w:w="1675"/>
        <w:gridCol w:w="1560"/>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14" w:hRule="atLeast"/>
        </w:trPr>
        <w:tc>
          <w:tcPr>
            <w:tcW w:w="1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rPr>
            </w:pPr>
            <w:r>
              <w:rPr>
                <w:rFonts w:hint="eastAsia" w:ascii="宋体" w:hAnsi="宋体" w:eastAsia="宋体" w:cs="宋体"/>
                <w:sz w:val="24"/>
                <w:szCs w:val="24"/>
              </w:rPr>
              <w:t>序号</w:t>
            </w:r>
          </w:p>
        </w:tc>
        <w:tc>
          <w:tcPr>
            <w:tcW w:w="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rPr>
            </w:pPr>
            <w:r>
              <w:rPr>
                <w:rFonts w:hint="eastAsia" w:ascii="宋体" w:hAnsi="宋体" w:eastAsia="宋体" w:cs="宋体"/>
                <w:sz w:val="24"/>
                <w:szCs w:val="24"/>
              </w:rPr>
              <w:t>偏离内容</w:t>
            </w:r>
          </w:p>
        </w:tc>
        <w:tc>
          <w:tcPr>
            <w:tcW w:w="22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lang w:eastAsia="zh-CN"/>
              </w:rPr>
            </w:pPr>
            <w:r>
              <w:rPr>
                <w:rFonts w:hint="eastAsia" w:ascii="宋体" w:hAnsi="宋体" w:eastAsia="宋体" w:cs="宋体"/>
                <w:sz w:val="24"/>
                <w:szCs w:val="24"/>
                <w:lang w:eastAsia="zh-CN"/>
              </w:rPr>
              <w:t>竞争性磋商文件（含竞争性磋商文件的澄清或者修改）的要求</w:t>
            </w:r>
          </w:p>
        </w:tc>
        <w:tc>
          <w:tcPr>
            <w:tcW w:w="1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lang w:eastAsia="zh-CN"/>
              </w:rPr>
            </w:pPr>
            <w:r>
              <w:rPr>
                <w:rFonts w:hint="eastAsia" w:ascii="宋体" w:hAnsi="宋体" w:eastAsia="宋体" w:cs="宋体"/>
                <w:sz w:val="24"/>
                <w:szCs w:val="24"/>
                <w:lang w:eastAsia="zh-CN"/>
              </w:rPr>
              <w:t>首次响应文件中的内容</w:t>
            </w:r>
          </w:p>
        </w:tc>
        <w:tc>
          <w:tcPr>
            <w:tcW w:w="1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rPr>
            </w:pPr>
            <w:r>
              <w:rPr>
                <w:rFonts w:hint="eastAsia" w:ascii="宋体" w:hAnsi="宋体" w:eastAsia="宋体" w:cs="宋体"/>
                <w:sz w:val="24"/>
                <w:szCs w:val="24"/>
              </w:rPr>
              <w:t>（正/负/无）偏离</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rPr>
            </w:pPr>
            <w:r>
              <w:rPr>
                <w:rFonts w:hint="eastAsia" w:ascii="宋体" w:hAnsi="宋体" w:eastAsia="宋体" w:cs="宋体"/>
                <w:sz w:val="24"/>
                <w:szCs w:val="24"/>
              </w:rPr>
              <w:t>说明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94" w:hRule="atLeast"/>
        </w:trPr>
        <w:tc>
          <w:tcPr>
            <w:tcW w:w="1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rPr>
            </w:pPr>
          </w:p>
        </w:tc>
        <w:tc>
          <w:tcPr>
            <w:tcW w:w="22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rPr>
            </w:pPr>
          </w:p>
        </w:tc>
        <w:tc>
          <w:tcPr>
            <w:tcW w:w="1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rPr>
            </w:pPr>
          </w:p>
        </w:tc>
        <w:tc>
          <w:tcPr>
            <w:tcW w:w="1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94" w:hRule="atLeast"/>
        </w:trPr>
        <w:tc>
          <w:tcPr>
            <w:tcW w:w="1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rPr>
            </w:pPr>
          </w:p>
        </w:tc>
        <w:tc>
          <w:tcPr>
            <w:tcW w:w="22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rPr>
            </w:pPr>
          </w:p>
        </w:tc>
        <w:tc>
          <w:tcPr>
            <w:tcW w:w="1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rPr>
            </w:pPr>
          </w:p>
        </w:tc>
        <w:tc>
          <w:tcPr>
            <w:tcW w:w="1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94" w:hRule="atLeast"/>
        </w:trPr>
        <w:tc>
          <w:tcPr>
            <w:tcW w:w="1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lang w:eastAsia="zh-CN"/>
              </w:rPr>
            </w:pPr>
            <w:r>
              <w:rPr>
                <w:rFonts w:hint="eastAsia" w:ascii="宋体" w:hAnsi="宋体" w:eastAsia="宋体" w:cs="宋体"/>
                <w:sz w:val="24"/>
                <w:szCs w:val="24"/>
                <w:lang w:eastAsia="zh-CN"/>
              </w:rPr>
              <w:t>3</w:t>
            </w:r>
          </w:p>
        </w:tc>
        <w:tc>
          <w:tcPr>
            <w:tcW w:w="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rPr>
            </w:pPr>
          </w:p>
        </w:tc>
        <w:tc>
          <w:tcPr>
            <w:tcW w:w="22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rPr>
            </w:pPr>
          </w:p>
        </w:tc>
        <w:tc>
          <w:tcPr>
            <w:tcW w:w="1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rPr>
            </w:pPr>
          </w:p>
        </w:tc>
        <w:tc>
          <w:tcPr>
            <w:tcW w:w="1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rPr>
            </w:pPr>
          </w:p>
        </w:tc>
      </w:tr>
    </w:tbl>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lang w:eastAsia="zh-CN"/>
        </w:rPr>
      </w:pPr>
      <w:r>
        <w:rPr>
          <w:rFonts w:hint="eastAsia" w:ascii="宋体" w:hAnsi="宋体" w:eastAsia="宋体" w:cs="宋体"/>
          <w:sz w:val="24"/>
          <w:szCs w:val="24"/>
          <w:u w:val="single"/>
          <w:lang w:eastAsia="zh-CN"/>
        </w:rPr>
        <w:t>注：供应商的首次响应文件中的内容与竞争性磋商文件（含竞争性磋商文件的澄清或者修改，下同）的要求不同时，逐条列在偏离表中，否则将认为供应商接受竞争性磋商文件的要求。</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jc w:val="both"/>
        <w:rPr>
          <w:rFonts w:ascii="宋体" w:hAnsi="宋体" w:eastAsia="宋体" w:cs="宋体"/>
          <w:sz w:val="24"/>
          <w:szCs w:val="24"/>
          <w:lang w:eastAsia="zh-CN"/>
        </w:rPr>
      </w:pPr>
      <w:r>
        <w:rPr>
          <w:rFonts w:hint="eastAsia" w:ascii="宋体" w:hAnsi="宋体" w:eastAsia="宋体" w:cs="宋体"/>
          <w:sz w:val="24"/>
          <w:szCs w:val="24"/>
          <w:lang w:eastAsia="zh-CN"/>
        </w:rPr>
        <w:t>供应商（盖单位电子签章）：</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jc w:val="both"/>
        <w:rPr>
          <w:rFonts w:ascii="宋体" w:hAnsi="宋体" w:eastAsia="宋体" w:cs="宋体"/>
          <w:sz w:val="24"/>
          <w:szCs w:val="24"/>
          <w:lang w:eastAsia="zh-CN"/>
        </w:rPr>
      </w:pPr>
      <w:r>
        <w:rPr>
          <w:rFonts w:hint="eastAsia" w:ascii="宋体" w:hAnsi="宋体" w:eastAsia="宋体" w:cs="宋体"/>
          <w:sz w:val="24"/>
          <w:szCs w:val="24"/>
          <w:lang w:eastAsia="zh-CN"/>
        </w:rPr>
        <w:t>法定代表人(负责人)或授权代表（签字或盖章）：</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jc w:val="both"/>
        <w:rPr>
          <w:rFonts w:ascii="宋体" w:hAnsi="宋体" w:eastAsia="宋体" w:cs="宋体"/>
          <w:sz w:val="24"/>
          <w:szCs w:val="24"/>
          <w:lang w:eastAsia="zh-CN"/>
        </w:rPr>
      </w:pPr>
      <w:r>
        <w:rPr>
          <w:rFonts w:hint="eastAsia" w:ascii="宋体" w:hAnsi="宋体" w:eastAsia="宋体" w:cs="宋体"/>
          <w:sz w:val="24"/>
          <w:szCs w:val="24"/>
          <w:lang w:eastAsia="zh-CN"/>
        </w:rPr>
        <w:t>日期：</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jc w:val="both"/>
        <w:rPr>
          <w:rFonts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adjustRightInd w:val="0"/>
        <w:snapToGrid w:val="0"/>
        <w:spacing w:before="240" w:after="240"/>
        <w:ind w:firstLine="972"/>
        <w:rPr>
          <w:rFonts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adjustRightInd w:val="0"/>
        <w:snapToGrid w:val="0"/>
        <w:spacing w:before="240" w:after="240"/>
        <w:ind w:firstLine="972"/>
        <w:rPr>
          <w:rFonts w:ascii="宋体" w:hAnsi="宋体" w:eastAsia="宋体" w:cs="宋体"/>
          <w:sz w:val="24"/>
          <w:szCs w:val="24"/>
        </w:rPr>
      </w:pPr>
    </w:p>
    <w:p>
      <w:pPr>
        <w:pBdr>
          <w:top w:val="none" w:color="000000" w:sz="0" w:space="0"/>
          <w:left w:val="none" w:color="000000" w:sz="0" w:space="0"/>
          <w:bottom w:val="none" w:color="000000" w:sz="0" w:space="0"/>
          <w:right w:val="none" w:color="000000" w:sz="0" w:space="0"/>
        </w:pBdr>
        <w:adjustRightInd w:val="0"/>
        <w:snapToGrid w:val="0"/>
        <w:spacing w:before="240" w:after="240"/>
        <w:ind w:firstLine="972"/>
        <w:rPr>
          <w:rFonts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adjustRightInd w:val="0"/>
        <w:snapToGrid w:val="0"/>
        <w:spacing w:before="240" w:after="240"/>
        <w:ind w:firstLine="972"/>
        <w:rPr>
          <w:rFonts w:ascii="宋体" w:hAnsi="宋体" w:eastAsia="宋体" w:cs="宋体"/>
          <w:sz w:val="24"/>
          <w:szCs w:val="24"/>
          <w:lang w:eastAsia="zh-CN"/>
        </w:rPr>
      </w:pPr>
      <w:bookmarkStart w:id="22" w:name="OLE_LINK29"/>
    </w:p>
    <w:p>
      <w:pPr>
        <w:adjustRightInd w:val="0"/>
        <w:snapToGrid w:val="0"/>
        <w:spacing w:line="400" w:lineRule="atLeast"/>
        <w:jc w:val="center"/>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6、合同草案条款</w:t>
      </w:r>
    </w:p>
    <w:p>
      <w:pPr>
        <w:numPr>
          <w:ilvl w:val="0"/>
          <w:numId w:val="4"/>
        </w:num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b/>
          <w:color w:val="000000"/>
          <w:sz w:val="28"/>
        </w:rPr>
        <w:t>总则</w:t>
      </w:r>
    </w:p>
    <w:p>
      <w:pPr>
        <w:pBdr>
          <w:top w:val="none" w:color="000000" w:sz="0" w:space="0"/>
          <w:left w:val="none" w:color="000000" w:sz="0" w:space="0"/>
          <w:bottom w:val="none" w:color="000000" w:sz="0" w:space="0"/>
          <w:right w:val="none" w:color="000000" w:sz="0" w:space="0"/>
        </w:pBdr>
        <w:spacing w:after="0" w:line="499" w:lineRule="atLeast"/>
        <w:jc w:val="both"/>
      </w:pPr>
      <w:r>
        <w:rPr>
          <w:rFonts w:ascii="宋体" w:hAnsi="宋体" w:eastAsia="宋体" w:cs="宋体"/>
          <w:b/>
          <w:color w:val="000000"/>
          <w:sz w:val="28"/>
        </w:rPr>
        <w:t> </w:t>
      </w:r>
    </w:p>
    <w:p>
      <w:pPr>
        <w:pBdr>
          <w:top w:val="none" w:color="000000" w:sz="0" w:space="0"/>
          <w:left w:val="none" w:color="000000" w:sz="0" w:space="0"/>
          <w:bottom w:val="none" w:color="000000" w:sz="0" w:space="0"/>
          <w:right w:val="none" w:color="000000" w:sz="0" w:space="0"/>
        </w:pBdr>
        <w:spacing w:after="0" w:line="499" w:lineRule="atLeast"/>
        <w:rPr>
          <w:sz w:val="24"/>
          <w:szCs w:val="24"/>
        </w:rPr>
      </w:pPr>
      <w:r>
        <w:rPr>
          <w:rFonts w:ascii="宋体" w:hAnsi="宋体" w:eastAsia="宋体" w:cs="宋体"/>
          <w:b/>
          <w:color w:val="000000"/>
          <w:sz w:val="24"/>
          <w:szCs w:val="24"/>
        </w:rPr>
        <w:t xml:space="preserve">第一条 </w:t>
      </w:r>
      <w:r>
        <w:rPr>
          <w:rFonts w:ascii="宋体" w:hAnsi="宋体" w:eastAsia="宋体" w:cs="宋体"/>
          <w:color w:val="000000"/>
          <w:sz w:val="24"/>
          <w:szCs w:val="24"/>
        </w:rPr>
        <w:t>本合同依据《中华人民共和国民法典》及其他有关法律、法规规定，甲乙双方遵循平等、自愿、公平和诚实信用的原则和</w:t>
      </w:r>
      <w:r>
        <w:rPr>
          <w:rFonts w:hint="eastAsia" w:ascii="宋体" w:hAnsi="宋体" w:eastAsia="宋体" w:cs="宋体"/>
          <w:color w:val="000000"/>
          <w:sz w:val="24"/>
          <w:szCs w:val="24"/>
        </w:rPr>
        <w:t>大庙街道各村居垃圾分类收运服务项目</w:t>
      </w:r>
      <w:r>
        <w:rPr>
          <w:rFonts w:ascii="宋体" w:hAnsi="宋体" w:eastAsia="宋体" w:cs="宋体"/>
          <w:color w:val="000000"/>
          <w:sz w:val="24"/>
          <w:szCs w:val="24"/>
        </w:rPr>
        <w:t xml:space="preserve">[项目编号：JSZC-320390-GCMC-C2023-0004]成交结果，经双方协商一致后订立。 </w:t>
      </w:r>
    </w:p>
    <w:p>
      <w:pPr>
        <w:pBdr>
          <w:top w:val="none" w:color="000000" w:sz="0" w:space="0"/>
          <w:left w:val="none" w:color="000000" w:sz="0" w:space="0"/>
          <w:bottom w:val="none" w:color="000000" w:sz="0" w:space="0"/>
          <w:right w:val="none" w:color="000000" w:sz="0" w:space="0"/>
        </w:pBdr>
        <w:spacing w:after="0" w:line="499" w:lineRule="atLeast"/>
        <w:rPr>
          <w:sz w:val="24"/>
          <w:szCs w:val="24"/>
        </w:rPr>
      </w:pPr>
      <w:r>
        <w:rPr>
          <w:rFonts w:ascii="宋体" w:hAnsi="宋体" w:eastAsia="宋体" w:cs="宋体"/>
          <w:b/>
          <w:color w:val="000000"/>
          <w:sz w:val="24"/>
          <w:szCs w:val="24"/>
        </w:rPr>
        <w:t xml:space="preserve">第二条 </w:t>
      </w:r>
      <w:r>
        <w:rPr>
          <w:rFonts w:ascii="宋体" w:hAnsi="宋体" w:eastAsia="宋体" w:cs="宋体"/>
          <w:color w:val="000000"/>
          <w:sz w:val="24"/>
          <w:szCs w:val="24"/>
        </w:rPr>
        <w:t xml:space="preserve">合同双方 </w:t>
      </w:r>
    </w:p>
    <w:p>
      <w:pPr>
        <w:pBdr>
          <w:top w:val="none" w:color="000000" w:sz="0" w:space="0"/>
          <w:left w:val="none" w:color="000000" w:sz="0" w:space="0"/>
          <w:bottom w:val="none" w:color="000000" w:sz="0" w:space="0"/>
          <w:right w:val="none" w:color="000000" w:sz="0" w:space="0"/>
        </w:pBdr>
        <w:spacing w:after="0" w:line="499" w:lineRule="atLeast"/>
        <w:rPr>
          <w:sz w:val="24"/>
          <w:szCs w:val="24"/>
        </w:rPr>
      </w:pPr>
      <w:r>
        <w:rPr>
          <w:rFonts w:ascii="宋体" w:hAnsi="宋体" w:eastAsia="宋体" w:cs="宋体"/>
          <w:color w:val="000000"/>
          <w:sz w:val="24"/>
          <w:szCs w:val="24"/>
        </w:rPr>
        <w:t>甲方：徐州经济技术开发区大庙街道办事处</w:t>
      </w:r>
    </w:p>
    <w:p>
      <w:pPr>
        <w:pBdr>
          <w:top w:val="none" w:color="000000" w:sz="0" w:space="0"/>
          <w:left w:val="none" w:color="000000" w:sz="0" w:space="0"/>
          <w:bottom w:val="none" w:color="000000" w:sz="0" w:space="0"/>
          <w:right w:val="none" w:color="000000" w:sz="0" w:space="0"/>
        </w:pBdr>
        <w:spacing w:after="0" w:line="499" w:lineRule="atLeast"/>
        <w:rPr>
          <w:sz w:val="24"/>
          <w:szCs w:val="24"/>
        </w:rPr>
      </w:pPr>
      <w:r>
        <w:rPr>
          <w:rFonts w:ascii="宋体" w:hAnsi="宋体" w:eastAsia="宋体" w:cs="宋体"/>
          <w:color w:val="000000"/>
          <w:sz w:val="24"/>
          <w:szCs w:val="24"/>
        </w:rPr>
        <w:t xml:space="preserve">乙方： </w:t>
      </w:r>
    </w:p>
    <w:p>
      <w:pPr>
        <w:pBdr>
          <w:top w:val="none" w:color="000000" w:sz="0" w:space="0"/>
          <w:left w:val="none" w:color="000000" w:sz="0" w:space="0"/>
          <w:bottom w:val="none" w:color="000000" w:sz="0" w:space="0"/>
          <w:right w:val="none" w:color="000000" w:sz="0" w:space="0"/>
        </w:pBdr>
        <w:spacing w:after="0" w:line="499" w:lineRule="atLeast"/>
        <w:rPr>
          <w:sz w:val="24"/>
          <w:szCs w:val="24"/>
        </w:rPr>
      </w:pPr>
      <w:r>
        <w:rPr>
          <w:rFonts w:ascii="宋体" w:hAnsi="宋体" w:eastAsia="宋体" w:cs="宋体"/>
          <w:b/>
          <w:color w:val="000000"/>
          <w:sz w:val="24"/>
          <w:szCs w:val="24"/>
        </w:rPr>
        <w:t xml:space="preserve">第三条 </w:t>
      </w:r>
      <w:r>
        <w:rPr>
          <w:rFonts w:ascii="宋体" w:hAnsi="宋体" w:eastAsia="宋体" w:cs="宋体"/>
          <w:color w:val="000000"/>
          <w:sz w:val="24"/>
          <w:szCs w:val="24"/>
        </w:rPr>
        <w:t>服务内容：</w:t>
      </w:r>
      <w:r>
        <w:rPr>
          <w:rFonts w:hint="eastAsia" w:ascii="宋体" w:hAnsi="宋体" w:eastAsia="宋体" w:cs="宋体"/>
          <w:color w:val="000000"/>
          <w:sz w:val="24"/>
          <w:szCs w:val="24"/>
        </w:rPr>
        <w:t>大庙街道各村居垃圾分类收运服务项目</w:t>
      </w:r>
      <w:r>
        <w:rPr>
          <w:rFonts w:ascii="宋体" w:hAnsi="宋体" w:eastAsia="宋体" w:cs="宋体"/>
          <w:color w:val="000000"/>
          <w:sz w:val="24"/>
          <w:szCs w:val="24"/>
        </w:rPr>
        <w:t xml:space="preserve">，详见本项目采购需求和乙方响应文件[项目编号：JSZC-320390-GCMC-C2023-0004] </w:t>
      </w:r>
    </w:p>
    <w:p>
      <w:pPr>
        <w:pBdr>
          <w:top w:val="none" w:color="000000" w:sz="0" w:space="0"/>
          <w:left w:val="none" w:color="000000" w:sz="0" w:space="0"/>
          <w:bottom w:val="none" w:color="000000" w:sz="0" w:space="0"/>
          <w:right w:val="none" w:color="000000" w:sz="0" w:space="0"/>
        </w:pBdr>
        <w:spacing w:after="0" w:line="499" w:lineRule="atLeast"/>
        <w:rPr>
          <w:sz w:val="24"/>
          <w:szCs w:val="24"/>
        </w:rPr>
      </w:pPr>
      <w:r>
        <w:rPr>
          <w:rFonts w:ascii="宋体" w:hAnsi="宋体" w:eastAsia="宋体" w:cs="宋体"/>
          <w:b/>
          <w:color w:val="000000"/>
          <w:sz w:val="24"/>
          <w:szCs w:val="24"/>
        </w:rPr>
        <w:t xml:space="preserve">第四条 </w:t>
      </w:r>
      <w:r>
        <w:rPr>
          <w:rFonts w:ascii="宋体" w:hAnsi="宋体" w:eastAsia="宋体" w:cs="宋体"/>
          <w:color w:val="000000"/>
          <w:sz w:val="24"/>
          <w:szCs w:val="24"/>
        </w:rPr>
        <w:t>管理和运维  </w:t>
      </w:r>
    </w:p>
    <w:p>
      <w:pPr>
        <w:pBdr>
          <w:top w:val="none" w:color="000000" w:sz="0" w:space="0"/>
          <w:left w:val="none" w:color="000000" w:sz="0" w:space="0"/>
          <w:bottom w:val="none" w:color="000000" w:sz="0" w:space="0"/>
          <w:right w:val="none" w:color="000000" w:sz="0" w:space="0"/>
        </w:pBdr>
        <w:spacing w:after="0" w:line="499" w:lineRule="atLeast"/>
        <w:rPr>
          <w:sz w:val="24"/>
          <w:szCs w:val="24"/>
        </w:rPr>
      </w:pPr>
      <w:r>
        <w:rPr>
          <w:rFonts w:ascii="宋体" w:hAnsi="宋体" w:eastAsia="宋体" w:cs="宋体"/>
          <w:color w:val="000000"/>
          <w:sz w:val="24"/>
          <w:szCs w:val="24"/>
        </w:rPr>
        <w:t xml:space="preserve">1.甲方委托乙方负责垃圾运输服务，并受甲方的日常监督、管理。 </w:t>
      </w:r>
    </w:p>
    <w:p>
      <w:pPr>
        <w:pBdr>
          <w:top w:val="none" w:color="000000" w:sz="0" w:space="0"/>
          <w:left w:val="none" w:color="000000" w:sz="0" w:space="0"/>
          <w:bottom w:val="none" w:color="000000" w:sz="0" w:space="0"/>
          <w:right w:val="none" w:color="000000" w:sz="0" w:space="0"/>
        </w:pBdr>
        <w:spacing w:after="0" w:line="499" w:lineRule="atLeast"/>
      </w:pPr>
      <w:r>
        <w:rPr>
          <w:rFonts w:ascii="宋体" w:hAnsi="宋体" w:eastAsia="宋体" w:cs="宋体"/>
          <w:color w:val="000000"/>
          <w:sz w:val="24"/>
          <w:szCs w:val="24"/>
        </w:rPr>
        <w:t>2.如乙方有严重违约行为且造成严重环境、安全事故的，甲方有权终止合同，应在拟终止日前1个月书面通知乙方。</w:t>
      </w:r>
    </w:p>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b/>
          <w:color w:val="000000"/>
          <w:sz w:val="28"/>
        </w:rPr>
        <w:t> </w:t>
      </w:r>
    </w:p>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b/>
          <w:color w:val="000000"/>
          <w:sz w:val="28"/>
        </w:rPr>
        <w:t>第二章 双方的权利和义务</w:t>
      </w:r>
    </w:p>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b/>
          <w:color w:val="000000"/>
          <w:sz w:val="28"/>
        </w:rPr>
        <w:t> </w:t>
      </w:r>
    </w:p>
    <w:p>
      <w:pPr>
        <w:pBdr>
          <w:top w:val="none" w:color="000000" w:sz="0" w:space="0"/>
          <w:left w:val="none" w:color="000000" w:sz="0" w:space="0"/>
          <w:bottom w:val="none" w:color="000000" w:sz="0" w:space="0"/>
          <w:right w:val="none" w:color="000000" w:sz="0" w:space="0"/>
        </w:pBdr>
        <w:spacing w:after="0" w:line="360" w:lineRule="auto"/>
        <w:rPr>
          <w:sz w:val="24"/>
          <w:szCs w:val="24"/>
        </w:rPr>
      </w:pPr>
      <w:r>
        <w:rPr>
          <w:rFonts w:ascii="宋体" w:hAnsi="宋体" w:eastAsia="宋体" w:cs="宋体"/>
          <w:b/>
          <w:color w:val="000000"/>
          <w:sz w:val="24"/>
          <w:szCs w:val="24"/>
        </w:rPr>
        <w:t xml:space="preserve">第五条 </w:t>
      </w:r>
      <w:r>
        <w:rPr>
          <w:rFonts w:ascii="宋体" w:hAnsi="宋体" w:eastAsia="宋体" w:cs="宋体"/>
          <w:color w:val="000000"/>
          <w:sz w:val="24"/>
          <w:szCs w:val="24"/>
        </w:rPr>
        <w:t xml:space="preserve">甲方的一般义务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1.协助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应乙方的合理请求，在对第三条所列项目的运营及维护过程中，向乙方提供与项目相关的协助。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2.在委托运营期间，甲方有义务协助乙方获得公共治安保障。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3.甲方应按期支付垃圾运输费。</w:t>
      </w:r>
    </w:p>
    <w:p>
      <w:pPr>
        <w:pBdr>
          <w:top w:val="none" w:color="000000" w:sz="0" w:space="0"/>
          <w:left w:val="none" w:color="000000" w:sz="0" w:space="0"/>
          <w:bottom w:val="none" w:color="000000" w:sz="0" w:space="0"/>
          <w:right w:val="none" w:color="000000" w:sz="0" w:space="0"/>
        </w:pBdr>
        <w:spacing w:after="0" w:line="360" w:lineRule="auto"/>
        <w:rPr>
          <w:sz w:val="24"/>
          <w:szCs w:val="24"/>
        </w:rPr>
      </w:pPr>
      <w:r>
        <w:rPr>
          <w:rFonts w:ascii="宋体" w:hAnsi="宋体" w:eastAsia="宋体" w:cs="宋体"/>
          <w:b/>
          <w:color w:val="000000"/>
          <w:sz w:val="24"/>
          <w:szCs w:val="24"/>
        </w:rPr>
        <w:t xml:space="preserve">第六条 </w:t>
      </w:r>
      <w:r>
        <w:rPr>
          <w:rFonts w:ascii="宋体" w:hAnsi="宋体" w:eastAsia="宋体" w:cs="宋体"/>
          <w:color w:val="000000"/>
          <w:sz w:val="24"/>
          <w:szCs w:val="24"/>
        </w:rPr>
        <w:t xml:space="preserve">乙方的一般义务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1.安全责任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本项目涉及的安全、治安、防汛防台、危险品管理由乙方全部负责，责任人为</w:t>
      </w:r>
      <w:r>
        <w:rPr>
          <w:rFonts w:ascii="宋体" w:hAnsi="宋体" w:eastAsia="宋体" w:cs="宋体"/>
          <w:color w:val="000000"/>
          <w:sz w:val="24"/>
          <w:szCs w:val="24"/>
          <w:u w:val="single"/>
        </w:rPr>
        <w:t>           </w:t>
      </w:r>
      <w:r>
        <w:rPr>
          <w:rFonts w:ascii="宋体" w:hAnsi="宋体" w:eastAsia="宋体" w:cs="宋体"/>
          <w:color w:val="000000"/>
          <w:sz w:val="24"/>
          <w:szCs w:val="24"/>
        </w:rPr>
        <w:t xml:space="preserve">。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合同生效后，乙方必须切实落实安全责任制，配备安全专职管理人员，制定相关安全制度及各项应急响应预案，建立安全管理网络，储备应急物资，落实应急队伍，进行各项应急演练。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乙方应遵守并执行由下述各文件所规定的健康和安全标准：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本合同；政府颁布的现行法律、法规和法令；通常用于相类似项目的国内健康和安全标准。</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按照规定乙方与甲方签订安全责任书，承诺乙方承担的安全义务。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2.环境保护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在本合同范围内，乙方应遵守国家颁布的环保标准，并应保持场地和周围环境减少环境污染的方式运营及维护本项目。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3.接受监督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在本合同范围内，乙方有义务接受经甲方批准或组织的社会监督。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4．服务成效</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在本合同服务期范围内，乙方按照住建部、省住建厅有关规范性文件精神和徐州市垃圾分类办、徐州市城市管理局有关垃圾清运工作的具体要求，每日运输入库垃圾量不低于</w:t>
      </w:r>
      <w:r>
        <w:rPr>
          <w:rFonts w:hint="eastAsia" w:ascii="宋体" w:hAnsi="宋体" w:eastAsia="宋体" w:cs="宋体"/>
          <w:color w:val="000000"/>
          <w:sz w:val="24"/>
          <w:szCs w:val="24"/>
          <w:lang w:eastAsia="zh-CN"/>
        </w:rPr>
        <w:t>经开区</w:t>
      </w:r>
      <w:r>
        <w:rPr>
          <w:rFonts w:ascii="宋体" w:hAnsi="宋体" w:eastAsia="宋体" w:cs="宋体"/>
          <w:color w:val="000000"/>
          <w:sz w:val="24"/>
          <w:szCs w:val="24"/>
        </w:rPr>
        <w:t>日产生活垃圾总量的15%；在未发生不可抗力因素的情况下，乙方应将甲方日产垃圾全部当日内运输至终端处置场所并办理入库，否则甲方有权按照</w:t>
      </w:r>
      <w:r>
        <w:rPr>
          <w:rFonts w:hint="eastAsia" w:ascii="宋体" w:hAnsi="宋体" w:eastAsia="宋体" w:cs="宋体"/>
          <w:color w:val="000000"/>
          <w:sz w:val="24"/>
          <w:szCs w:val="24"/>
          <w:lang w:eastAsia="zh-CN"/>
        </w:rPr>
        <w:t>经开区</w:t>
      </w:r>
      <w:r>
        <w:rPr>
          <w:rFonts w:ascii="宋体" w:hAnsi="宋体" w:eastAsia="宋体" w:cs="宋体"/>
          <w:color w:val="000000"/>
          <w:sz w:val="24"/>
          <w:szCs w:val="24"/>
        </w:rPr>
        <w:t>当日生活垃圾总量的15%为标准，扣除当日全部运输费用。</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5.应急预案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1）乙方应制定详细的应急预案，以应对各种突发事件，包括设施故障、事故、停电、地震、火灾、洪水、台风、骤降暴雨雪、突发性公共卫生事件等。除应急措施外，应急预案中还应包括复原计划，使突发事件对环境、设备所造成潜在性及长期性的威胁降低至最小。乙方应将该应急预案送交甲方备查。</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（2）合同期内，在创建文明城市、创建卫生城市，以及政府其它迎检活动须无条件配合，随时服从采购人工作安排，确保完成垃圾收运工作不出问题。</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6.保险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乙方承担本单位自有设施、生产运营及其管理人员的保险投保义务，费用自理。 </w:t>
      </w:r>
    </w:p>
    <w:p>
      <w:pPr>
        <w:pBdr>
          <w:top w:val="none" w:color="000000" w:sz="0" w:space="0"/>
          <w:left w:val="none" w:color="000000" w:sz="0" w:space="0"/>
          <w:bottom w:val="none" w:color="000000" w:sz="0" w:space="0"/>
          <w:right w:val="none" w:color="000000" w:sz="0" w:space="0"/>
        </w:pBdr>
        <w:spacing w:after="0" w:line="360" w:lineRule="auto"/>
        <w:rPr>
          <w:sz w:val="24"/>
          <w:szCs w:val="24"/>
        </w:rPr>
      </w:pPr>
      <w:r>
        <w:rPr>
          <w:rFonts w:ascii="宋体" w:hAnsi="宋体" w:eastAsia="宋体" w:cs="宋体"/>
          <w:b/>
          <w:color w:val="000000"/>
          <w:sz w:val="24"/>
          <w:szCs w:val="24"/>
        </w:rPr>
        <w:t xml:space="preserve">第七条 </w:t>
      </w:r>
      <w:r>
        <w:rPr>
          <w:rFonts w:ascii="宋体" w:hAnsi="宋体" w:eastAsia="宋体" w:cs="宋体"/>
          <w:color w:val="000000"/>
          <w:sz w:val="24"/>
          <w:szCs w:val="24"/>
        </w:rPr>
        <w:t xml:space="preserve">甲乙双方共同的权利和义务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1.不可抗力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（1）不可抗力的基本条款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不可抗力是指当事人的双方或一方无法预见、无法避免并不能克服的客观情况，如地震、台风、海啸、洪水、战争、动乱等。任何一方由于不可抗力造成的部分或全部不能履行本合同的义务将不视为违约，但双方有责任采取一切合理的措施以减少因不可抗力造成的损失。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（2）不可抗力的补充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任何一方在出现不可抗力而导致该方不能履行其在本合同项下的全部或部分义务时，该方有权提出中止履行本合同项下的相应义务；如果不可抗力事件严重阻止、妨碍、或延误期限累计日数超过三十（30）日，则任何一方均可书面通知另一方要求终止本合同。</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（3）不可抗力的例外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乙方无权将项目运营或维护承包商或其任何分包商的履约延误视为可暂停履行其根据本合同所承担的义务或使其免负不履行责任的不可抗力情形。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（4）通知程序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声称受到不可抗力影响的一方在知道不可抗力发生后，应在不可抗力发生后五日内以电报、传真、邮政特快专递等书面形式通知另一方，且应在通知中说明该不可抗力发生日期和估计停止的日期及对该方履行在本合同项下义务的影响，以及对另一方可能产生的影响等，并应在三十（30）日以内提出不可抗力事故的详情及本合同不能履行或需延期履行的理由文件，以及相关的有效证明文件。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（5）不可抗力影响期间的责任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如果声称遭受不可抗力影响的一方已履行了通知程序，本合同中规定的履行某项义务的任何期限和进度要求，应根据不可抗力对履行该项义务产生的影响而相应调整。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受到不可抗力影响的一方应尽力减少不可抗力的影响，包括采取有效的措施，增加合理的支出。为消除不可抗力的影响，双方应共同协商，采取合理措施，制定并实施补救计划，以减少不可抗力给每一方带来的损失。如果受到不可抗力影响的一方未尽力减少不可抗力的影响，该方应承担因此而致使不可抗力影响扩大所造成的损失。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不可抗力事故发生后，双方应根据该不可抗力对本合同的影响程度协商决定解除本合同或延期履行、以及免除遭受不可抗力方之责任。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在不可抗力消除之后，声称发生不可抗力的一方应尽快继续履行本合同项下的义务。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2.保密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A、双方应将本合同及相关项目中各方面之间相互的联系及提供的文件（无论是财务的、技术的或其它的）作为秘密资料对待，未经另一方的事先书面同意，不得以任何方式向除各方的专业顾问及用于项目报批外的第三方泄露，法律另有规定除外。这一禁止不应妨碍任何一方在征得对方同意情况下发布与项目进度有关的且其中所载并非敏感性资料的新闻。本条款在本合同终止后仍然有效。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B、对于与履行本合同有关的受雇人员、企业或其他组织，双方均应要求其履行上述保密义务。若上述主体违反保密义务，将视同该方违反本义务，该方应承担连带法律责任。</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C、违反上述保密义务，一方应承担由此给另一方造成的全部损失和法律责任。 </w:t>
      </w:r>
    </w:p>
    <w:p>
      <w:pPr>
        <w:pBdr>
          <w:top w:val="none" w:color="000000" w:sz="0" w:space="0"/>
          <w:left w:val="none" w:color="000000" w:sz="0" w:space="0"/>
          <w:bottom w:val="none" w:color="000000" w:sz="0" w:space="0"/>
          <w:right w:val="none" w:color="000000" w:sz="0" w:space="0"/>
        </w:pBdr>
        <w:spacing w:after="0" w:line="360" w:lineRule="auto"/>
        <w:jc w:val="center"/>
        <w:rPr>
          <w:rFonts w:ascii="宋体" w:hAnsi="宋体" w:eastAsia="宋体" w:cs="宋体"/>
          <w:b/>
          <w:color w:val="000000"/>
          <w:sz w:val="28"/>
        </w:rPr>
      </w:pPr>
      <w:r>
        <w:rPr>
          <w:rFonts w:ascii="宋体" w:hAnsi="宋体" w:eastAsia="宋体" w:cs="宋体"/>
          <w:b/>
          <w:color w:val="000000"/>
          <w:sz w:val="28"/>
        </w:rPr>
        <w:t>第三章 合同范围和期限</w:t>
      </w:r>
    </w:p>
    <w:p>
      <w:pPr>
        <w:pStyle w:val="2"/>
      </w:pPr>
    </w:p>
    <w:p>
      <w:pPr>
        <w:pBdr>
          <w:top w:val="none" w:color="000000" w:sz="0" w:space="0"/>
          <w:left w:val="none" w:color="000000" w:sz="0" w:space="0"/>
          <w:bottom w:val="none" w:color="000000" w:sz="0" w:space="0"/>
          <w:right w:val="none" w:color="000000" w:sz="0" w:space="0"/>
        </w:pBdr>
        <w:spacing w:after="0" w:line="360" w:lineRule="auto"/>
        <w:ind w:firstLine="482" w:firstLineChars="200"/>
        <w:rPr>
          <w:sz w:val="24"/>
          <w:szCs w:val="24"/>
        </w:rPr>
      </w:pPr>
      <w:r>
        <w:rPr>
          <w:rFonts w:ascii="宋体" w:hAnsi="宋体" w:eastAsia="宋体" w:cs="宋体"/>
          <w:b/>
          <w:color w:val="000000"/>
          <w:sz w:val="24"/>
          <w:szCs w:val="24"/>
        </w:rPr>
        <w:t xml:space="preserve">第八条 </w:t>
      </w:r>
      <w:r>
        <w:rPr>
          <w:rFonts w:ascii="宋体" w:hAnsi="宋体" w:eastAsia="宋体" w:cs="宋体"/>
          <w:color w:val="000000"/>
          <w:sz w:val="24"/>
          <w:szCs w:val="24"/>
        </w:rPr>
        <w:t xml:space="preserve">本合同项下，甲方委托乙方对大庙街道各村居垃圾分类收运，处理范围为徐州市经济技术开发区大庙街道各村居垃圾分类收运项目，包括李井村、河套村、前姚村、后姚村、李庄村、马庄村、前坝村、安然村、安顺社区、华美社区、华新社区、大庙村、侯集村、虎山村、夏庄村共 </w:t>
      </w:r>
      <w:r>
        <w:rPr>
          <w:rFonts w:hint="eastAsia" w:ascii="宋体" w:hAnsi="宋体" w:eastAsia="宋体" w:cs="宋体"/>
          <w:color w:val="000000"/>
          <w:sz w:val="24"/>
          <w:szCs w:val="24"/>
          <w:lang w:eastAsia="zh-CN"/>
        </w:rPr>
        <w:t>15</w:t>
      </w:r>
      <w:r>
        <w:rPr>
          <w:rFonts w:ascii="宋体" w:hAnsi="宋体" w:eastAsia="宋体" w:cs="宋体"/>
          <w:color w:val="000000"/>
          <w:sz w:val="24"/>
          <w:szCs w:val="24"/>
        </w:rPr>
        <w:t xml:space="preserve">个村，合计220L 垃圾桶 </w:t>
      </w:r>
      <w:r>
        <w:rPr>
          <w:rFonts w:hint="eastAsia" w:ascii="宋体" w:hAnsi="宋体" w:eastAsia="宋体" w:cs="宋体"/>
          <w:color w:val="000000"/>
          <w:sz w:val="24"/>
          <w:szCs w:val="24"/>
          <w:lang w:eastAsia="zh-CN"/>
        </w:rPr>
        <w:t>1370</w:t>
      </w:r>
      <w:r>
        <w:rPr>
          <w:rFonts w:ascii="宋体" w:hAnsi="宋体" w:eastAsia="宋体" w:cs="宋体"/>
          <w:color w:val="000000"/>
          <w:sz w:val="24"/>
          <w:szCs w:val="24"/>
        </w:rPr>
        <w:t xml:space="preserve"> 个，为巩固国家卫生城市创建成果，保障各村居环境卫生整洁、生活垃圾分类规范，需改善我办原垃圾收运模式，加强分类收运，做到日产日清。 </w:t>
      </w:r>
    </w:p>
    <w:p>
      <w:pPr>
        <w:pBdr>
          <w:top w:val="none" w:color="000000" w:sz="0" w:space="0"/>
          <w:left w:val="none" w:color="000000" w:sz="0" w:space="0"/>
          <w:bottom w:val="none" w:color="000000" w:sz="0" w:space="0"/>
          <w:right w:val="none" w:color="000000" w:sz="0" w:space="0"/>
        </w:pBdr>
        <w:spacing w:after="0" w:line="360" w:lineRule="auto"/>
        <w:ind w:firstLine="482" w:firstLineChars="200"/>
        <w:rPr>
          <w:sz w:val="24"/>
          <w:szCs w:val="24"/>
        </w:rPr>
      </w:pPr>
      <w:r>
        <w:rPr>
          <w:rFonts w:ascii="宋体" w:hAnsi="宋体" w:eastAsia="宋体" w:cs="宋体"/>
          <w:b/>
          <w:color w:val="000000"/>
          <w:sz w:val="24"/>
          <w:szCs w:val="24"/>
        </w:rPr>
        <w:t xml:space="preserve">第九条 </w:t>
      </w:r>
      <w:r>
        <w:rPr>
          <w:rFonts w:ascii="宋体" w:hAnsi="宋体" w:eastAsia="宋体" w:cs="宋体"/>
          <w:color w:val="000000"/>
          <w:sz w:val="24"/>
          <w:szCs w:val="24"/>
        </w:rPr>
        <w:t xml:space="preserve">合同期限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自签订合同之日起一年。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w:t>
      </w:r>
    </w:p>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b/>
          <w:color w:val="000000"/>
          <w:sz w:val="28"/>
        </w:rPr>
        <w:t xml:space="preserve">第四章费用及结算 </w:t>
      </w:r>
    </w:p>
    <w:p>
      <w:pPr>
        <w:pBdr>
          <w:top w:val="none" w:color="000000" w:sz="0" w:space="0"/>
          <w:left w:val="none" w:color="000000" w:sz="0" w:space="0"/>
          <w:bottom w:val="none" w:color="000000" w:sz="0" w:space="0"/>
          <w:right w:val="none" w:color="000000" w:sz="0" w:space="0"/>
        </w:pBdr>
        <w:spacing w:after="0" w:line="499" w:lineRule="atLeast"/>
      </w:pPr>
      <w:r>
        <w:rPr>
          <w:rFonts w:ascii="宋体" w:hAnsi="宋体" w:eastAsia="宋体" w:cs="宋体"/>
          <w:b/>
          <w:color w:val="000000"/>
          <w:sz w:val="28"/>
        </w:rPr>
        <w:t> </w:t>
      </w:r>
    </w:p>
    <w:p>
      <w:pPr>
        <w:pBdr>
          <w:top w:val="none" w:color="000000" w:sz="0" w:space="0"/>
          <w:left w:val="none" w:color="000000" w:sz="0" w:space="0"/>
          <w:bottom w:val="none" w:color="000000" w:sz="0" w:space="0"/>
          <w:right w:val="none" w:color="000000" w:sz="0" w:space="0"/>
        </w:pBdr>
        <w:spacing w:after="0" w:line="360" w:lineRule="auto"/>
        <w:ind w:firstLine="482" w:firstLineChars="200"/>
        <w:rPr>
          <w:sz w:val="24"/>
          <w:szCs w:val="24"/>
        </w:rPr>
      </w:pPr>
      <w:r>
        <w:rPr>
          <w:rFonts w:ascii="宋体" w:hAnsi="宋体" w:eastAsia="宋体" w:cs="宋体"/>
          <w:b/>
          <w:color w:val="000000"/>
          <w:sz w:val="24"/>
          <w:szCs w:val="24"/>
        </w:rPr>
        <w:t xml:space="preserve">第十条 </w:t>
      </w:r>
      <w:r>
        <w:rPr>
          <w:rFonts w:ascii="宋体" w:hAnsi="宋体" w:eastAsia="宋体" w:cs="宋体"/>
          <w:color w:val="000000"/>
          <w:sz w:val="24"/>
          <w:szCs w:val="24"/>
        </w:rPr>
        <w:t>合同价款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本项目合同价款为：人民币大写金额</w:t>
      </w:r>
      <w:r>
        <w:rPr>
          <w:rFonts w:ascii="宋体" w:hAnsi="宋体" w:eastAsia="宋体" w:cs="宋体"/>
          <w:color w:val="000000"/>
          <w:sz w:val="24"/>
          <w:szCs w:val="24"/>
          <w:u w:val="single"/>
        </w:rPr>
        <w:t>    </w:t>
      </w:r>
      <w:r>
        <w:rPr>
          <w:rFonts w:ascii="宋体" w:hAnsi="宋体" w:eastAsia="宋体" w:cs="宋体"/>
          <w:color w:val="000000"/>
          <w:sz w:val="24"/>
          <w:szCs w:val="24"/>
        </w:rPr>
        <w:t>元（小写金额：</w:t>
      </w:r>
      <w:r>
        <w:rPr>
          <w:rFonts w:ascii="宋体" w:hAnsi="宋体" w:eastAsia="宋体" w:cs="宋体"/>
          <w:color w:val="000000"/>
          <w:sz w:val="24"/>
          <w:szCs w:val="24"/>
          <w:u w:val="single"/>
        </w:rPr>
        <w:t>  </w:t>
      </w:r>
      <w:r>
        <w:rPr>
          <w:rFonts w:ascii="宋体" w:hAnsi="宋体" w:eastAsia="宋体" w:cs="宋体"/>
          <w:color w:val="000000"/>
          <w:sz w:val="24"/>
          <w:szCs w:val="24"/>
        </w:rPr>
        <w:t>元），其中</w:t>
      </w:r>
      <w:r>
        <w:rPr>
          <w:rFonts w:ascii="宋体" w:hAnsi="宋体" w:eastAsia="宋体" w:cs="宋体"/>
          <w:color w:val="000000"/>
          <w:sz w:val="24"/>
          <w:szCs w:val="24"/>
          <w:u w:val="single"/>
        </w:rPr>
        <w:t>   </w:t>
      </w:r>
      <w:r>
        <w:rPr>
          <w:rFonts w:ascii="宋体" w:hAnsi="宋体" w:eastAsia="宋体" w:cs="宋体"/>
          <w:color w:val="000000"/>
          <w:sz w:val="24"/>
          <w:szCs w:val="24"/>
        </w:rPr>
        <w:t>元/月，此费用包括完成本项目采购范围内的所有费用。</w:t>
      </w:r>
    </w:p>
    <w:p>
      <w:pPr>
        <w:pBdr>
          <w:top w:val="none" w:color="000000" w:sz="0" w:space="0"/>
          <w:left w:val="none" w:color="000000" w:sz="0" w:space="0"/>
          <w:bottom w:val="none" w:color="000000" w:sz="0" w:space="0"/>
          <w:right w:val="none" w:color="000000" w:sz="0" w:space="0"/>
        </w:pBdr>
        <w:spacing w:after="0" w:line="360" w:lineRule="auto"/>
        <w:ind w:firstLine="482" w:firstLineChars="200"/>
        <w:rPr>
          <w:sz w:val="24"/>
          <w:szCs w:val="24"/>
        </w:rPr>
      </w:pPr>
      <w:r>
        <w:rPr>
          <w:rFonts w:ascii="宋体" w:hAnsi="宋体" w:eastAsia="宋体" w:cs="宋体"/>
          <w:b/>
          <w:color w:val="000000"/>
          <w:sz w:val="24"/>
          <w:szCs w:val="24"/>
        </w:rPr>
        <w:t xml:space="preserve">第十一条 </w:t>
      </w:r>
      <w:r>
        <w:rPr>
          <w:rFonts w:ascii="宋体" w:hAnsi="宋体" w:eastAsia="宋体" w:cs="宋体"/>
          <w:color w:val="000000"/>
          <w:sz w:val="24"/>
          <w:szCs w:val="24"/>
        </w:rPr>
        <w:t>结算方式</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本项目选择</w:t>
      </w:r>
      <w:r>
        <w:rPr>
          <w:rFonts w:ascii="宋体" w:hAnsi="宋体" w:eastAsia="宋体" w:cs="宋体"/>
          <w:b/>
          <w:color w:val="000000"/>
          <w:sz w:val="24"/>
          <w:szCs w:val="24"/>
          <w:u w:val="single"/>
        </w:rPr>
        <w:t xml:space="preserve"> 付款方式二 </w:t>
      </w:r>
      <w:r>
        <w:rPr>
          <w:rFonts w:ascii="宋体" w:hAnsi="宋体" w:eastAsia="宋体" w:cs="宋体"/>
          <w:color w:val="000000"/>
          <w:sz w:val="24"/>
          <w:szCs w:val="24"/>
        </w:rPr>
        <w:t>付款方式：</w:t>
      </w:r>
    </w:p>
    <w:p>
      <w:pPr>
        <w:pBdr>
          <w:top w:val="none" w:color="000000" w:sz="0" w:space="0"/>
          <w:left w:val="none" w:color="000000" w:sz="0" w:space="0"/>
          <w:bottom w:val="none" w:color="000000" w:sz="0" w:space="0"/>
          <w:right w:val="none" w:color="000000" w:sz="0" w:space="0"/>
        </w:pBdr>
        <w:spacing w:after="0" w:line="360" w:lineRule="auto"/>
        <w:ind w:firstLine="482" w:firstLineChars="200"/>
        <w:rPr>
          <w:sz w:val="24"/>
          <w:szCs w:val="24"/>
        </w:rPr>
      </w:pPr>
      <w:r>
        <w:rPr>
          <w:rFonts w:ascii="宋体" w:hAnsi="宋体" w:eastAsia="宋体" w:cs="宋体"/>
          <w:b/>
          <w:color w:val="000000"/>
          <w:sz w:val="24"/>
          <w:szCs w:val="24"/>
        </w:rPr>
        <w:t>付款方式一：提交预付款保函的</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（1）合同价款的</w:t>
      </w:r>
      <w:r>
        <w:rPr>
          <w:rFonts w:ascii="宋体" w:hAnsi="宋体" w:eastAsia="宋体" w:cs="宋体"/>
          <w:color w:val="000000"/>
          <w:sz w:val="24"/>
          <w:szCs w:val="24"/>
          <w:u w:val="single"/>
        </w:rPr>
        <w:t>百分之十</w:t>
      </w:r>
      <w:r>
        <w:rPr>
          <w:rFonts w:ascii="宋体" w:hAnsi="宋体" w:eastAsia="宋体" w:cs="宋体"/>
          <w:color w:val="000000"/>
          <w:sz w:val="24"/>
          <w:szCs w:val="24"/>
        </w:rPr>
        <w:t>(1</w:t>
      </w:r>
      <w:r>
        <w:rPr>
          <w:rFonts w:ascii="宋体" w:hAnsi="宋体" w:eastAsia="宋体" w:cs="宋体"/>
          <w:color w:val="000000"/>
          <w:sz w:val="24"/>
          <w:szCs w:val="24"/>
          <w:u w:val="single"/>
        </w:rPr>
        <w:t>0%</w:t>
      </w:r>
      <w:r>
        <w:rPr>
          <w:rFonts w:ascii="宋体" w:hAnsi="宋体" w:eastAsia="宋体" w:cs="宋体"/>
          <w:color w:val="000000"/>
          <w:sz w:val="24"/>
          <w:szCs w:val="24"/>
        </w:rPr>
        <w:t>)即￥</w:t>
      </w:r>
      <w:r>
        <w:rPr>
          <w:rFonts w:ascii="宋体" w:hAnsi="宋体" w:eastAsia="宋体" w:cs="宋体"/>
          <w:color w:val="000000"/>
          <w:sz w:val="24"/>
          <w:szCs w:val="24"/>
          <w:u w:val="single"/>
        </w:rPr>
        <w:t>          </w:t>
      </w:r>
      <w:r>
        <w:rPr>
          <w:rFonts w:ascii="宋体" w:hAnsi="宋体" w:eastAsia="宋体" w:cs="宋体"/>
          <w:color w:val="000000"/>
          <w:sz w:val="24"/>
          <w:szCs w:val="24"/>
        </w:rPr>
        <w:t>，大写：人民币</w:t>
      </w:r>
      <w:r>
        <w:rPr>
          <w:rFonts w:ascii="宋体" w:hAnsi="宋体" w:eastAsia="宋体" w:cs="宋体"/>
          <w:color w:val="000000"/>
          <w:sz w:val="24"/>
          <w:szCs w:val="24"/>
          <w:u w:val="single"/>
        </w:rPr>
        <w:t>         </w:t>
      </w:r>
      <w:r>
        <w:rPr>
          <w:rFonts w:ascii="宋体" w:hAnsi="宋体" w:eastAsia="宋体" w:cs="宋体"/>
          <w:color w:val="000000"/>
          <w:sz w:val="24"/>
          <w:szCs w:val="24"/>
        </w:rPr>
        <w:t>元整，在双方签订合同15日内，乙方向甲方出具等额预付款保函后，办理政府采购资金结算手续支付给乙方。</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（2）合同总价的</w:t>
      </w:r>
      <w:r>
        <w:rPr>
          <w:rFonts w:ascii="宋体" w:hAnsi="宋体" w:eastAsia="宋体" w:cs="宋体"/>
          <w:color w:val="000000"/>
          <w:sz w:val="24"/>
          <w:szCs w:val="24"/>
          <w:u w:val="single"/>
        </w:rPr>
        <w:t>百分之七十五</w:t>
      </w:r>
      <w:r>
        <w:rPr>
          <w:rFonts w:ascii="宋体" w:hAnsi="宋体" w:eastAsia="宋体" w:cs="宋体"/>
          <w:color w:val="000000"/>
          <w:sz w:val="24"/>
          <w:szCs w:val="24"/>
        </w:rPr>
        <w:t>(</w:t>
      </w:r>
      <w:r>
        <w:rPr>
          <w:rFonts w:ascii="宋体" w:hAnsi="宋体" w:eastAsia="宋体" w:cs="宋体"/>
          <w:color w:val="000000"/>
          <w:sz w:val="24"/>
          <w:szCs w:val="24"/>
          <w:u w:val="single"/>
        </w:rPr>
        <w:t>75</w:t>
      </w:r>
      <w:r>
        <w:rPr>
          <w:rFonts w:ascii="宋体" w:hAnsi="宋体" w:eastAsia="宋体" w:cs="宋体"/>
          <w:color w:val="000000"/>
          <w:sz w:val="24"/>
          <w:szCs w:val="24"/>
        </w:rPr>
        <w:t>%)即￥</w:t>
      </w:r>
      <w:r>
        <w:rPr>
          <w:rFonts w:ascii="宋体" w:hAnsi="宋体" w:eastAsia="宋体" w:cs="宋体"/>
          <w:color w:val="000000"/>
          <w:sz w:val="24"/>
          <w:szCs w:val="24"/>
          <w:u w:val="single"/>
        </w:rPr>
        <w:t>           </w:t>
      </w:r>
      <w:r>
        <w:rPr>
          <w:rFonts w:ascii="宋体" w:hAnsi="宋体" w:eastAsia="宋体" w:cs="宋体"/>
          <w:color w:val="000000"/>
          <w:sz w:val="24"/>
          <w:szCs w:val="24"/>
        </w:rPr>
        <w:t>，大写：人民币</w:t>
      </w:r>
      <w:r>
        <w:rPr>
          <w:rFonts w:ascii="宋体" w:hAnsi="宋体" w:eastAsia="宋体" w:cs="宋体"/>
          <w:color w:val="000000"/>
          <w:sz w:val="24"/>
          <w:szCs w:val="24"/>
          <w:u w:val="single"/>
        </w:rPr>
        <w:t>                 </w:t>
      </w:r>
      <w:r>
        <w:rPr>
          <w:rFonts w:ascii="宋体" w:hAnsi="宋体" w:eastAsia="宋体" w:cs="宋体"/>
          <w:color w:val="000000"/>
          <w:sz w:val="24"/>
          <w:szCs w:val="24"/>
        </w:rPr>
        <w:t>，甲方按月支付（月支付金额：人民币大写：</w:t>
      </w:r>
      <w:r>
        <w:rPr>
          <w:rFonts w:ascii="宋体" w:hAnsi="宋体" w:eastAsia="宋体" w:cs="宋体"/>
          <w:color w:val="000000"/>
          <w:sz w:val="24"/>
          <w:szCs w:val="24"/>
          <w:u w:val="single"/>
        </w:rPr>
        <w:t>     </w:t>
      </w:r>
      <w:r>
        <w:rPr>
          <w:rFonts w:ascii="宋体" w:hAnsi="宋体" w:eastAsia="宋体" w:cs="宋体"/>
          <w:color w:val="000000"/>
          <w:sz w:val="24"/>
          <w:szCs w:val="24"/>
        </w:rPr>
        <w:t xml:space="preserve"> ,小写¥ </w:t>
      </w:r>
      <w:r>
        <w:rPr>
          <w:rFonts w:ascii="宋体" w:hAnsi="宋体" w:eastAsia="宋体" w:cs="宋体"/>
          <w:color w:val="000000"/>
          <w:sz w:val="24"/>
          <w:szCs w:val="24"/>
          <w:u w:val="single"/>
        </w:rPr>
        <w:t>     </w:t>
      </w:r>
      <w:r>
        <w:rPr>
          <w:rFonts w:ascii="宋体" w:hAnsi="宋体" w:eastAsia="宋体" w:cs="宋体"/>
          <w:color w:val="000000"/>
          <w:sz w:val="24"/>
          <w:szCs w:val="24"/>
        </w:rPr>
        <w:t>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（3）合同总价的</w:t>
      </w:r>
      <w:r>
        <w:rPr>
          <w:rFonts w:ascii="宋体" w:hAnsi="宋体" w:eastAsia="宋体" w:cs="宋体"/>
          <w:color w:val="000000"/>
          <w:sz w:val="24"/>
          <w:szCs w:val="24"/>
          <w:u w:val="single"/>
        </w:rPr>
        <w:t>百分之十五</w:t>
      </w:r>
      <w:r>
        <w:rPr>
          <w:rFonts w:ascii="宋体" w:hAnsi="宋体" w:eastAsia="宋体" w:cs="宋体"/>
          <w:color w:val="000000"/>
          <w:sz w:val="24"/>
          <w:szCs w:val="24"/>
        </w:rPr>
        <w:t>(15%)即￥</w:t>
      </w:r>
      <w:r>
        <w:rPr>
          <w:rFonts w:ascii="宋体" w:hAnsi="宋体" w:eastAsia="宋体" w:cs="宋体"/>
          <w:color w:val="000000"/>
          <w:sz w:val="24"/>
          <w:szCs w:val="24"/>
          <w:u w:val="single"/>
        </w:rPr>
        <w:t>           </w:t>
      </w:r>
      <w:r>
        <w:rPr>
          <w:rFonts w:ascii="宋体" w:hAnsi="宋体" w:eastAsia="宋体" w:cs="宋体"/>
          <w:color w:val="000000"/>
          <w:sz w:val="24"/>
          <w:szCs w:val="24"/>
        </w:rPr>
        <w:t>，大写：人民币</w:t>
      </w:r>
      <w:r>
        <w:rPr>
          <w:rFonts w:ascii="宋体" w:hAnsi="宋体" w:eastAsia="宋体" w:cs="宋体"/>
          <w:color w:val="000000"/>
          <w:sz w:val="24"/>
          <w:szCs w:val="24"/>
          <w:u w:val="single"/>
        </w:rPr>
        <w:t>                 </w:t>
      </w:r>
      <w:r>
        <w:rPr>
          <w:rFonts w:ascii="宋体" w:hAnsi="宋体" w:eastAsia="宋体" w:cs="宋体"/>
          <w:color w:val="000000"/>
          <w:sz w:val="24"/>
          <w:szCs w:val="24"/>
        </w:rPr>
        <w:t>，合同标的全部完毕15日内，由甲方办理政府采购资金结算手续，经审核后支付给乙方。</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乙方需提交的支付文件包括：</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乙方出具的全额正式发票。</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以上费用实际付款时间以徐州经济开发区财政资金拨付进度为准。</w:t>
      </w:r>
    </w:p>
    <w:p>
      <w:pPr>
        <w:pBdr>
          <w:top w:val="none" w:color="000000" w:sz="0" w:space="0"/>
          <w:left w:val="none" w:color="000000" w:sz="0" w:space="0"/>
          <w:bottom w:val="none" w:color="000000" w:sz="0" w:space="0"/>
          <w:right w:val="none" w:color="000000" w:sz="0" w:space="0"/>
        </w:pBdr>
        <w:spacing w:after="0" w:line="360" w:lineRule="auto"/>
        <w:ind w:firstLine="482" w:firstLineChars="200"/>
        <w:rPr>
          <w:b/>
          <w:bCs/>
          <w:sz w:val="24"/>
          <w:szCs w:val="24"/>
        </w:rPr>
      </w:pPr>
      <w:r>
        <w:rPr>
          <w:rFonts w:ascii="宋体" w:hAnsi="宋体" w:eastAsia="宋体" w:cs="宋体"/>
          <w:b/>
          <w:bCs/>
          <w:color w:val="000000"/>
          <w:sz w:val="24"/>
          <w:szCs w:val="24"/>
        </w:rPr>
        <w:t>付款方式二：不提交预付款保函的</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（1）合同价款的</w:t>
      </w:r>
      <w:r>
        <w:rPr>
          <w:rFonts w:ascii="宋体" w:hAnsi="宋体" w:eastAsia="宋体" w:cs="宋体"/>
          <w:color w:val="000000"/>
          <w:sz w:val="24"/>
          <w:szCs w:val="24"/>
          <w:u w:val="single"/>
        </w:rPr>
        <w:t>百分之十</w:t>
      </w:r>
      <w:r>
        <w:rPr>
          <w:rFonts w:ascii="宋体" w:hAnsi="宋体" w:eastAsia="宋体" w:cs="宋体"/>
          <w:color w:val="000000"/>
          <w:sz w:val="24"/>
          <w:szCs w:val="24"/>
        </w:rPr>
        <w:t>(1</w:t>
      </w:r>
      <w:r>
        <w:rPr>
          <w:rFonts w:ascii="宋体" w:hAnsi="宋体" w:eastAsia="宋体" w:cs="宋体"/>
          <w:color w:val="000000"/>
          <w:sz w:val="24"/>
          <w:szCs w:val="24"/>
          <w:u w:val="single"/>
        </w:rPr>
        <w:t>0%</w:t>
      </w:r>
      <w:r>
        <w:rPr>
          <w:rFonts w:ascii="宋体" w:hAnsi="宋体" w:eastAsia="宋体" w:cs="宋体"/>
          <w:color w:val="000000"/>
          <w:sz w:val="24"/>
          <w:szCs w:val="24"/>
        </w:rPr>
        <w:t>)即￥</w:t>
      </w:r>
      <w:r>
        <w:rPr>
          <w:rFonts w:ascii="宋体" w:hAnsi="宋体" w:eastAsia="宋体" w:cs="宋体"/>
          <w:color w:val="000000"/>
          <w:sz w:val="24"/>
          <w:szCs w:val="24"/>
          <w:u w:val="single"/>
        </w:rPr>
        <w:t>          </w:t>
      </w:r>
      <w:r>
        <w:rPr>
          <w:rFonts w:ascii="宋体" w:hAnsi="宋体" w:eastAsia="宋体" w:cs="宋体"/>
          <w:color w:val="000000"/>
          <w:sz w:val="24"/>
          <w:szCs w:val="24"/>
        </w:rPr>
        <w:t>，大写：人民币</w:t>
      </w:r>
      <w:r>
        <w:rPr>
          <w:rFonts w:ascii="宋体" w:hAnsi="宋体" w:eastAsia="宋体" w:cs="宋体"/>
          <w:color w:val="000000"/>
          <w:sz w:val="24"/>
          <w:szCs w:val="24"/>
          <w:u w:val="single"/>
        </w:rPr>
        <w:t>   </w:t>
      </w:r>
      <w:r>
        <w:rPr>
          <w:rFonts w:ascii="宋体" w:hAnsi="宋体" w:eastAsia="宋体" w:cs="宋体"/>
          <w:color w:val="000000"/>
          <w:sz w:val="24"/>
          <w:szCs w:val="24"/>
        </w:rPr>
        <w:t>元整，在双方签订合同15日内，由甲方办理政府采购资金结算手续支付给乙方。</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（2）合同总价的</w:t>
      </w:r>
      <w:r>
        <w:rPr>
          <w:rFonts w:ascii="宋体" w:hAnsi="宋体" w:eastAsia="宋体" w:cs="宋体"/>
          <w:color w:val="000000"/>
          <w:sz w:val="24"/>
          <w:szCs w:val="24"/>
          <w:u w:val="single"/>
        </w:rPr>
        <w:t>百分之七十五</w:t>
      </w:r>
      <w:r>
        <w:rPr>
          <w:rFonts w:ascii="宋体" w:hAnsi="宋体" w:eastAsia="宋体" w:cs="宋体"/>
          <w:color w:val="000000"/>
          <w:sz w:val="24"/>
          <w:szCs w:val="24"/>
        </w:rPr>
        <w:t>(</w:t>
      </w:r>
      <w:r>
        <w:rPr>
          <w:rFonts w:ascii="宋体" w:hAnsi="宋体" w:eastAsia="宋体" w:cs="宋体"/>
          <w:color w:val="000000"/>
          <w:sz w:val="24"/>
          <w:szCs w:val="24"/>
          <w:u w:val="single"/>
        </w:rPr>
        <w:t>75</w:t>
      </w:r>
      <w:r>
        <w:rPr>
          <w:rFonts w:ascii="宋体" w:hAnsi="宋体" w:eastAsia="宋体" w:cs="宋体"/>
          <w:color w:val="000000"/>
          <w:sz w:val="24"/>
          <w:szCs w:val="24"/>
        </w:rPr>
        <w:t>%)即￥</w:t>
      </w:r>
      <w:r>
        <w:rPr>
          <w:rFonts w:ascii="宋体" w:hAnsi="宋体" w:eastAsia="宋体" w:cs="宋体"/>
          <w:color w:val="000000"/>
          <w:sz w:val="24"/>
          <w:szCs w:val="24"/>
          <w:u w:val="single"/>
        </w:rPr>
        <w:t>           </w:t>
      </w:r>
      <w:r>
        <w:rPr>
          <w:rFonts w:ascii="宋体" w:hAnsi="宋体" w:eastAsia="宋体" w:cs="宋体"/>
          <w:color w:val="000000"/>
          <w:sz w:val="24"/>
          <w:szCs w:val="24"/>
        </w:rPr>
        <w:t>，大写：人民币</w:t>
      </w:r>
      <w:r>
        <w:rPr>
          <w:rFonts w:ascii="宋体" w:hAnsi="宋体" w:eastAsia="宋体" w:cs="宋体"/>
          <w:color w:val="000000"/>
          <w:sz w:val="24"/>
          <w:szCs w:val="24"/>
          <w:u w:val="single"/>
        </w:rPr>
        <w:t>         </w:t>
      </w:r>
      <w:r>
        <w:rPr>
          <w:rFonts w:ascii="宋体" w:hAnsi="宋体" w:eastAsia="宋体" w:cs="宋体"/>
          <w:color w:val="000000"/>
          <w:sz w:val="24"/>
          <w:szCs w:val="24"/>
        </w:rPr>
        <w:t>，甲方按月支付（月支付金额：人民币大写：</w:t>
      </w:r>
      <w:r>
        <w:rPr>
          <w:rFonts w:ascii="宋体" w:hAnsi="宋体" w:eastAsia="宋体" w:cs="宋体"/>
          <w:color w:val="000000"/>
          <w:sz w:val="24"/>
          <w:szCs w:val="24"/>
          <w:u w:val="single"/>
        </w:rPr>
        <w:t>     </w:t>
      </w:r>
      <w:r>
        <w:rPr>
          <w:rFonts w:ascii="宋体" w:hAnsi="宋体" w:eastAsia="宋体" w:cs="宋体"/>
          <w:color w:val="000000"/>
          <w:sz w:val="24"/>
          <w:szCs w:val="24"/>
        </w:rPr>
        <w:t xml:space="preserve"> ,小写¥ </w:t>
      </w:r>
      <w:r>
        <w:rPr>
          <w:rFonts w:ascii="宋体" w:hAnsi="宋体" w:eastAsia="宋体" w:cs="宋体"/>
          <w:color w:val="000000"/>
          <w:sz w:val="24"/>
          <w:szCs w:val="24"/>
          <w:u w:val="single"/>
        </w:rPr>
        <w:t>     </w:t>
      </w:r>
      <w:r>
        <w:rPr>
          <w:rFonts w:ascii="宋体" w:hAnsi="宋体" w:eastAsia="宋体" w:cs="宋体"/>
          <w:color w:val="000000"/>
          <w:sz w:val="24"/>
          <w:szCs w:val="24"/>
        </w:rPr>
        <w:t>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（3）合同总价的</w:t>
      </w:r>
      <w:r>
        <w:rPr>
          <w:rFonts w:ascii="宋体" w:hAnsi="宋体" w:eastAsia="宋体" w:cs="宋体"/>
          <w:color w:val="000000"/>
          <w:sz w:val="24"/>
          <w:szCs w:val="24"/>
          <w:u w:val="single"/>
        </w:rPr>
        <w:t>百分之十五</w:t>
      </w:r>
      <w:r>
        <w:rPr>
          <w:rFonts w:ascii="宋体" w:hAnsi="宋体" w:eastAsia="宋体" w:cs="宋体"/>
          <w:color w:val="000000"/>
          <w:sz w:val="24"/>
          <w:szCs w:val="24"/>
        </w:rPr>
        <w:t>(15%)即￥</w:t>
      </w:r>
      <w:r>
        <w:rPr>
          <w:rFonts w:ascii="宋体" w:hAnsi="宋体" w:eastAsia="宋体" w:cs="宋体"/>
          <w:color w:val="000000"/>
          <w:sz w:val="24"/>
          <w:szCs w:val="24"/>
          <w:u w:val="single"/>
        </w:rPr>
        <w:t>           </w:t>
      </w:r>
      <w:r>
        <w:rPr>
          <w:rFonts w:ascii="宋体" w:hAnsi="宋体" w:eastAsia="宋体" w:cs="宋体"/>
          <w:color w:val="000000"/>
          <w:sz w:val="24"/>
          <w:szCs w:val="24"/>
        </w:rPr>
        <w:t>，大写：人民币</w:t>
      </w:r>
      <w:r>
        <w:rPr>
          <w:rFonts w:ascii="宋体" w:hAnsi="宋体" w:eastAsia="宋体" w:cs="宋体"/>
          <w:color w:val="000000"/>
          <w:sz w:val="24"/>
          <w:szCs w:val="24"/>
          <w:u w:val="single"/>
        </w:rPr>
        <w:t>       </w:t>
      </w:r>
      <w:r>
        <w:rPr>
          <w:rFonts w:ascii="宋体" w:hAnsi="宋体" w:eastAsia="宋体" w:cs="宋体"/>
          <w:color w:val="000000"/>
          <w:sz w:val="24"/>
          <w:szCs w:val="24"/>
        </w:rPr>
        <w:t>，合同标的全部完毕15日内，由甲方办理政府采购资金结算手续，经审核后支付给乙方。</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乙方需提交的支付文件包括：</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乙方出具的全额正式发票。</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以上费用实际付款时间以徐州经济开发区财政资金拨付进度为准。</w:t>
      </w:r>
    </w:p>
    <w:p>
      <w:pPr>
        <w:pBdr>
          <w:top w:val="none" w:color="000000" w:sz="0" w:space="0"/>
          <w:left w:val="none" w:color="000000" w:sz="0" w:space="0"/>
          <w:bottom w:val="none" w:color="000000" w:sz="0" w:space="0"/>
          <w:right w:val="none" w:color="000000" w:sz="0" w:space="0"/>
        </w:pBdr>
        <w:spacing w:after="0" w:line="499" w:lineRule="atLeast"/>
      </w:pPr>
      <w:r>
        <w:rPr>
          <w:rFonts w:ascii="宋体" w:hAnsi="宋体" w:eastAsia="宋体" w:cs="宋体"/>
          <w:b/>
          <w:color w:val="000000"/>
          <w:sz w:val="28"/>
        </w:rPr>
        <w:t> </w:t>
      </w:r>
    </w:p>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b/>
          <w:color w:val="000000"/>
          <w:sz w:val="28"/>
        </w:rPr>
        <w:t xml:space="preserve">第五章违约责任 </w:t>
      </w:r>
    </w:p>
    <w:p>
      <w:pPr>
        <w:pBdr>
          <w:top w:val="none" w:color="000000" w:sz="0" w:space="0"/>
          <w:left w:val="none" w:color="000000" w:sz="0" w:space="0"/>
          <w:bottom w:val="none" w:color="000000" w:sz="0" w:space="0"/>
          <w:right w:val="none" w:color="000000" w:sz="0" w:space="0"/>
        </w:pBdr>
        <w:spacing w:after="0" w:line="499" w:lineRule="atLeast"/>
      </w:pPr>
      <w:r>
        <w:rPr>
          <w:rFonts w:ascii="宋体" w:hAnsi="宋体" w:eastAsia="宋体" w:cs="宋体"/>
          <w:b/>
          <w:color w:val="000000"/>
          <w:sz w:val="28"/>
        </w:rPr>
        <w:t> </w:t>
      </w:r>
    </w:p>
    <w:p>
      <w:pPr>
        <w:pBdr>
          <w:top w:val="none" w:color="000000" w:sz="0" w:space="0"/>
          <w:left w:val="none" w:color="000000" w:sz="0" w:space="0"/>
          <w:bottom w:val="none" w:color="000000" w:sz="0" w:space="0"/>
          <w:right w:val="none" w:color="000000" w:sz="0" w:space="0"/>
        </w:pBdr>
        <w:spacing w:after="0" w:line="360" w:lineRule="auto"/>
        <w:rPr>
          <w:sz w:val="24"/>
          <w:szCs w:val="24"/>
        </w:rPr>
      </w:pPr>
      <w:r>
        <w:rPr>
          <w:rFonts w:ascii="宋体" w:hAnsi="宋体" w:eastAsia="宋体" w:cs="宋体"/>
          <w:b/>
          <w:color w:val="000000"/>
          <w:sz w:val="24"/>
          <w:szCs w:val="24"/>
        </w:rPr>
        <w:t xml:space="preserve">第十二条 </w:t>
      </w:r>
      <w:r>
        <w:rPr>
          <w:rFonts w:ascii="宋体" w:hAnsi="宋体" w:eastAsia="宋体" w:cs="宋体"/>
          <w:color w:val="000000"/>
          <w:sz w:val="24"/>
          <w:szCs w:val="24"/>
        </w:rPr>
        <w:t xml:space="preserve">违约处理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未经甲方同意，乙方擅自停业、歇业，不足以导致甲方提前终止本协议的，应向甲方支付违约金，最低不少于5000元人民币； </w:t>
      </w:r>
    </w:p>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b/>
          <w:color w:val="000000"/>
          <w:sz w:val="28"/>
        </w:rPr>
        <w:t> </w:t>
      </w:r>
    </w:p>
    <w:p>
      <w:pPr>
        <w:pBdr>
          <w:top w:val="none" w:color="000000" w:sz="0" w:space="0"/>
          <w:left w:val="none" w:color="000000" w:sz="0" w:space="0"/>
          <w:bottom w:val="none" w:color="000000" w:sz="0" w:space="0"/>
          <w:right w:val="none" w:color="000000" w:sz="0" w:space="0"/>
        </w:pBdr>
        <w:spacing w:after="0" w:line="499" w:lineRule="atLeast"/>
        <w:jc w:val="center"/>
      </w:pPr>
      <w:r>
        <w:rPr>
          <w:rFonts w:ascii="宋体" w:hAnsi="宋体" w:eastAsia="宋体" w:cs="宋体"/>
          <w:b/>
          <w:color w:val="000000"/>
          <w:sz w:val="28"/>
        </w:rPr>
        <w:t>第六章 解释和争议解决</w:t>
      </w:r>
    </w:p>
    <w:p>
      <w:pPr>
        <w:pBdr>
          <w:top w:val="none" w:color="000000" w:sz="0" w:space="0"/>
          <w:left w:val="none" w:color="000000" w:sz="0" w:space="0"/>
          <w:bottom w:val="none" w:color="000000" w:sz="0" w:space="0"/>
          <w:right w:val="none" w:color="000000" w:sz="0" w:space="0"/>
        </w:pBdr>
        <w:spacing w:after="0" w:line="499" w:lineRule="atLeast"/>
      </w:pPr>
      <w:r>
        <w:rPr>
          <w:rFonts w:ascii="宋体" w:hAnsi="宋体" w:eastAsia="宋体" w:cs="宋体"/>
          <w:b/>
          <w:color w:val="000000"/>
          <w:sz w:val="28"/>
        </w:rPr>
        <w:t> </w:t>
      </w:r>
    </w:p>
    <w:p>
      <w:pPr>
        <w:pBdr>
          <w:top w:val="none" w:color="000000" w:sz="0" w:space="0"/>
          <w:left w:val="none" w:color="000000" w:sz="0" w:space="0"/>
          <w:bottom w:val="none" w:color="000000" w:sz="0" w:space="0"/>
          <w:right w:val="none" w:color="000000" w:sz="0" w:space="0"/>
        </w:pBdr>
        <w:spacing w:after="0" w:line="360" w:lineRule="auto"/>
        <w:rPr>
          <w:sz w:val="24"/>
          <w:szCs w:val="24"/>
        </w:rPr>
      </w:pPr>
      <w:r>
        <w:rPr>
          <w:rFonts w:ascii="宋体" w:hAnsi="宋体" w:eastAsia="宋体" w:cs="宋体"/>
          <w:b/>
          <w:color w:val="000000"/>
          <w:sz w:val="24"/>
          <w:szCs w:val="24"/>
        </w:rPr>
        <w:t xml:space="preserve">第十三条 </w:t>
      </w:r>
      <w:r>
        <w:rPr>
          <w:rFonts w:ascii="宋体" w:hAnsi="宋体" w:eastAsia="宋体" w:cs="宋体"/>
          <w:color w:val="000000"/>
          <w:sz w:val="24"/>
          <w:szCs w:val="24"/>
        </w:rPr>
        <w:t xml:space="preserve">合同解释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1.合同的组成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本合同包括附件应视为本合同的组成部分。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2.修改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本合同任何修改、补充或变更只有以书面形式并由双方签章方可生效。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3.可分割性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如果本合同任何部分被有权机关确认为无效，不影响其他部分的效力。 </w:t>
      </w:r>
    </w:p>
    <w:p>
      <w:pPr>
        <w:pBdr>
          <w:top w:val="none" w:color="000000" w:sz="0" w:space="0"/>
          <w:left w:val="none" w:color="000000" w:sz="0" w:space="0"/>
          <w:bottom w:val="none" w:color="000000" w:sz="0" w:space="0"/>
          <w:right w:val="none" w:color="000000" w:sz="0" w:space="0"/>
        </w:pBdr>
        <w:spacing w:after="0" w:line="360" w:lineRule="auto"/>
        <w:rPr>
          <w:sz w:val="24"/>
          <w:szCs w:val="24"/>
        </w:rPr>
      </w:pPr>
      <w:r>
        <w:rPr>
          <w:rFonts w:ascii="宋体" w:hAnsi="宋体" w:eastAsia="宋体" w:cs="宋体"/>
          <w:b/>
          <w:color w:val="000000"/>
          <w:sz w:val="24"/>
          <w:szCs w:val="24"/>
        </w:rPr>
        <w:t xml:space="preserve">第十四条 </w:t>
      </w:r>
      <w:r>
        <w:rPr>
          <w:rFonts w:ascii="宋体" w:hAnsi="宋体" w:eastAsia="宋体" w:cs="宋体"/>
          <w:color w:val="000000"/>
          <w:sz w:val="24"/>
          <w:szCs w:val="24"/>
        </w:rPr>
        <w:t xml:space="preserve">争议处理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1.协商解决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若对于本合同项下或与本合同有关的或对其条款解释中各方产生的任何争议，分歧或索赔，双方尽力通过协商解决。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2.仲裁或诉讼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若双方未能通过协商解决争议、分歧、索赔，任何一方有权将该争议、分歧、索赔向项目所在地人民法院提起诉讼。 </w:t>
      </w:r>
    </w:p>
    <w:p>
      <w:pPr>
        <w:pBdr>
          <w:top w:val="none" w:color="000000" w:sz="0" w:space="0"/>
          <w:left w:val="none" w:color="000000" w:sz="0" w:space="0"/>
          <w:bottom w:val="none" w:color="000000" w:sz="0" w:space="0"/>
          <w:right w:val="none" w:color="000000" w:sz="0" w:space="0"/>
        </w:pBdr>
        <w:spacing w:after="0" w:line="360" w:lineRule="auto"/>
        <w:ind w:firstLine="482" w:firstLineChars="200"/>
        <w:jc w:val="center"/>
        <w:rPr>
          <w:sz w:val="24"/>
          <w:szCs w:val="24"/>
        </w:rPr>
      </w:pPr>
      <w:r>
        <w:rPr>
          <w:rFonts w:ascii="宋体" w:hAnsi="宋体" w:eastAsia="宋体" w:cs="宋体"/>
          <w:b/>
          <w:color w:val="000000"/>
          <w:sz w:val="24"/>
          <w:szCs w:val="24"/>
        </w:rPr>
        <w:t> </w:t>
      </w:r>
    </w:p>
    <w:p>
      <w:pPr>
        <w:pBdr>
          <w:top w:val="none" w:color="000000" w:sz="0" w:space="0"/>
          <w:left w:val="none" w:color="000000" w:sz="0" w:space="0"/>
          <w:bottom w:val="none" w:color="000000" w:sz="0" w:space="0"/>
          <w:right w:val="none" w:color="000000" w:sz="0" w:space="0"/>
        </w:pBdr>
        <w:spacing w:after="0" w:line="360" w:lineRule="auto"/>
        <w:ind w:firstLine="482" w:firstLineChars="200"/>
        <w:jc w:val="center"/>
        <w:rPr>
          <w:sz w:val="24"/>
          <w:szCs w:val="24"/>
        </w:rPr>
      </w:pPr>
      <w:r>
        <w:rPr>
          <w:rFonts w:ascii="宋体" w:hAnsi="宋体" w:eastAsia="宋体" w:cs="宋体"/>
          <w:b/>
          <w:color w:val="000000"/>
          <w:sz w:val="24"/>
          <w:szCs w:val="24"/>
        </w:rPr>
        <w:t>第七章 其他</w:t>
      </w:r>
    </w:p>
    <w:p>
      <w:pPr>
        <w:pBdr>
          <w:top w:val="none" w:color="000000" w:sz="0" w:space="0"/>
          <w:left w:val="none" w:color="000000" w:sz="0" w:space="0"/>
          <w:bottom w:val="none" w:color="000000" w:sz="0" w:space="0"/>
          <w:right w:val="none" w:color="000000" w:sz="0" w:space="0"/>
        </w:pBdr>
        <w:spacing w:after="0" w:line="360" w:lineRule="auto"/>
        <w:ind w:firstLine="482" w:firstLineChars="200"/>
        <w:rPr>
          <w:sz w:val="24"/>
          <w:szCs w:val="24"/>
        </w:rPr>
      </w:pPr>
      <w:r>
        <w:rPr>
          <w:rFonts w:ascii="宋体" w:hAnsi="宋体" w:eastAsia="宋体" w:cs="宋体"/>
          <w:b/>
          <w:color w:val="000000"/>
          <w:sz w:val="24"/>
          <w:szCs w:val="24"/>
        </w:rPr>
        <w:t> </w:t>
      </w:r>
    </w:p>
    <w:p>
      <w:pPr>
        <w:pBdr>
          <w:top w:val="none" w:color="000000" w:sz="0" w:space="0"/>
          <w:left w:val="none" w:color="000000" w:sz="0" w:space="0"/>
          <w:bottom w:val="none" w:color="000000" w:sz="0" w:space="0"/>
          <w:right w:val="none" w:color="000000" w:sz="0" w:space="0"/>
        </w:pBdr>
        <w:spacing w:after="0" w:line="360" w:lineRule="auto"/>
        <w:rPr>
          <w:sz w:val="24"/>
          <w:szCs w:val="24"/>
        </w:rPr>
      </w:pPr>
      <w:r>
        <w:rPr>
          <w:rFonts w:ascii="宋体" w:hAnsi="宋体" w:eastAsia="宋体" w:cs="宋体"/>
          <w:b/>
          <w:color w:val="000000"/>
          <w:sz w:val="24"/>
          <w:szCs w:val="24"/>
        </w:rPr>
        <w:t xml:space="preserve">第十五条 </w:t>
      </w:r>
      <w:r>
        <w:rPr>
          <w:rFonts w:ascii="宋体" w:hAnsi="宋体" w:eastAsia="宋体" w:cs="宋体"/>
          <w:color w:val="000000"/>
          <w:sz w:val="24"/>
          <w:szCs w:val="24"/>
        </w:rPr>
        <w:t xml:space="preserve">双方的沟通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双方共同建立沟通机制，及时通报双方的相关情况。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对于委托内容/工作量/工作标准的变更，由甲方以书面形式通知乙方。双方可以电话/口头/电子邮件/传真等形式先沟通，但最终以加盖公章的书面文件为准。 </w:t>
      </w:r>
    </w:p>
    <w:p>
      <w:pPr>
        <w:pBdr>
          <w:top w:val="none" w:color="000000" w:sz="0" w:space="0"/>
          <w:left w:val="none" w:color="000000" w:sz="0" w:space="0"/>
          <w:bottom w:val="none" w:color="000000" w:sz="0" w:space="0"/>
          <w:right w:val="none" w:color="000000" w:sz="0" w:space="0"/>
        </w:pBdr>
        <w:spacing w:after="0" w:line="360" w:lineRule="auto"/>
        <w:rPr>
          <w:sz w:val="24"/>
          <w:szCs w:val="24"/>
        </w:rPr>
      </w:pPr>
      <w:r>
        <w:rPr>
          <w:rFonts w:ascii="宋体" w:hAnsi="宋体" w:eastAsia="宋体" w:cs="宋体"/>
          <w:b/>
          <w:color w:val="000000"/>
          <w:sz w:val="24"/>
          <w:szCs w:val="24"/>
        </w:rPr>
        <w:t>第十</w:t>
      </w:r>
      <w:r>
        <w:rPr>
          <w:rFonts w:hint="eastAsia" w:ascii="宋体" w:hAnsi="宋体" w:eastAsia="宋体" w:cs="宋体"/>
          <w:b/>
          <w:color w:val="000000"/>
          <w:sz w:val="24"/>
          <w:szCs w:val="24"/>
          <w:lang w:eastAsia="zh-CN"/>
        </w:rPr>
        <w:t>六</w:t>
      </w:r>
      <w:r>
        <w:rPr>
          <w:rFonts w:ascii="宋体" w:hAnsi="宋体" w:eastAsia="宋体" w:cs="宋体"/>
          <w:b/>
          <w:color w:val="000000"/>
          <w:sz w:val="24"/>
          <w:szCs w:val="24"/>
        </w:rPr>
        <w:t xml:space="preserve">条 </w:t>
      </w:r>
      <w:r>
        <w:rPr>
          <w:rFonts w:ascii="宋体" w:hAnsi="宋体" w:eastAsia="宋体" w:cs="宋体"/>
          <w:color w:val="000000"/>
          <w:sz w:val="24"/>
          <w:szCs w:val="24"/>
        </w:rPr>
        <w:t xml:space="preserve">责任与保障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1.相互保障</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甲乙双方的每一方均应保障、保护和防止损害另一方、并为其提供保证，使其尽可能免于承担由于履行本协议所产生的任何性质的人身伤害或财产损害或损失而引起的所有债务、损害、损失、费用、索赔，除非此种伤害和/或任何损害是由于寻求被保障一方的原因所造成的。 </w:t>
      </w:r>
    </w:p>
    <w:p>
      <w:pPr>
        <w:pBdr>
          <w:top w:val="none" w:color="000000" w:sz="0" w:space="0"/>
          <w:left w:val="none" w:color="000000" w:sz="0" w:space="0"/>
          <w:bottom w:val="none" w:color="000000" w:sz="0" w:space="0"/>
          <w:right w:val="none" w:color="000000" w:sz="0" w:space="0"/>
        </w:pBdr>
        <w:spacing w:after="0" w:line="360" w:lineRule="auto"/>
        <w:rPr>
          <w:sz w:val="24"/>
          <w:szCs w:val="24"/>
        </w:rPr>
      </w:pPr>
      <w:r>
        <w:rPr>
          <w:rFonts w:ascii="宋体" w:hAnsi="宋体" w:eastAsia="宋体" w:cs="宋体"/>
          <w:b/>
          <w:color w:val="000000"/>
          <w:sz w:val="24"/>
          <w:szCs w:val="24"/>
        </w:rPr>
        <w:t>第</w:t>
      </w:r>
      <w:r>
        <w:rPr>
          <w:rFonts w:hint="eastAsia" w:ascii="宋体" w:hAnsi="宋体" w:eastAsia="宋体" w:cs="宋体"/>
          <w:b/>
          <w:color w:val="000000"/>
          <w:sz w:val="24"/>
          <w:szCs w:val="24"/>
          <w:lang w:eastAsia="zh-CN"/>
        </w:rPr>
        <w:t>十七</w:t>
      </w:r>
      <w:r>
        <w:rPr>
          <w:rFonts w:ascii="宋体" w:hAnsi="宋体" w:eastAsia="宋体" w:cs="宋体"/>
          <w:b/>
          <w:color w:val="000000"/>
          <w:sz w:val="24"/>
          <w:szCs w:val="24"/>
        </w:rPr>
        <w:t xml:space="preserve">条 </w:t>
      </w:r>
      <w:r>
        <w:rPr>
          <w:rFonts w:ascii="宋体" w:hAnsi="宋体" w:eastAsia="宋体" w:cs="宋体"/>
          <w:color w:val="000000"/>
          <w:sz w:val="24"/>
          <w:szCs w:val="24"/>
        </w:rPr>
        <w:t xml:space="preserve">合同生效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本合同在甲乙双方签字盖章后生效。 </w:t>
      </w:r>
    </w:p>
    <w:p>
      <w:pPr>
        <w:pBdr>
          <w:top w:val="none" w:color="000000" w:sz="0" w:space="0"/>
          <w:left w:val="none" w:color="000000" w:sz="0" w:space="0"/>
          <w:bottom w:val="none" w:color="000000" w:sz="0" w:space="0"/>
          <w:right w:val="none" w:color="000000" w:sz="0" w:space="0"/>
        </w:pBdr>
        <w:spacing w:after="0" w:line="360" w:lineRule="auto"/>
        <w:rPr>
          <w:sz w:val="24"/>
          <w:szCs w:val="24"/>
        </w:rPr>
      </w:pPr>
      <w:r>
        <w:rPr>
          <w:rFonts w:ascii="宋体" w:hAnsi="宋体" w:eastAsia="宋体" w:cs="宋体"/>
          <w:b/>
          <w:color w:val="000000"/>
          <w:sz w:val="24"/>
          <w:szCs w:val="24"/>
        </w:rPr>
        <w:t>第十</w:t>
      </w:r>
      <w:r>
        <w:rPr>
          <w:rFonts w:hint="eastAsia" w:ascii="宋体" w:hAnsi="宋体" w:eastAsia="宋体" w:cs="宋体"/>
          <w:b/>
          <w:color w:val="000000"/>
          <w:sz w:val="24"/>
          <w:szCs w:val="24"/>
          <w:lang w:eastAsia="zh-CN"/>
        </w:rPr>
        <w:t>八</w:t>
      </w:r>
      <w:r>
        <w:rPr>
          <w:rFonts w:ascii="宋体" w:hAnsi="宋体" w:eastAsia="宋体" w:cs="宋体"/>
          <w:b/>
          <w:color w:val="000000"/>
          <w:sz w:val="24"/>
          <w:szCs w:val="24"/>
        </w:rPr>
        <w:t xml:space="preserve">条 </w:t>
      </w:r>
      <w:r>
        <w:rPr>
          <w:rFonts w:ascii="宋体" w:hAnsi="宋体" w:eastAsia="宋体" w:cs="宋体"/>
          <w:color w:val="000000"/>
          <w:sz w:val="24"/>
          <w:szCs w:val="24"/>
        </w:rPr>
        <w:t xml:space="preserve">未尽事宜，双方协商解决。 </w:t>
      </w:r>
    </w:p>
    <w:p>
      <w:pPr>
        <w:pBdr>
          <w:top w:val="none" w:color="000000" w:sz="0" w:space="0"/>
          <w:left w:val="none" w:color="000000" w:sz="0" w:space="0"/>
          <w:bottom w:val="none" w:color="000000" w:sz="0" w:space="0"/>
          <w:right w:val="none" w:color="000000" w:sz="0" w:space="0"/>
        </w:pBdr>
        <w:spacing w:after="0" w:line="360" w:lineRule="auto"/>
        <w:rPr>
          <w:sz w:val="24"/>
          <w:szCs w:val="24"/>
        </w:rPr>
      </w:pPr>
      <w:r>
        <w:rPr>
          <w:rFonts w:ascii="宋体" w:hAnsi="宋体" w:eastAsia="宋体" w:cs="宋体"/>
          <w:b/>
          <w:color w:val="000000"/>
          <w:sz w:val="24"/>
          <w:szCs w:val="24"/>
        </w:rPr>
        <w:t>第十</w:t>
      </w:r>
      <w:r>
        <w:rPr>
          <w:rFonts w:hint="eastAsia" w:ascii="宋体" w:hAnsi="宋体" w:eastAsia="宋体" w:cs="宋体"/>
          <w:b/>
          <w:color w:val="000000"/>
          <w:sz w:val="24"/>
          <w:szCs w:val="24"/>
          <w:lang w:eastAsia="zh-CN"/>
        </w:rPr>
        <w:t>九</w:t>
      </w:r>
      <w:r>
        <w:rPr>
          <w:rFonts w:ascii="宋体" w:hAnsi="宋体" w:eastAsia="宋体" w:cs="宋体"/>
          <w:b/>
          <w:color w:val="000000"/>
          <w:sz w:val="24"/>
          <w:szCs w:val="24"/>
        </w:rPr>
        <w:t xml:space="preserve">条 </w:t>
      </w:r>
      <w:r>
        <w:rPr>
          <w:rFonts w:ascii="宋体" w:hAnsi="宋体" w:eastAsia="宋体" w:cs="宋体"/>
          <w:color w:val="000000"/>
          <w:sz w:val="24"/>
          <w:szCs w:val="24"/>
        </w:rPr>
        <w:t xml:space="preserve">合同份数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 xml:space="preserve">本合同一式伍份，具有同等法律效力，甲方贰份，乙方贰份，政府采购监督管理部门备案一份。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甲方（盖章）：</w:t>
      </w:r>
      <w:r>
        <w:rPr>
          <w:rFonts w:hint="eastAsia" w:ascii="宋体" w:hAnsi="宋体" w:eastAsia="宋体" w:cs="宋体"/>
          <w:color w:val="000000"/>
          <w:sz w:val="24"/>
          <w:szCs w:val="24"/>
          <w:lang w:eastAsia="zh-CN"/>
        </w:rPr>
        <w:t xml:space="preserve">                         </w:t>
      </w:r>
      <w:r>
        <w:rPr>
          <w:rFonts w:ascii="宋体" w:hAnsi="宋体" w:eastAsia="宋体" w:cs="宋体"/>
          <w:color w:val="000000"/>
          <w:sz w:val="24"/>
          <w:szCs w:val="24"/>
        </w:rPr>
        <w:t xml:space="preserve">乙方（盖章）：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法定代表人（或授权代表）：</w:t>
      </w:r>
      <w:r>
        <w:rPr>
          <w:rFonts w:hint="eastAsia" w:ascii="宋体" w:hAnsi="宋体" w:eastAsia="宋体" w:cs="宋体"/>
          <w:color w:val="000000"/>
          <w:sz w:val="24"/>
          <w:szCs w:val="24"/>
          <w:lang w:eastAsia="zh-CN"/>
        </w:rPr>
        <w:t xml:space="preserve">             </w:t>
      </w:r>
      <w:r>
        <w:rPr>
          <w:rFonts w:ascii="宋体" w:hAnsi="宋体" w:eastAsia="宋体" w:cs="宋体"/>
          <w:color w:val="000000"/>
          <w:sz w:val="24"/>
          <w:szCs w:val="24"/>
        </w:rPr>
        <w:t xml:space="preserve">法定代表人（或授权代表）：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联系人：</w:t>
      </w:r>
      <w:r>
        <w:rPr>
          <w:rFonts w:hint="eastAsia" w:ascii="宋体" w:hAnsi="宋体" w:eastAsia="宋体" w:cs="宋体"/>
          <w:color w:val="000000"/>
          <w:sz w:val="24"/>
          <w:szCs w:val="24"/>
          <w:lang w:eastAsia="zh-CN"/>
        </w:rPr>
        <w:t xml:space="preserve">                               </w:t>
      </w:r>
      <w:r>
        <w:rPr>
          <w:rFonts w:ascii="宋体" w:hAnsi="宋体" w:eastAsia="宋体" w:cs="宋体"/>
          <w:color w:val="000000"/>
          <w:sz w:val="24"/>
          <w:szCs w:val="24"/>
        </w:rPr>
        <w:t xml:space="preserve">联系人：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联系电话：</w:t>
      </w:r>
      <w:r>
        <w:rPr>
          <w:rFonts w:hint="eastAsia" w:ascii="宋体" w:hAnsi="宋体" w:eastAsia="宋体" w:cs="宋体"/>
          <w:color w:val="000000"/>
          <w:sz w:val="24"/>
          <w:szCs w:val="24"/>
          <w:lang w:eastAsia="zh-CN"/>
        </w:rPr>
        <w:t xml:space="preserve">                             </w:t>
      </w:r>
      <w:r>
        <w:rPr>
          <w:rFonts w:ascii="宋体" w:hAnsi="宋体" w:eastAsia="宋体" w:cs="宋体"/>
          <w:color w:val="000000"/>
          <w:sz w:val="24"/>
          <w:szCs w:val="24"/>
        </w:rPr>
        <w:t xml:space="preserve">联系电话： </w:t>
      </w:r>
    </w:p>
    <w:p>
      <w:pPr>
        <w:pBdr>
          <w:top w:val="none" w:color="000000" w:sz="0" w:space="0"/>
          <w:left w:val="none" w:color="000000" w:sz="0" w:space="0"/>
          <w:bottom w:val="none" w:color="000000" w:sz="0" w:space="0"/>
          <w:right w:val="none" w:color="000000" w:sz="0" w:space="0"/>
        </w:pBdr>
        <w:spacing w:after="0" w:line="360" w:lineRule="auto"/>
        <w:ind w:firstLine="480" w:firstLineChars="200"/>
        <w:rPr>
          <w:sz w:val="24"/>
          <w:szCs w:val="24"/>
        </w:rPr>
      </w:pPr>
      <w:r>
        <w:rPr>
          <w:rFonts w:ascii="宋体" w:hAnsi="宋体" w:eastAsia="宋体" w:cs="宋体"/>
          <w:color w:val="000000"/>
          <w:sz w:val="24"/>
          <w:szCs w:val="24"/>
        </w:rPr>
        <w:t>年 月 日</w:t>
      </w:r>
      <w:r>
        <w:rPr>
          <w:rFonts w:hint="eastAsia" w:ascii="宋体" w:hAnsi="宋体" w:eastAsia="宋体" w:cs="宋体"/>
          <w:color w:val="000000"/>
          <w:sz w:val="24"/>
          <w:szCs w:val="24"/>
          <w:lang w:eastAsia="zh-CN"/>
        </w:rPr>
        <w:t xml:space="preserve">                                </w:t>
      </w:r>
      <w:r>
        <w:rPr>
          <w:rFonts w:ascii="宋体" w:hAnsi="宋体" w:eastAsia="宋体" w:cs="宋体"/>
          <w:color w:val="000000"/>
          <w:sz w:val="24"/>
          <w:szCs w:val="24"/>
        </w:rPr>
        <w:t>年 月 日</w:t>
      </w:r>
    </w:p>
    <w:p>
      <w:pPr>
        <w:pBdr>
          <w:top w:val="none" w:color="000000" w:sz="0" w:space="0"/>
          <w:left w:val="none" w:color="000000" w:sz="0" w:space="0"/>
          <w:bottom w:val="none" w:color="000000" w:sz="0" w:space="0"/>
          <w:right w:val="none" w:color="000000" w:sz="0" w:space="0"/>
        </w:pBdr>
        <w:spacing w:after="0"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adjustRightInd w:val="0"/>
        <w:snapToGrid w:val="0"/>
        <w:spacing w:line="400" w:lineRule="atLeast"/>
        <w:jc w:val="center"/>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7、承诺书</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center"/>
        <w:rPr>
          <w:rFonts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致公诚管理咨询有限公司：</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firstLine="600"/>
        <w:rPr>
          <w:rFonts w:ascii="宋体" w:hAnsi="宋体" w:eastAsia="宋体" w:cs="宋体"/>
          <w:sz w:val="24"/>
          <w:szCs w:val="24"/>
          <w:lang w:eastAsia="zh-CN"/>
        </w:rPr>
      </w:pPr>
      <w:r>
        <w:rPr>
          <w:rFonts w:hint="eastAsia" w:ascii="宋体" w:hAnsi="宋体" w:eastAsia="宋体" w:cs="宋体"/>
          <w:sz w:val="24"/>
          <w:szCs w:val="24"/>
          <w:lang w:eastAsia="zh-CN"/>
        </w:rPr>
        <w:t>根据贵方《磋商文件》（项目编号：JSZC-320390-GCMC-C2023-0004）要求，本供应商正式提交以下首次响应文件。</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firstLine="480"/>
        <w:rPr>
          <w:rFonts w:ascii="宋体" w:hAnsi="宋体" w:eastAsia="宋体" w:cs="宋体"/>
          <w:sz w:val="24"/>
          <w:szCs w:val="24"/>
          <w:lang w:eastAsia="zh-CN"/>
        </w:rPr>
      </w:pPr>
      <w:r>
        <w:rPr>
          <w:rFonts w:hint="eastAsia" w:ascii="宋体" w:hAnsi="宋体" w:eastAsia="宋体" w:cs="宋体"/>
          <w:sz w:val="24"/>
          <w:szCs w:val="24"/>
          <w:lang w:eastAsia="zh-CN"/>
        </w:rPr>
        <w:t xml:space="preserve">（1）承诺书； </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firstLine="480"/>
        <w:rPr>
          <w:rFonts w:ascii="宋体" w:hAnsi="宋体" w:eastAsia="宋体" w:cs="宋体"/>
          <w:sz w:val="24"/>
          <w:szCs w:val="24"/>
          <w:lang w:eastAsia="zh-CN"/>
        </w:rPr>
      </w:pPr>
      <w:r>
        <w:rPr>
          <w:rFonts w:hint="eastAsia" w:ascii="宋体" w:hAnsi="宋体" w:eastAsia="宋体" w:cs="宋体"/>
          <w:sz w:val="24"/>
          <w:szCs w:val="24"/>
          <w:lang w:eastAsia="zh-CN"/>
        </w:rPr>
        <w:t xml:space="preserve">（2）磋商报价表； </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firstLine="480"/>
        <w:rPr>
          <w:rFonts w:ascii="宋体" w:hAnsi="宋体" w:eastAsia="宋体" w:cs="宋体"/>
          <w:sz w:val="24"/>
          <w:szCs w:val="24"/>
          <w:lang w:eastAsia="zh-CN"/>
        </w:rPr>
      </w:pPr>
      <w:r>
        <w:rPr>
          <w:rFonts w:hint="eastAsia" w:ascii="宋体" w:hAnsi="宋体" w:eastAsia="宋体" w:cs="宋体"/>
          <w:sz w:val="24"/>
          <w:szCs w:val="24"/>
          <w:lang w:eastAsia="zh-CN"/>
        </w:rPr>
        <w:t>（3）偏离表；</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firstLine="480"/>
        <w:rPr>
          <w:rFonts w:ascii="宋体" w:hAnsi="宋体" w:eastAsia="宋体" w:cs="宋体"/>
          <w:sz w:val="24"/>
          <w:szCs w:val="24"/>
          <w:lang w:eastAsia="zh-CN"/>
        </w:rPr>
      </w:pPr>
      <w:r>
        <w:rPr>
          <w:rFonts w:hint="eastAsia" w:ascii="宋体" w:hAnsi="宋体" w:eastAsia="宋体" w:cs="宋体"/>
          <w:sz w:val="24"/>
          <w:szCs w:val="24"/>
          <w:lang w:eastAsia="zh-CN"/>
        </w:rPr>
        <w:t>（4）磋商文件要求提供的其他响应文件。</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firstLine="480"/>
        <w:rPr>
          <w:rFonts w:ascii="宋体" w:hAnsi="宋体" w:eastAsia="宋体" w:cs="宋体"/>
          <w:sz w:val="24"/>
          <w:szCs w:val="24"/>
          <w:lang w:eastAsia="zh-CN"/>
        </w:rPr>
      </w:pPr>
      <w:r>
        <w:rPr>
          <w:rFonts w:hint="eastAsia" w:ascii="宋体" w:hAnsi="宋体" w:eastAsia="宋体" w:cs="宋体"/>
          <w:sz w:val="24"/>
          <w:szCs w:val="24"/>
          <w:lang w:eastAsia="zh-CN"/>
        </w:rPr>
        <w:t>我单位符合《中华人民共和国政府采购法》第二十二条的规定，符合本项目供应商资格要求。</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firstLine="480"/>
        <w:rPr>
          <w:rFonts w:ascii="宋体" w:hAnsi="宋体" w:eastAsia="宋体" w:cs="宋体"/>
          <w:sz w:val="24"/>
          <w:szCs w:val="24"/>
          <w:lang w:eastAsia="zh-CN"/>
        </w:rPr>
      </w:pPr>
      <w:r>
        <w:rPr>
          <w:rFonts w:hint="eastAsia" w:ascii="宋体" w:hAnsi="宋体" w:eastAsia="宋体" w:cs="宋体"/>
          <w:sz w:val="24"/>
          <w:szCs w:val="24"/>
          <w:lang w:eastAsia="zh-CN"/>
        </w:rPr>
        <w:t>我单位按照磋商文件的要求编制响应文件，并对其提交的响应文件的真实性、合法性承担法律责任。</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供应商兹宣布同意如下: </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firstLine="600"/>
        <w:rPr>
          <w:rFonts w:ascii="宋体" w:hAnsi="宋体" w:eastAsia="宋体" w:cs="宋体"/>
          <w:sz w:val="24"/>
          <w:szCs w:val="24"/>
          <w:lang w:eastAsia="zh-CN"/>
        </w:rPr>
      </w:pPr>
      <w:r>
        <w:rPr>
          <w:rFonts w:hint="eastAsia" w:ascii="宋体" w:hAnsi="宋体" w:eastAsia="宋体" w:cs="宋体"/>
          <w:sz w:val="24"/>
          <w:szCs w:val="24"/>
          <w:lang w:eastAsia="zh-CN"/>
        </w:rPr>
        <w:t>一、完全承担根据《磋商文件》规定完成合同的责任和义务（如有偏离，将全部填写在偏离表中）。</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firstLine="600"/>
        <w:rPr>
          <w:rFonts w:ascii="宋体" w:hAnsi="宋体" w:eastAsia="宋体" w:cs="宋体"/>
          <w:sz w:val="24"/>
          <w:szCs w:val="24"/>
          <w:lang w:eastAsia="zh-CN"/>
        </w:rPr>
      </w:pPr>
      <w:r>
        <w:rPr>
          <w:rFonts w:hint="eastAsia" w:ascii="宋体" w:hAnsi="宋体" w:eastAsia="宋体" w:cs="宋体"/>
          <w:sz w:val="24"/>
          <w:szCs w:val="24"/>
          <w:lang w:eastAsia="zh-CN"/>
        </w:rPr>
        <w:t>二、保证所提供的响应文件及所有材料的真实、合法、有效，并对其负责。</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三、已详细审核竞争性磋商文件（含竞争性磋商文件的澄清或者修改），本供应商完全理解并同意放弃对这方面不明及误解的权利。</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四、所供货物保证符合国家有关产品质量、性能和安全标准，无权利瑕疵。</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五、报价有效期为30个工作日。</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六、同意向贵方提供贵方可能要求的与本次磋商采购有关的任何证据或资料。</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七、完全理解贵方不一定要接受最低的报价或收到的任何报价。</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八、公诚管理咨询有限公司有权将我单位本项目的《磋商报价表》予以公示，公示的方式由公诚管理咨询有限公司确定。</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九、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 </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 </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jc w:val="both"/>
        <w:rPr>
          <w:rFonts w:ascii="宋体" w:hAnsi="宋体" w:eastAsia="宋体" w:cs="宋体"/>
          <w:sz w:val="24"/>
          <w:szCs w:val="24"/>
          <w:lang w:eastAsia="zh-CN"/>
        </w:rPr>
      </w:pPr>
      <w:r>
        <w:rPr>
          <w:rFonts w:hint="eastAsia" w:ascii="宋体" w:hAnsi="宋体" w:eastAsia="宋体" w:cs="宋体"/>
          <w:sz w:val="24"/>
          <w:szCs w:val="24"/>
          <w:lang w:eastAsia="zh-CN"/>
        </w:rPr>
        <w:t>供应商（盖单位电子签章）：</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联系电话：</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移动电话：</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jc w:val="both"/>
        <w:rPr>
          <w:rFonts w:ascii="宋体" w:hAnsi="宋体" w:eastAsia="宋体" w:cs="宋体"/>
          <w:sz w:val="24"/>
          <w:szCs w:val="24"/>
          <w:lang w:eastAsia="zh-CN"/>
        </w:rPr>
      </w:pPr>
      <w:r>
        <w:rPr>
          <w:rFonts w:hint="eastAsia" w:ascii="宋体" w:hAnsi="宋体" w:eastAsia="宋体" w:cs="宋体"/>
          <w:sz w:val="24"/>
          <w:szCs w:val="24"/>
          <w:lang w:eastAsia="zh-CN"/>
        </w:rPr>
        <w:t>日期：</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jc w:val="center"/>
        <w:rPr>
          <w:rFonts w:ascii="宋体" w:hAnsi="宋体" w:eastAsia="宋体" w:cs="宋体"/>
          <w:sz w:val="24"/>
          <w:szCs w:val="24"/>
          <w:lang w:eastAsia="zh-CN"/>
        </w:rPr>
      </w:pPr>
      <w:r>
        <w:rPr>
          <w:rFonts w:hint="eastAsia" w:ascii="宋体" w:hAnsi="宋体" w:eastAsia="宋体" w:cs="宋体"/>
          <w:sz w:val="24"/>
          <w:szCs w:val="24"/>
          <w:lang w:eastAsia="zh-CN"/>
        </w:rPr>
        <w:br w:type="page"/>
      </w:r>
    </w:p>
    <w:p>
      <w:pPr>
        <w:adjustRightInd w:val="0"/>
        <w:snapToGrid w:val="0"/>
        <w:spacing w:line="400" w:lineRule="atLeast"/>
        <w:jc w:val="center"/>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8、授权委托书</w:t>
      </w:r>
    </w:p>
    <w:p>
      <w:pPr>
        <w:pBdr>
          <w:top w:val="none" w:color="000000" w:sz="0" w:space="0"/>
          <w:left w:val="none" w:color="000000" w:sz="0" w:space="0"/>
          <w:bottom w:val="none" w:color="000000" w:sz="0" w:space="0"/>
          <w:right w:val="none" w:color="000000" w:sz="0" w:space="0"/>
        </w:pBdr>
        <w:adjustRightInd w:val="0"/>
        <w:snapToGrid w:val="0"/>
        <w:spacing w:before="220" w:after="0" w:line="49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 </w:t>
      </w:r>
    </w:p>
    <w:p>
      <w:pPr>
        <w:pBdr>
          <w:top w:val="none" w:color="000000" w:sz="0" w:space="0"/>
          <w:left w:val="none" w:color="000000" w:sz="0" w:space="0"/>
          <w:bottom w:val="none" w:color="000000" w:sz="0" w:space="0"/>
          <w:right w:val="none" w:color="000000" w:sz="0" w:space="0"/>
        </w:pBdr>
        <w:adjustRightInd w:val="0"/>
        <w:snapToGrid w:val="0"/>
        <w:spacing w:before="220" w:after="0" w:line="49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委托人（全称）：</w:t>
      </w:r>
    </w:p>
    <w:p>
      <w:pPr>
        <w:pBdr>
          <w:top w:val="none" w:color="000000" w:sz="0" w:space="0"/>
          <w:left w:val="none" w:color="000000" w:sz="0" w:space="0"/>
          <w:bottom w:val="none" w:color="000000" w:sz="0" w:space="0"/>
          <w:right w:val="none" w:color="000000" w:sz="0" w:space="0"/>
        </w:pBdr>
        <w:adjustRightInd w:val="0"/>
        <w:snapToGrid w:val="0"/>
        <w:spacing w:before="220" w:after="0" w:line="49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地址：</w:t>
      </w:r>
    </w:p>
    <w:p>
      <w:pPr>
        <w:pBdr>
          <w:top w:val="none" w:color="000000" w:sz="0" w:space="0"/>
          <w:left w:val="none" w:color="000000" w:sz="0" w:space="0"/>
          <w:bottom w:val="none" w:color="000000" w:sz="0" w:space="0"/>
          <w:right w:val="none" w:color="000000" w:sz="0" w:space="0"/>
        </w:pBdr>
        <w:adjustRightInd w:val="0"/>
        <w:snapToGrid w:val="0"/>
        <w:spacing w:before="220" w:after="0" w:line="49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法定代表人（负责人）：</w:t>
      </w:r>
    </w:p>
    <w:p>
      <w:pPr>
        <w:pBdr>
          <w:top w:val="none" w:color="000000" w:sz="0" w:space="0"/>
          <w:left w:val="none" w:color="000000" w:sz="0" w:space="0"/>
          <w:bottom w:val="none" w:color="000000" w:sz="0" w:space="0"/>
          <w:right w:val="none" w:color="000000" w:sz="0" w:space="0"/>
        </w:pBdr>
        <w:adjustRightInd w:val="0"/>
        <w:snapToGrid w:val="0"/>
        <w:spacing w:before="220" w:after="0" w:line="49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统一社会信用代码：</w:t>
      </w:r>
    </w:p>
    <w:p>
      <w:pPr>
        <w:pBdr>
          <w:top w:val="none" w:color="000000" w:sz="0" w:space="0"/>
          <w:left w:val="none" w:color="000000" w:sz="0" w:space="0"/>
          <w:bottom w:val="none" w:color="000000" w:sz="0" w:space="0"/>
          <w:right w:val="none" w:color="000000" w:sz="0" w:space="0"/>
        </w:pBdr>
        <w:adjustRightInd w:val="0"/>
        <w:snapToGrid w:val="0"/>
        <w:spacing w:before="220" w:after="0" w:line="499" w:lineRule="atLeast"/>
        <w:jc w:val="both"/>
        <w:rPr>
          <w:rFonts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adjustRightInd w:val="0"/>
        <w:snapToGrid w:val="0"/>
        <w:spacing w:before="220" w:after="0" w:line="49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受托人：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先生（女士）</w:t>
      </w:r>
    </w:p>
    <w:p>
      <w:pPr>
        <w:pBdr>
          <w:top w:val="none" w:color="000000" w:sz="0" w:space="0"/>
          <w:left w:val="none" w:color="000000" w:sz="0" w:space="0"/>
          <w:bottom w:val="none" w:color="000000" w:sz="0" w:space="0"/>
          <w:right w:val="none" w:color="000000" w:sz="0" w:space="0"/>
        </w:pBdr>
        <w:adjustRightInd w:val="0"/>
        <w:snapToGrid w:val="0"/>
        <w:spacing w:before="220" w:after="0" w:line="49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身份证号：</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jc w:val="center"/>
        <w:rPr>
          <w:rFonts w:ascii="宋体" w:hAnsi="宋体" w:eastAsia="宋体" w:cs="宋体"/>
          <w:sz w:val="24"/>
          <w:szCs w:val="24"/>
          <w:lang w:eastAsia="zh-CN"/>
        </w:rPr>
      </w:pPr>
      <w:r>
        <w:rPr>
          <w:rFonts w:hint="eastAsia" w:ascii="宋体" w:hAnsi="宋体" w:eastAsia="宋体" w:cs="宋体"/>
          <w:sz w:val="24"/>
          <w:szCs w:val="24"/>
          <w:lang w:eastAsia="zh-CN"/>
        </w:rPr>
        <w:t> </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630"/>
        <w:jc w:val="both"/>
        <w:rPr>
          <w:rFonts w:ascii="宋体" w:hAnsi="宋体" w:eastAsia="宋体" w:cs="宋体"/>
          <w:sz w:val="24"/>
          <w:szCs w:val="24"/>
          <w:lang w:eastAsia="zh-CN"/>
        </w:rPr>
      </w:pPr>
      <w:r>
        <w:rPr>
          <w:rFonts w:hint="eastAsia" w:ascii="宋体" w:hAnsi="宋体" w:eastAsia="宋体" w:cs="宋体"/>
          <w:sz w:val="24"/>
          <w:szCs w:val="24"/>
          <w:lang w:eastAsia="zh-CN"/>
        </w:rPr>
        <w:t>兹委托（     ）全权代表我企业（公司）参与大庙街道各村居垃圾分类收运服务项目[项目编号：JSZC-320390-GCMC-C2023-0004]的磋商活动及签订合同。（</w:t>
      </w:r>
      <w:r>
        <w:rPr>
          <w:rFonts w:hint="eastAsia" w:ascii="宋体" w:hAnsi="宋体" w:eastAsia="宋体" w:cs="宋体"/>
          <w:b/>
          <w:sz w:val="24"/>
          <w:szCs w:val="24"/>
          <w:lang w:eastAsia="zh-CN"/>
        </w:rPr>
        <w:t>      </w:t>
      </w:r>
      <w:r>
        <w:rPr>
          <w:rFonts w:hint="eastAsia" w:ascii="宋体" w:hAnsi="宋体" w:eastAsia="宋体" w:cs="宋体"/>
          <w:sz w:val="24"/>
          <w:szCs w:val="24"/>
          <w:lang w:eastAsia="zh-CN"/>
        </w:rPr>
        <w:t>   ）以我企业（公司）名义所为的行为及签署的文件，我企业（公司）均予以认可。有关法律责任均由我企业（公司）承担。（     ）无转委托权。委托期限自  年  月日起至  年  月  日止。</w:t>
      </w:r>
    </w:p>
    <w:p>
      <w:pPr>
        <w:pBdr>
          <w:top w:val="none" w:color="000000" w:sz="0" w:space="0"/>
          <w:left w:val="none" w:color="000000" w:sz="0" w:space="0"/>
          <w:bottom w:val="none" w:color="000000" w:sz="0" w:space="0"/>
          <w:right w:val="none" w:color="000000" w:sz="0" w:space="0"/>
        </w:pBdr>
        <w:adjustRightInd w:val="0"/>
        <w:snapToGrid w:val="0"/>
        <w:spacing w:before="220" w:after="0" w:line="49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 </w:t>
      </w:r>
    </w:p>
    <w:p>
      <w:pPr>
        <w:pBdr>
          <w:top w:val="none" w:color="000000" w:sz="0" w:space="0"/>
          <w:left w:val="none" w:color="000000" w:sz="0" w:space="0"/>
          <w:bottom w:val="none" w:color="000000" w:sz="0" w:space="0"/>
          <w:right w:val="none" w:color="000000" w:sz="0" w:space="0"/>
        </w:pBdr>
        <w:adjustRightInd w:val="0"/>
        <w:snapToGrid w:val="0"/>
        <w:spacing w:before="220" w:after="0" w:line="49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委托人（盖单位电子签章）：</w:t>
      </w:r>
    </w:p>
    <w:p>
      <w:pPr>
        <w:pBdr>
          <w:top w:val="none" w:color="000000" w:sz="0" w:space="0"/>
          <w:left w:val="none" w:color="000000" w:sz="0" w:space="0"/>
          <w:bottom w:val="none" w:color="000000" w:sz="0" w:space="0"/>
          <w:right w:val="none" w:color="000000" w:sz="0" w:space="0"/>
        </w:pBdr>
        <w:adjustRightInd w:val="0"/>
        <w:snapToGrid w:val="0"/>
        <w:spacing w:before="220" w:after="0" w:line="49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法定代表人（负责人）（签字）：</w:t>
      </w:r>
    </w:p>
    <w:p>
      <w:pPr>
        <w:pBdr>
          <w:top w:val="none" w:color="000000" w:sz="0" w:space="0"/>
          <w:left w:val="none" w:color="000000" w:sz="0" w:space="0"/>
          <w:bottom w:val="none" w:color="000000" w:sz="0" w:space="0"/>
          <w:right w:val="none" w:color="000000" w:sz="0" w:space="0"/>
        </w:pBdr>
        <w:adjustRightInd w:val="0"/>
        <w:snapToGrid w:val="0"/>
        <w:spacing w:before="220" w:after="0" w:line="499"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受托人（签字）：</w:t>
      </w:r>
    </w:p>
    <w:p>
      <w:pPr>
        <w:pBdr>
          <w:top w:val="none" w:color="000000" w:sz="0" w:space="0"/>
          <w:left w:val="none" w:color="000000" w:sz="0" w:space="0"/>
          <w:bottom w:val="none" w:color="000000" w:sz="0" w:space="0"/>
          <w:right w:val="none" w:color="000000" w:sz="0" w:space="0"/>
        </w:pBdr>
        <w:adjustRightInd w:val="0"/>
        <w:snapToGrid w:val="0"/>
        <w:spacing w:before="220" w:after="0" w:line="499" w:lineRule="atLeast"/>
        <w:ind w:firstLine="5228"/>
        <w:jc w:val="both"/>
        <w:rPr>
          <w:rFonts w:ascii="宋体" w:hAnsi="宋体" w:eastAsia="宋体" w:cs="宋体"/>
          <w:sz w:val="24"/>
          <w:szCs w:val="24"/>
          <w:lang w:eastAsia="zh-CN"/>
        </w:rPr>
      </w:pPr>
      <w:r>
        <w:rPr>
          <w:rFonts w:hint="eastAsia" w:ascii="宋体" w:hAnsi="宋体" w:eastAsia="宋体" w:cs="宋体"/>
          <w:sz w:val="24"/>
          <w:szCs w:val="24"/>
          <w:lang w:eastAsia="zh-CN"/>
        </w:rPr>
        <w:t>年  月  日</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(法定代表人及受托人身份证扫描件附后)</w:t>
      </w:r>
    </w:p>
    <w:p>
      <w:pPr>
        <w:pBdr>
          <w:top w:val="none" w:color="000000" w:sz="0" w:space="0"/>
          <w:left w:val="none" w:color="000000" w:sz="0" w:space="0"/>
          <w:bottom w:val="none" w:color="000000" w:sz="0" w:space="0"/>
          <w:right w:val="none" w:color="000000" w:sz="0" w:space="0"/>
        </w:pBdr>
        <w:adjustRightInd w:val="0"/>
        <w:snapToGrid w:val="0"/>
        <w:spacing w:before="100" w:after="100" w:line="450" w:lineRule="atLeast"/>
        <w:jc w:val="center"/>
        <w:rPr>
          <w:rFonts w:ascii="宋体" w:hAnsi="宋体" w:eastAsia="宋体" w:cs="宋体"/>
          <w:sz w:val="24"/>
          <w:szCs w:val="24"/>
          <w:lang w:eastAsia="zh-CN"/>
        </w:rPr>
      </w:pPr>
      <w:r>
        <w:rPr>
          <w:rFonts w:hint="eastAsia" w:ascii="宋体" w:hAnsi="宋体" w:eastAsia="宋体" w:cs="宋体"/>
          <w:sz w:val="24"/>
          <w:szCs w:val="24"/>
          <w:lang w:eastAsia="zh-CN"/>
        </w:rPr>
        <w:br w:type="page"/>
      </w:r>
    </w:p>
    <w:p>
      <w:pPr>
        <w:adjustRightInd w:val="0"/>
        <w:snapToGrid w:val="0"/>
        <w:spacing w:line="400" w:lineRule="atLeast"/>
        <w:jc w:val="center"/>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9、中小企业声明函</w:t>
      </w:r>
    </w:p>
    <w:p>
      <w:pPr>
        <w:pBdr>
          <w:top w:val="none" w:color="000000" w:sz="0" w:space="0"/>
          <w:left w:val="none" w:color="000000" w:sz="0" w:space="0"/>
          <w:bottom w:val="none" w:color="000000" w:sz="0" w:space="0"/>
          <w:right w:val="none" w:color="000000" w:sz="0" w:space="0"/>
        </w:pBdr>
        <w:adjustRightInd w:val="0"/>
        <w:snapToGrid w:val="0"/>
        <w:spacing w:before="220" w:after="0" w:line="479" w:lineRule="atLeast"/>
        <w:ind w:firstLine="624"/>
        <w:jc w:val="both"/>
        <w:rPr>
          <w:rFonts w:ascii="宋体" w:hAnsi="宋体" w:eastAsia="宋体" w:cs="宋体"/>
          <w:sz w:val="24"/>
          <w:szCs w:val="24"/>
          <w:lang w:eastAsia="zh-CN"/>
        </w:rPr>
      </w:pPr>
      <w:r>
        <w:rPr>
          <w:rFonts w:hint="eastAsia" w:ascii="宋体" w:hAnsi="宋体" w:eastAsia="宋体" w:cs="宋体"/>
          <w:spacing w:val="6"/>
          <w:sz w:val="24"/>
          <w:szCs w:val="24"/>
          <w:lang w:eastAsia="zh-CN"/>
        </w:rPr>
        <w:t>项目名称：</w:t>
      </w:r>
    </w:p>
    <w:p>
      <w:pPr>
        <w:pBdr>
          <w:top w:val="none" w:color="000000" w:sz="0" w:space="0"/>
          <w:left w:val="none" w:color="000000" w:sz="0" w:space="0"/>
          <w:bottom w:val="none" w:color="000000" w:sz="0" w:space="0"/>
          <w:right w:val="none" w:color="000000" w:sz="0" w:space="0"/>
        </w:pBdr>
        <w:adjustRightInd w:val="0"/>
        <w:snapToGrid w:val="0"/>
        <w:spacing w:before="220" w:after="0" w:line="479" w:lineRule="atLeast"/>
        <w:ind w:firstLine="624"/>
        <w:jc w:val="both"/>
        <w:rPr>
          <w:rFonts w:ascii="宋体" w:hAnsi="宋体" w:eastAsia="宋体" w:cs="宋体"/>
          <w:sz w:val="24"/>
          <w:szCs w:val="24"/>
          <w:highlight w:val="yellow"/>
          <w:lang w:eastAsia="zh-CN"/>
        </w:rPr>
      </w:pPr>
      <w:r>
        <w:rPr>
          <w:rFonts w:hint="eastAsia" w:ascii="宋体" w:hAnsi="宋体" w:eastAsia="宋体" w:cs="宋体"/>
          <w:spacing w:val="6"/>
          <w:sz w:val="24"/>
          <w:szCs w:val="24"/>
          <w:lang w:eastAsia="zh-CN"/>
        </w:rPr>
        <w:t>项目编号：JSZC-320390-GCMC-C2023-0004</w:t>
      </w:r>
    </w:p>
    <w:p>
      <w:pPr>
        <w:pBdr>
          <w:top w:val="none" w:color="000000" w:sz="0" w:space="0"/>
          <w:left w:val="none" w:color="000000" w:sz="0" w:space="0"/>
          <w:bottom w:val="none" w:color="000000" w:sz="0" w:space="0"/>
          <w:right w:val="none" w:color="000000" w:sz="0" w:space="0"/>
        </w:pBdr>
        <w:adjustRightInd w:val="0"/>
        <w:snapToGrid w:val="0"/>
        <w:spacing w:before="220" w:after="0" w:line="479" w:lineRule="atLeast"/>
        <w:ind w:firstLine="600"/>
        <w:jc w:val="both"/>
        <w:rPr>
          <w:rFonts w:ascii="宋体" w:hAnsi="宋体" w:eastAsia="宋体" w:cs="宋体"/>
          <w:sz w:val="24"/>
          <w:szCs w:val="24"/>
        </w:rPr>
      </w:pPr>
      <w:r>
        <w:rPr>
          <w:rFonts w:hint="eastAsia" w:ascii="宋体" w:hAnsi="宋体" w:eastAsia="宋体" w:cs="宋体"/>
          <w:sz w:val="24"/>
          <w:szCs w:val="24"/>
          <w:lang w:eastAsia="zh-CN"/>
        </w:rPr>
        <w:t>本公司郑重声明，根据《政府采购促进中小企业发展管理办法》（财库﹝2020﹞46 号）的规定，本公司参加</w:t>
      </w:r>
      <w:r>
        <w:rPr>
          <w:rFonts w:hint="eastAsia" w:ascii="宋体" w:hAnsi="宋体" w:eastAsia="宋体" w:cs="宋体"/>
          <w:sz w:val="24"/>
          <w:szCs w:val="24"/>
          <w:u w:val="single"/>
          <w:lang w:eastAsia="zh-CN"/>
        </w:rPr>
        <w:t>大庙街道各村居垃圾分类收运服务项目</w:t>
      </w:r>
      <w:r>
        <w:rPr>
          <w:rFonts w:hint="eastAsia" w:ascii="宋体" w:hAnsi="宋体" w:eastAsia="宋体" w:cs="宋体"/>
          <w:sz w:val="24"/>
          <w:szCs w:val="24"/>
          <w:lang w:eastAsia="zh-CN"/>
        </w:rPr>
        <w:t>采购活动，工程的施工单位全部为符合政策要求的中小企业承接。</w:t>
      </w:r>
      <w:r>
        <w:rPr>
          <w:rFonts w:hint="eastAsia" w:ascii="宋体" w:hAnsi="宋体" w:eastAsia="宋体" w:cs="宋体"/>
          <w:sz w:val="24"/>
          <w:szCs w:val="24"/>
        </w:rPr>
        <w:t>相关企业的具体情况如下：</w:t>
      </w:r>
    </w:p>
    <w:p>
      <w:pPr>
        <w:numPr>
          <w:ilvl w:val="255"/>
          <w:numId w:val="0"/>
        </w:numPr>
        <w:pBdr>
          <w:top w:val="none" w:color="000000" w:sz="0" w:space="0"/>
          <w:left w:val="none" w:color="000000" w:sz="0" w:space="0"/>
          <w:bottom w:val="none" w:color="000000" w:sz="0" w:space="0"/>
          <w:right w:val="none" w:color="000000" w:sz="0" w:space="0"/>
        </w:pBdr>
        <w:adjustRightInd w:val="0"/>
        <w:snapToGrid w:val="0"/>
        <w:spacing w:before="220" w:after="0" w:line="479" w:lineRule="atLeast"/>
        <w:ind w:firstLine="660" w:firstLineChars="275"/>
        <w:jc w:val="both"/>
        <w:rPr>
          <w:rFonts w:ascii="宋体" w:hAnsi="宋体" w:eastAsia="宋体" w:cs="宋体"/>
          <w:sz w:val="24"/>
          <w:szCs w:val="24"/>
          <w:lang w:eastAsia="zh-CN"/>
        </w:rPr>
      </w:pPr>
      <w:r>
        <w:rPr>
          <w:rFonts w:hint="eastAsia" w:ascii="宋体" w:hAnsi="宋体" w:eastAsia="宋体" w:cs="宋体"/>
          <w:sz w:val="24"/>
          <w:szCs w:val="24"/>
          <w:u w:val="single"/>
          <w:lang w:eastAsia="zh-CN"/>
        </w:rPr>
        <w:t>大庙街道各村居垃圾分类收运服务项目</w:t>
      </w:r>
      <w:r>
        <w:rPr>
          <w:rFonts w:hint="eastAsia" w:ascii="宋体" w:hAnsi="宋体" w:eastAsia="宋体" w:cs="宋体"/>
          <w:sz w:val="24"/>
          <w:szCs w:val="24"/>
          <w:lang w:eastAsia="zh-CN"/>
        </w:rPr>
        <w:t>，属于</w:t>
      </w:r>
      <w:r>
        <w:rPr>
          <w:rFonts w:hint="eastAsia" w:ascii="宋体" w:hAnsi="宋体" w:eastAsia="宋体" w:cs="宋体"/>
          <w:sz w:val="24"/>
          <w:szCs w:val="24"/>
          <w:u w:val="single"/>
          <w:lang w:eastAsia="zh-CN"/>
        </w:rPr>
        <w:t>（采购文件中明确的所属行业）</w:t>
      </w:r>
      <w:r>
        <w:rPr>
          <w:rFonts w:hint="eastAsia" w:ascii="宋体" w:hAnsi="宋体" w:eastAsia="宋体" w:cs="宋体"/>
          <w:sz w:val="24"/>
          <w:szCs w:val="24"/>
          <w:lang w:eastAsia="zh-CN"/>
        </w:rPr>
        <w:t>；承建（承接）企业为</w:t>
      </w:r>
      <w:r>
        <w:rPr>
          <w:rFonts w:hint="eastAsia" w:ascii="宋体" w:hAnsi="宋体" w:eastAsia="宋体" w:cs="宋体"/>
          <w:sz w:val="24"/>
          <w:szCs w:val="24"/>
          <w:u w:val="single"/>
          <w:lang w:eastAsia="zh-CN"/>
        </w:rPr>
        <w:t>（企业名称）</w:t>
      </w:r>
      <w:r>
        <w:rPr>
          <w:rFonts w:hint="eastAsia" w:ascii="宋体" w:hAnsi="宋体" w:eastAsia="宋体" w:cs="宋体"/>
          <w:sz w:val="24"/>
          <w:szCs w:val="24"/>
          <w:lang w:eastAsia="zh-CN"/>
        </w:rPr>
        <w:t>，从业人员</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人，营业收入为</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万元，资产总额为</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万元，属于（□中型企业、□小型企业、□微型企业，请勾选！！！）；</w:t>
      </w:r>
    </w:p>
    <w:p>
      <w:pPr>
        <w:pBdr>
          <w:top w:val="none" w:color="000000" w:sz="0" w:space="0"/>
          <w:left w:val="none" w:color="000000" w:sz="0" w:space="0"/>
          <w:bottom w:val="none" w:color="000000" w:sz="0" w:space="0"/>
          <w:right w:val="none" w:color="000000" w:sz="0" w:space="0"/>
        </w:pBdr>
        <w:adjustRightInd w:val="0"/>
        <w:snapToGrid w:val="0"/>
        <w:spacing w:before="220" w:after="0" w:line="479" w:lineRule="atLeast"/>
        <w:ind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以上企业，不属于大企业的分支机构，不存在控股股东为大企业的情形，也不存在与大企业的负责人为同一人的情形。</w:t>
      </w:r>
    </w:p>
    <w:p>
      <w:pPr>
        <w:pBdr>
          <w:top w:val="none" w:color="000000" w:sz="0" w:space="0"/>
          <w:left w:val="none" w:color="000000" w:sz="0" w:space="0"/>
          <w:bottom w:val="none" w:color="000000" w:sz="0" w:space="0"/>
          <w:right w:val="none" w:color="000000" w:sz="0" w:space="0"/>
        </w:pBdr>
        <w:adjustRightInd w:val="0"/>
        <w:snapToGrid w:val="0"/>
        <w:spacing w:before="220" w:after="0" w:line="479" w:lineRule="atLeast"/>
        <w:ind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本企业对上述声明内容的真实性负责。如有虚假，将依法承担相应责任。</w:t>
      </w:r>
    </w:p>
    <w:p>
      <w:pPr>
        <w:pBdr>
          <w:top w:val="none" w:color="000000" w:sz="0" w:space="0"/>
          <w:left w:val="none" w:color="000000" w:sz="0" w:space="0"/>
          <w:bottom w:val="none" w:color="000000" w:sz="0" w:space="0"/>
          <w:right w:val="none" w:color="000000" w:sz="0" w:space="0"/>
        </w:pBdr>
        <w:adjustRightInd w:val="0"/>
        <w:snapToGrid w:val="0"/>
        <w:spacing w:before="220" w:after="0" w:line="479" w:lineRule="atLeast"/>
        <w:ind w:firstLine="600"/>
        <w:rPr>
          <w:rFonts w:ascii="宋体" w:hAnsi="宋体" w:eastAsia="宋体" w:cs="宋体"/>
          <w:sz w:val="24"/>
          <w:szCs w:val="24"/>
          <w:lang w:eastAsia="zh-CN"/>
        </w:rPr>
      </w:pPr>
      <w:r>
        <w:rPr>
          <w:rFonts w:hint="eastAsia" w:ascii="宋体" w:hAnsi="宋体" w:eastAsia="宋体" w:cs="宋体"/>
          <w:sz w:val="24"/>
          <w:szCs w:val="24"/>
          <w:lang w:eastAsia="zh-CN"/>
        </w:rPr>
        <w:t> </w:t>
      </w:r>
    </w:p>
    <w:p>
      <w:pPr>
        <w:pBdr>
          <w:top w:val="none" w:color="000000" w:sz="0" w:space="0"/>
          <w:left w:val="none" w:color="000000" w:sz="0" w:space="0"/>
          <w:bottom w:val="none" w:color="000000" w:sz="0" w:space="0"/>
          <w:right w:val="none" w:color="000000" w:sz="0" w:space="0"/>
        </w:pBdr>
        <w:adjustRightInd w:val="0"/>
        <w:snapToGrid w:val="0"/>
        <w:spacing w:before="220" w:after="0" w:line="479" w:lineRule="atLeast"/>
        <w:ind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企业名称（盖单位电子签章）：</w:t>
      </w:r>
    </w:p>
    <w:p>
      <w:pPr>
        <w:pBdr>
          <w:top w:val="none" w:color="000000" w:sz="0" w:space="0"/>
          <w:left w:val="none" w:color="000000" w:sz="0" w:space="0"/>
          <w:bottom w:val="none" w:color="000000" w:sz="0" w:space="0"/>
          <w:right w:val="none" w:color="000000" w:sz="0" w:space="0"/>
        </w:pBdr>
        <w:adjustRightInd w:val="0"/>
        <w:snapToGrid w:val="0"/>
        <w:spacing w:before="220" w:after="0" w:line="479" w:lineRule="atLeast"/>
        <w:ind w:firstLine="600"/>
        <w:jc w:val="both"/>
        <w:rPr>
          <w:rFonts w:ascii="宋体" w:hAnsi="宋体" w:eastAsia="宋体" w:cs="宋体"/>
          <w:sz w:val="24"/>
          <w:szCs w:val="24"/>
          <w:lang w:eastAsia="zh-CN"/>
        </w:rPr>
      </w:pPr>
      <w:r>
        <w:rPr>
          <w:rFonts w:hint="eastAsia" w:ascii="宋体" w:hAnsi="宋体" w:eastAsia="宋体" w:cs="宋体"/>
          <w:sz w:val="24"/>
          <w:szCs w:val="24"/>
          <w:lang w:eastAsia="zh-CN"/>
        </w:rPr>
        <w:t>日期：</w:t>
      </w:r>
    </w:p>
    <w:p>
      <w:pPr>
        <w:pBdr>
          <w:top w:val="none" w:color="000000" w:sz="0" w:space="0"/>
          <w:left w:val="none" w:color="000000" w:sz="0" w:space="0"/>
          <w:bottom w:val="none" w:color="000000" w:sz="0" w:space="0"/>
          <w:right w:val="none" w:color="000000" w:sz="0" w:space="0"/>
        </w:pBdr>
        <w:adjustRightInd w:val="0"/>
        <w:snapToGrid w:val="0"/>
        <w:spacing w:before="220" w:after="0" w:line="479" w:lineRule="atLeast"/>
        <w:ind w:firstLine="482"/>
        <w:jc w:val="both"/>
        <w:rPr>
          <w:rFonts w:ascii="宋体" w:hAnsi="宋体" w:eastAsia="宋体" w:cs="宋体"/>
          <w:sz w:val="24"/>
          <w:szCs w:val="24"/>
          <w:lang w:eastAsia="zh-CN"/>
        </w:rPr>
      </w:pPr>
      <w:r>
        <w:rPr>
          <w:rFonts w:hint="eastAsia" w:ascii="宋体" w:hAnsi="宋体" w:eastAsia="宋体" w:cs="宋体"/>
          <w:b/>
          <w:sz w:val="24"/>
          <w:szCs w:val="24"/>
          <w:lang w:eastAsia="zh-CN"/>
        </w:rPr>
        <w:t>本项目属于：其他服务。</w:t>
      </w:r>
    </w:p>
    <w:p>
      <w:pPr>
        <w:pBdr>
          <w:top w:val="none" w:color="000000" w:sz="0" w:space="0"/>
          <w:left w:val="none" w:color="000000" w:sz="0" w:space="0"/>
          <w:bottom w:val="none" w:color="000000" w:sz="0" w:space="0"/>
          <w:right w:val="none" w:color="000000" w:sz="0" w:space="0"/>
        </w:pBdr>
        <w:adjustRightInd w:val="0"/>
        <w:snapToGrid w:val="0"/>
        <w:spacing w:before="220" w:after="0" w:line="479" w:lineRule="atLeast"/>
        <w:ind w:firstLine="482"/>
        <w:jc w:val="both"/>
        <w:rPr>
          <w:rFonts w:ascii="宋体" w:hAnsi="宋体" w:eastAsia="宋体" w:cs="宋体"/>
          <w:sz w:val="24"/>
          <w:szCs w:val="24"/>
          <w:lang w:eastAsia="zh-CN"/>
        </w:rPr>
      </w:pPr>
      <w:r>
        <w:rPr>
          <w:rFonts w:hint="eastAsia" w:ascii="宋体" w:hAnsi="宋体" w:eastAsia="宋体" w:cs="宋体"/>
          <w:b/>
          <w:sz w:val="24"/>
          <w:szCs w:val="24"/>
          <w:lang w:eastAsia="zh-CN"/>
        </w:rPr>
        <w:t>备注：</w:t>
      </w:r>
    </w:p>
    <w:p>
      <w:pPr>
        <w:pBdr>
          <w:top w:val="none" w:color="000000" w:sz="0" w:space="0"/>
          <w:left w:val="none" w:color="000000" w:sz="0" w:space="0"/>
          <w:bottom w:val="none" w:color="000000" w:sz="0" w:space="0"/>
          <w:right w:val="none" w:color="000000" w:sz="0" w:space="0"/>
        </w:pBdr>
        <w:adjustRightInd w:val="0"/>
        <w:snapToGrid w:val="0"/>
        <w:spacing w:before="220" w:after="0" w:line="479" w:lineRule="atLeast"/>
        <w:ind w:firstLine="482"/>
        <w:jc w:val="both"/>
        <w:rPr>
          <w:rFonts w:ascii="宋体" w:hAnsi="宋体" w:eastAsia="宋体" w:cs="宋体"/>
          <w:sz w:val="24"/>
          <w:szCs w:val="24"/>
          <w:lang w:eastAsia="zh-CN"/>
        </w:rPr>
      </w:pPr>
      <w:r>
        <w:rPr>
          <w:rFonts w:hint="eastAsia" w:ascii="宋体" w:hAnsi="宋体" w:eastAsia="宋体" w:cs="宋体"/>
          <w:b/>
          <w:sz w:val="24"/>
          <w:szCs w:val="24"/>
          <w:lang w:eastAsia="zh-CN"/>
        </w:rPr>
        <w:t>1、从业人员、营业收入、资产总额填报上一年度数据，无上一年度数据的新成立企业可不填报。</w:t>
      </w:r>
    </w:p>
    <w:p>
      <w:pPr>
        <w:pBdr>
          <w:top w:val="none" w:color="000000" w:sz="0" w:space="0"/>
          <w:left w:val="none" w:color="000000" w:sz="0" w:space="0"/>
          <w:bottom w:val="none" w:color="000000" w:sz="0" w:space="0"/>
          <w:right w:val="none" w:color="000000" w:sz="0" w:space="0"/>
        </w:pBdr>
        <w:adjustRightInd w:val="0"/>
        <w:snapToGrid w:val="0"/>
        <w:spacing w:before="220" w:after="0" w:line="479" w:lineRule="atLeast"/>
        <w:ind w:firstLine="482"/>
        <w:jc w:val="both"/>
        <w:rPr>
          <w:rFonts w:ascii="宋体" w:hAnsi="宋体" w:eastAsia="宋体" w:cs="宋体"/>
          <w:sz w:val="24"/>
          <w:szCs w:val="24"/>
          <w:lang w:eastAsia="zh-CN"/>
        </w:rPr>
      </w:pPr>
      <w:r>
        <w:rPr>
          <w:rFonts w:hint="eastAsia" w:ascii="宋体" w:hAnsi="宋体" w:eastAsia="宋体" w:cs="宋体"/>
          <w:b/>
          <w:sz w:val="24"/>
          <w:szCs w:val="24"/>
          <w:lang w:eastAsia="zh-CN"/>
        </w:rPr>
        <w:t>2、《中小企业声明函》查询渠道参考工业和信息化部发布的中小企业规模自测小程序。</w:t>
      </w:r>
    </w:p>
    <w:p>
      <w:pPr>
        <w:pBdr>
          <w:top w:val="none" w:color="000000" w:sz="0" w:space="0"/>
          <w:left w:val="none" w:color="000000" w:sz="0" w:space="0"/>
          <w:bottom w:val="none" w:color="000000" w:sz="0" w:space="0"/>
          <w:right w:val="none" w:color="000000" w:sz="0" w:space="0"/>
        </w:pBdr>
        <w:adjustRightInd w:val="0"/>
        <w:snapToGrid w:val="0"/>
        <w:spacing w:before="220" w:after="0" w:line="479" w:lineRule="atLeast"/>
        <w:ind w:firstLine="482"/>
        <w:jc w:val="both"/>
        <w:rPr>
          <w:rFonts w:ascii="宋体" w:hAnsi="宋体" w:eastAsia="宋体" w:cs="宋体"/>
          <w:sz w:val="24"/>
          <w:szCs w:val="24"/>
          <w:lang w:eastAsia="zh-CN"/>
        </w:rPr>
      </w:pPr>
      <w:r>
        <w:rPr>
          <w:rFonts w:hint="eastAsia" w:ascii="宋体" w:hAnsi="宋体" w:eastAsia="宋体" w:cs="宋体"/>
          <w:b/>
          <w:sz w:val="24"/>
          <w:szCs w:val="24"/>
          <w:lang w:eastAsia="zh-CN"/>
        </w:rPr>
        <w:t> </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jc w:val="center"/>
        <w:rPr>
          <w:rFonts w:ascii="宋体" w:hAnsi="宋体" w:eastAsia="宋体" w:cs="宋体"/>
          <w:sz w:val="24"/>
          <w:szCs w:val="24"/>
        </w:rPr>
      </w:pPr>
      <w:r>
        <w:rPr>
          <w:rFonts w:hint="eastAsia" w:ascii="宋体" w:hAnsi="宋体" w:eastAsia="宋体" w:cs="宋体"/>
          <w:sz w:val="24"/>
          <w:szCs w:val="24"/>
          <w:lang w:eastAsia="zh-CN"/>
        </w:rPr>
        <w:drawing>
          <wp:inline distT="0" distB="0" distL="0" distR="0">
            <wp:extent cx="2800350" cy="60579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2800349" cy="6057900"/>
                    </a:xfrm>
                    <a:prstGeom prst="rect">
                      <a:avLst/>
                    </a:prstGeom>
                  </pic:spPr>
                </pic:pic>
              </a:graphicData>
            </a:graphic>
          </wp:inline>
        </w:drawing>
      </w:r>
      <w:r>
        <w:rPr>
          <w:rFonts w:hint="eastAsia" w:ascii="宋体" w:hAnsi="宋体" w:eastAsia="宋体" w:cs="宋体"/>
          <w:sz w:val="24"/>
          <w:szCs w:val="24"/>
        </w:rPr>
        <w:br w:type="page"/>
      </w:r>
    </w:p>
    <w:p>
      <w:pPr>
        <w:adjustRightInd w:val="0"/>
        <w:snapToGrid w:val="0"/>
        <w:spacing w:line="400" w:lineRule="atLeast"/>
        <w:jc w:val="center"/>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10、供应商参加政府采购活动前3年内在经营活动中没有重大违法记录的书面声明</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 </w:t>
      </w:r>
    </w:p>
    <w:p>
      <w:pPr>
        <w:pBdr>
          <w:top w:val="none" w:color="000000" w:sz="0" w:space="0"/>
          <w:left w:val="none" w:color="000000" w:sz="0" w:space="0"/>
          <w:bottom w:val="none" w:color="000000" w:sz="0" w:space="0"/>
          <w:right w:val="none" w:color="000000" w:sz="0" w:space="0"/>
        </w:pBdr>
        <w:adjustRightInd w:val="0"/>
        <w:snapToGrid w:val="0"/>
        <w:spacing w:before="100" w:after="100" w:line="519" w:lineRule="atLeast"/>
        <w:ind w:firstLine="900"/>
        <w:rPr>
          <w:rFonts w:ascii="宋体" w:hAnsi="宋体" w:eastAsia="宋体" w:cs="宋体"/>
          <w:sz w:val="24"/>
          <w:szCs w:val="24"/>
          <w:lang w:eastAsia="zh-CN"/>
        </w:rPr>
      </w:pPr>
      <w:r>
        <w:rPr>
          <w:rFonts w:hint="eastAsia" w:ascii="宋体" w:hAnsi="宋体" w:eastAsia="宋体" w:cs="宋体"/>
          <w:sz w:val="24"/>
          <w:szCs w:val="24"/>
          <w:lang w:eastAsia="zh-CN"/>
        </w:rPr>
        <w:t>我单位在参加大庙街道各村居垃圾分类收运服务项目（项目编号：JSZC-320390-GCMC-C2023-0004）政府采购活动前3年内在经营活动中没有重大违法记录。重大违法记录是指因违法经营受到刑事处罚或者责令停产停业、吊销许可证或者执照、较大数额罚款等行政处罚。</w:t>
      </w:r>
    </w:p>
    <w:p>
      <w:pPr>
        <w:pBdr>
          <w:top w:val="none" w:color="000000" w:sz="0" w:space="0"/>
          <w:left w:val="none" w:color="000000" w:sz="0" w:space="0"/>
          <w:bottom w:val="none" w:color="000000" w:sz="0" w:space="0"/>
          <w:right w:val="none" w:color="000000" w:sz="0" w:space="0"/>
        </w:pBdr>
        <w:adjustRightInd w:val="0"/>
        <w:snapToGrid w:val="0"/>
        <w:spacing w:before="100" w:after="100" w:line="519" w:lineRule="atLeast"/>
        <w:ind w:firstLine="900"/>
        <w:rPr>
          <w:rFonts w:ascii="宋体" w:hAnsi="宋体" w:eastAsia="宋体" w:cs="宋体"/>
          <w:sz w:val="24"/>
          <w:szCs w:val="24"/>
          <w:lang w:eastAsia="zh-CN"/>
        </w:rPr>
      </w:pPr>
      <w:r>
        <w:rPr>
          <w:rFonts w:hint="eastAsia" w:ascii="宋体" w:hAnsi="宋体" w:eastAsia="宋体" w:cs="宋体"/>
          <w:sz w:val="24"/>
          <w:szCs w:val="24"/>
          <w:lang w:eastAsia="zh-CN"/>
        </w:rPr>
        <w:t>我单位对上述声明的真实性负责。如有虚假，将依法承担相应责任。</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jc w:val="both"/>
        <w:rPr>
          <w:rFonts w:ascii="宋体" w:hAnsi="宋体" w:eastAsia="宋体" w:cs="宋体"/>
          <w:sz w:val="24"/>
          <w:szCs w:val="24"/>
          <w:lang w:eastAsia="zh-CN"/>
        </w:rPr>
      </w:pPr>
      <w:r>
        <w:rPr>
          <w:rFonts w:hint="eastAsia" w:ascii="宋体" w:hAnsi="宋体" w:eastAsia="宋体" w:cs="宋体"/>
          <w:sz w:val="24"/>
          <w:szCs w:val="24"/>
          <w:lang w:eastAsia="zh-CN"/>
        </w:rPr>
        <w:t>供应商（盖单位电子签章）：</w:t>
      </w:r>
    </w:p>
    <w:p>
      <w:pPr>
        <w:pBdr>
          <w:top w:val="none" w:color="000000" w:sz="0" w:space="0"/>
          <w:left w:val="none" w:color="000000" w:sz="0" w:space="0"/>
          <w:bottom w:val="none" w:color="000000" w:sz="0" w:space="0"/>
          <w:right w:val="none" w:color="000000" w:sz="0" w:space="0"/>
        </w:pBdr>
        <w:adjustRightInd w:val="0"/>
        <w:snapToGrid w:val="0"/>
        <w:spacing w:before="220" w:after="0" w:line="519" w:lineRule="atLeast"/>
        <w:ind w:right="29"/>
        <w:jc w:val="both"/>
        <w:rPr>
          <w:rFonts w:ascii="宋体" w:hAnsi="宋体" w:eastAsia="宋体" w:cs="宋体"/>
          <w:sz w:val="24"/>
          <w:szCs w:val="24"/>
          <w:lang w:eastAsia="zh-CN"/>
        </w:rPr>
      </w:pPr>
      <w:r>
        <w:rPr>
          <w:rFonts w:hint="eastAsia" w:ascii="宋体" w:hAnsi="宋体" w:eastAsia="宋体" w:cs="宋体"/>
          <w:sz w:val="24"/>
          <w:szCs w:val="24"/>
          <w:lang w:eastAsia="zh-CN"/>
        </w:rPr>
        <w:t>日期：</w:t>
      </w:r>
    </w:p>
    <w:p>
      <w:pPr>
        <w:pBdr>
          <w:top w:val="none" w:color="000000" w:sz="0" w:space="0"/>
          <w:left w:val="none" w:color="000000" w:sz="0" w:space="0"/>
          <w:bottom w:val="none" w:color="000000" w:sz="0" w:space="0"/>
          <w:right w:val="none" w:color="000000" w:sz="0" w:space="0"/>
        </w:pBdr>
        <w:adjustRightInd w:val="0"/>
        <w:snapToGrid w:val="0"/>
        <w:spacing w:before="100" w:after="100" w:line="250" w:lineRule="atLeast"/>
        <w:ind w:left="239" w:firstLine="2640"/>
        <w:rPr>
          <w:rFonts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adjustRightInd w:val="0"/>
        <w:snapToGrid w:val="0"/>
        <w:spacing w:before="220" w:line="250" w:lineRule="atLeast"/>
        <w:rPr>
          <w:rFonts w:ascii="宋体" w:hAnsi="宋体" w:eastAsia="宋体" w:cs="宋体"/>
          <w:sz w:val="24"/>
          <w:szCs w:val="24"/>
          <w:lang w:eastAsia="zh-CN"/>
        </w:rPr>
      </w:pPr>
      <w:r>
        <w:rPr>
          <w:rFonts w:hint="eastAsia" w:ascii="宋体" w:hAnsi="宋体" w:eastAsia="宋体" w:cs="宋体"/>
          <w:sz w:val="24"/>
          <w:szCs w:val="24"/>
          <w:lang w:eastAsia="zh-CN"/>
        </w:rPr>
        <w:br w:type="page"/>
      </w:r>
    </w:p>
    <w:p>
      <w:pPr>
        <w:adjustRightInd w:val="0"/>
        <w:snapToGrid w:val="0"/>
        <w:spacing w:line="400" w:lineRule="atLeast"/>
        <w:jc w:val="center"/>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11、残疾人福利性单位声明函</w:t>
      </w:r>
    </w:p>
    <w:p>
      <w:pPr>
        <w:adjustRightInd w:val="0"/>
        <w:snapToGrid w:val="0"/>
        <w:spacing w:line="400" w:lineRule="atLeast"/>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 </w:t>
      </w:r>
    </w:p>
    <w:p>
      <w:pPr>
        <w:pBdr>
          <w:top w:val="none" w:color="000000" w:sz="0" w:space="0"/>
          <w:left w:val="none" w:color="000000" w:sz="0" w:space="0"/>
          <w:bottom w:val="none" w:color="000000" w:sz="0" w:space="0"/>
          <w:right w:val="none" w:color="000000" w:sz="0" w:space="0"/>
        </w:pBdr>
        <w:adjustRightInd w:val="0"/>
        <w:snapToGrid w:val="0"/>
        <w:spacing w:before="220" w:after="0" w:line="587"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项目编号：JSZC-320390-GCMC-C2023-0004</w:t>
      </w:r>
      <w:r>
        <w:rPr>
          <w:rFonts w:hint="eastAsia" w:ascii="宋体" w:hAnsi="宋体" w:eastAsia="宋体" w:cs="宋体"/>
          <w:b/>
          <w:spacing w:val="6"/>
          <w:sz w:val="24"/>
          <w:szCs w:val="24"/>
          <w:lang w:eastAsia="zh-CN"/>
        </w:rPr>
        <w:t> </w:t>
      </w:r>
    </w:p>
    <w:p>
      <w:pPr>
        <w:pBdr>
          <w:top w:val="none" w:color="000000" w:sz="0" w:space="0"/>
          <w:left w:val="none" w:color="000000" w:sz="0" w:space="0"/>
          <w:bottom w:val="none" w:color="000000" w:sz="0" w:space="0"/>
          <w:right w:val="none" w:color="000000" w:sz="0" w:space="0"/>
        </w:pBdr>
        <w:adjustRightInd w:val="0"/>
        <w:snapToGrid w:val="0"/>
        <w:spacing w:before="220" w:after="0" w:line="587" w:lineRule="atLeast"/>
        <w:ind w:firstLine="624"/>
        <w:jc w:val="both"/>
        <w:rPr>
          <w:rFonts w:ascii="宋体" w:hAnsi="宋体" w:eastAsia="宋体" w:cs="宋体"/>
          <w:sz w:val="24"/>
          <w:szCs w:val="24"/>
          <w:lang w:eastAsia="zh-CN"/>
        </w:rPr>
      </w:pPr>
      <w:r>
        <w:rPr>
          <w:rFonts w:hint="eastAsia" w:ascii="宋体" w:hAnsi="宋体" w:eastAsia="宋体" w:cs="宋体"/>
          <w:spacing w:val="6"/>
          <w:sz w:val="24"/>
          <w:szCs w:val="24"/>
          <w:lang w:eastAsia="zh-CN"/>
        </w:rPr>
        <w:t>本单位郑重声明，根据《财政部 民政部 中国残疾人联合会关于促进残疾人就业政府采购政策的通知》（财库</w:t>
      </w:r>
      <w:r>
        <w:rPr>
          <w:rFonts w:hint="eastAsia" w:ascii="宋体" w:hAnsi="宋体" w:eastAsia="宋体" w:cs="宋体"/>
          <w:sz w:val="24"/>
          <w:szCs w:val="24"/>
          <w:lang w:eastAsia="zh-CN"/>
        </w:rPr>
        <w:t>〔2017〕 141</w:t>
      </w:r>
      <w:r>
        <w:rPr>
          <w:rFonts w:hint="eastAsia" w:ascii="宋体" w:hAnsi="宋体" w:eastAsia="宋体" w:cs="宋体"/>
          <w:spacing w:val="6"/>
          <w:sz w:val="24"/>
          <w:szCs w:val="24"/>
          <w:lang w:eastAsia="zh-CN"/>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Bdr>
          <w:top w:val="none" w:color="000000" w:sz="0" w:space="0"/>
          <w:left w:val="none" w:color="000000" w:sz="0" w:space="0"/>
          <w:bottom w:val="none" w:color="000000" w:sz="0" w:space="0"/>
          <w:right w:val="none" w:color="000000" w:sz="0" w:space="0"/>
        </w:pBdr>
        <w:adjustRightInd w:val="0"/>
        <w:snapToGrid w:val="0"/>
        <w:spacing w:before="220" w:after="0" w:line="587" w:lineRule="atLeast"/>
        <w:ind w:firstLine="624"/>
        <w:jc w:val="both"/>
        <w:rPr>
          <w:rFonts w:ascii="宋体" w:hAnsi="宋体" w:eastAsia="宋体" w:cs="宋体"/>
          <w:sz w:val="24"/>
          <w:szCs w:val="24"/>
          <w:lang w:eastAsia="zh-CN"/>
        </w:rPr>
      </w:pPr>
      <w:r>
        <w:rPr>
          <w:rFonts w:hint="eastAsia" w:ascii="宋体" w:hAnsi="宋体" w:eastAsia="宋体" w:cs="宋体"/>
          <w:spacing w:val="6"/>
          <w:sz w:val="24"/>
          <w:szCs w:val="24"/>
          <w:lang w:eastAsia="zh-CN"/>
        </w:rPr>
        <w:t>本单位对上述声明的真实性负责。如有虚假，将依法承担相应责任。</w:t>
      </w:r>
    </w:p>
    <w:p>
      <w:pPr>
        <w:pBdr>
          <w:top w:val="none" w:color="000000" w:sz="0" w:space="0"/>
          <w:left w:val="none" w:color="000000" w:sz="0" w:space="0"/>
          <w:bottom w:val="none" w:color="000000" w:sz="0" w:space="0"/>
          <w:right w:val="none" w:color="000000" w:sz="0" w:space="0"/>
        </w:pBdr>
        <w:adjustRightInd w:val="0"/>
        <w:snapToGrid w:val="0"/>
        <w:spacing w:before="220" w:after="0" w:line="587" w:lineRule="atLeast"/>
        <w:ind w:firstLine="624"/>
        <w:jc w:val="both"/>
        <w:rPr>
          <w:rFonts w:ascii="宋体" w:hAnsi="宋体" w:eastAsia="宋体" w:cs="宋体"/>
          <w:sz w:val="24"/>
          <w:szCs w:val="24"/>
          <w:lang w:eastAsia="zh-CN"/>
        </w:rPr>
      </w:pPr>
      <w:r>
        <w:rPr>
          <w:rFonts w:hint="eastAsia" w:ascii="宋体" w:hAnsi="宋体" w:eastAsia="宋体" w:cs="宋体"/>
          <w:spacing w:val="6"/>
          <w:sz w:val="24"/>
          <w:szCs w:val="24"/>
          <w:lang w:eastAsia="zh-CN"/>
        </w:rPr>
        <w:t> </w:t>
      </w:r>
    </w:p>
    <w:p>
      <w:pPr>
        <w:pBdr>
          <w:top w:val="none" w:color="000000" w:sz="0" w:space="0"/>
          <w:left w:val="none" w:color="000000" w:sz="0" w:space="0"/>
          <w:bottom w:val="none" w:color="000000" w:sz="0" w:space="0"/>
          <w:right w:val="none" w:color="000000" w:sz="0" w:space="0"/>
        </w:pBdr>
        <w:adjustRightInd w:val="0"/>
        <w:snapToGrid w:val="0"/>
        <w:spacing w:before="220" w:after="0" w:line="587" w:lineRule="atLeast"/>
        <w:ind w:firstLine="624"/>
        <w:jc w:val="both"/>
        <w:rPr>
          <w:rFonts w:ascii="宋体" w:hAnsi="宋体" w:eastAsia="宋体" w:cs="宋体"/>
          <w:sz w:val="24"/>
          <w:szCs w:val="24"/>
          <w:lang w:eastAsia="zh-CN"/>
        </w:rPr>
      </w:pPr>
      <w:r>
        <w:rPr>
          <w:rFonts w:hint="eastAsia" w:ascii="宋体" w:hAnsi="宋体" w:eastAsia="宋体" w:cs="宋体"/>
          <w:spacing w:val="6"/>
          <w:sz w:val="24"/>
          <w:szCs w:val="24"/>
          <w:lang w:eastAsia="zh-CN"/>
        </w:rPr>
        <w:t> </w:t>
      </w:r>
    </w:p>
    <w:p>
      <w:pPr>
        <w:pBdr>
          <w:top w:val="none" w:color="000000" w:sz="0" w:space="0"/>
          <w:left w:val="none" w:color="000000" w:sz="0" w:space="0"/>
          <w:bottom w:val="none" w:color="000000" w:sz="0" w:space="0"/>
          <w:right w:val="none" w:color="000000" w:sz="0" w:space="0"/>
        </w:pBdr>
        <w:adjustRightInd w:val="0"/>
        <w:snapToGrid w:val="0"/>
        <w:spacing w:before="220" w:after="0" w:line="587" w:lineRule="atLeast"/>
        <w:ind w:right="1560" w:firstLine="624"/>
        <w:jc w:val="center"/>
        <w:rPr>
          <w:rFonts w:ascii="宋体" w:hAnsi="宋体" w:eastAsia="宋体" w:cs="宋体"/>
          <w:sz w:val="24"/>
          <w:szCs w:val="24"/>
          <w:lang w:eastAsia="zh-CN"/>
        </w:rPr>
      </w:pPr>
      <w:r>
        <w:rPr>
          <w:rFonts w:hint="eastAsia" w:ascii="宋体" w:hAnsi="宋体" w:eastAsia="宋体" w:cs="宋体"/>
          <w:spacing w:val="6"/>
          <w:sz w:val="24"/>
          <w:szCs w:val="24"/>
          <w:lang w:eastAsia="zh-CN"/>
        </w:rPr>
        <w:t>       单位名称（</w:t>
      </w:r>
      <w:r>
        <w:rPr>
          <w:rFonts w:hint="eastAsia" w:ascii="宋体" w:hAnsi="宋体" w:eastAsia="宋体" w:cs="宋体"/>
          <w:sz w:val="24"/>
          <w:szCs w:val="24"/>
          <w:lang w:eastAsia="zh-CN"/>
        </w:rPr>
        <w:t>盖单位电子签章</w:t>
      </w:r>
      <w:r>
        <w:rPr>
          <w:rFonts w:hint="eastAsia" w:ascii="宋体" w:hAnsi="宋体" w:eastAsia="宋体" w:cs="宋体"/>
          <w:spacing w:val="6"/>
          <w:sz w:val="24"/>
          <w:szCs w:val="24"/>
          <w:lang w:eastAsia="zh-CN"/>
        </w:rPr>
        <w:t>）：</w:t>
      </w:r>
    </w:p>
    <w:p>
      <w:pPr>
        <w:pBdr>
          <w:top w:val="none" w:color="000000" w:sz="0" w:space="0"/>
          <w:left w:val="none" w:color="000000" w:sz="0" w:space="0"/>
          <w:bottom w:val="none" w:color="000000" w:sz="0" w:space="0"/>
          <w:right w:val="none" w:color="000000" w:sz="0" w:space="0"/>
        </w:pBdr>
        <w:adjustRightInd w:val="0"/>
        <w:snapToGrid w:val="0"/>
        <w:spacing w:before="220" w:after="0" w:line="587" w:lineRule="atLeast"/>
        <w:ind w:right="1560" w:firstLine="624"/>
        <w:jc w:val="center"/>
        <w:rPr>
          <w:rFonts w:ascii="宋体" w:hAnsi="宋体" w:eastAsia="宋体" w:cs="宋体"/>
          <w:sz w:val="24"/>
          <w:szCs w:val="24"/>
          <w:lang w:eastAsia="zh-CN"/>
        </w:rPr>
      </w:pPr>
      <w:r>
        <w:rPr>
          <w:rFonts w:hint="eastAsia" w:ascii="宋体" w:hAnsi="宋体" w:eastAsia="宋体" w:cs="宋体"/>
          <w:spacing w:val="6"/>
          <w:sz w:val="24"/>
          <w:szCs w:val="24"/>
          <w:lang w:eastAsia="zh-CN"/>
        </w:rPr>
        <w:t>       日期：</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jc w:val="both"/>
        <w:rPr>
          <w:rFonts w:ascii="宋体" w:hAnsi="宋体" w:eastAsia="宋体" w:cs="宋体"/>
          <w:sz w:val="24"/>
          <w:szCs w:val="24"/>
          <w:lang w:eastAsia="zh-CN"/>
        </w:rPr>
      </w:pPr>
      <w:r>
        <w:rPr>
          <w:rFonts w:hint="eastAsia" w:ascii="宋体" w:hAnsi="宋体" w:eastAsia="宋体" w:cs="宋体"/>
          <w:sz w:val="24"/>
          <w:szCs w:val="24"/>
          <w:lang w:eastAsia="zh-CN"/>
        </w:rPr>
        <w:t> </w:t>
      </w:r>
    </w:p>
    <w:p>
      <w:pPr>
        <w:pBdr>
          <w:top w:val="none" w:color="000000" w:sz="0" w:space="0"/>
          <w:left w:val="none" w:color="000000" w:sz="0" w:space="0"/>
          <w:bottom w:val="none" w:color="000000" w:sz="0" w:space="0"/>
          <w:right w:val="none" w:color="000000" w:sz="0" w:space="0"/>
        </w:pBdr>
        <w:adjustRightInd w:val="0"/>
        <w:snapToGrid w:val="0"/>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说明：</w:t>
      </w:r>
    </w:p>
    <w:p>
      <w:pPr>
        <w:pBdr>
          <w:top w:val="none" w:color="000000" w:sz="0" w:space="0"/>
          <w:left w:val="none" w:color="000000" w:sz="0" w:space="0"/>
          <w:bottom w:val="none" w:color="000000" w:sz="0" w:space="0"/>
          <w:right w:val="none" w:color="000000" w:sz="0" w:space="0"/>
        </w:pBdr>
        <w:adjustRightInd w:val="0"/>
        <w:snapToGrid w:val="0"/>
        <w:spacing w:after="0"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中标、成交供应商为残疾人福利性单位的，采购人或者其委托的采购代理机构应当随中标、成交结果同时公告其《残疾人福利性单位声明函》，接受社会监督。</w:t>
      </w:r>
    </w:p>
    <w:p>
      <w:pPr>
        <w:pBdr>
          <w:top w:val="none" w:color="000000" w:sz="0" w:space="0"/>
          <w:left w:val="none" w:color="000000" w:sz="0" w:space="0"/>
          <w:bottom w:val="none" w:color="000000" w:sz="0" w:space="0"/>
          <w:right w:val="none" w:color="000000" w:sz="0" w:space="0"/>
        </w:pBdr>
        <w:adjustRightInd w:val="0"/>
        <w:snapToGrid w:val="0"/>
        <w:spacing w:after="0"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供应商提供的《残疾人福利性单位声明函》与事实不符的，依照《政府采购法》第七十七条第一款的规定追究法律责任。</w:t>
      </w:r>
      <w:r>
        <w:rPr>
          <w:rFonts w:hint="eastAsia" w:ascii="宋体" w:hAnsi="宋体" w:eastAsia="宋体" w:cs="宋体"/>
          <w:b/>
          <w:sz w:val="24"/>
          <w:szCs w:val="24"/>
          <w:lang w:eastAsia="zh-CN"/>
        </w:rPr>
        <w:br w:type="page"/>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left="720"/>
        <w:jc w:val="center"/>
        <w:outlineLvl w:val="1"/>
        <w:rPr>
          <w:rFonts w:ascii="宋体" w:hAnsi="宋体" w:eastAsia="宋体" w:cs="宋体"/>
          <w:sz w:val="24"/>
          <w:szCs w:val="24"/>
          <w:lang w:eastAsia="zh-CN"/>
        </w:rPr>
      </w:pPr>
      <w:r>
        <w:rPr>
          <w:rFonts w:hint="eastAsia" w:ascii="宋体" w:hAnsi="宋体" w:eastAsia="宋体" w:cs="宋体"/>
          <w:b/>
          <w:sz w:val="24"/>
          <w:szCs w:val="24"/>
          <w:lang w:eastAsia="zh-CN"/>
        </w:rPr>
        <w:t>12、《具备履行合同所必需的设备和专业技术能力的书面声明（附证明材料原件的扫描件）》</w:t>
      </w:r>
    </w:p>
    <w:p>
      <w:pPr>
        <w:adjustRightInd w:val="0"/>
        <w:snapToGrid w:val="0"/>
        <w:spacing w:line="360" w:lineRule="auto"/>
        <w:ind w:firstLine="480"/>
        <w:rPr>
          <w:rFonts w:ascii="宋体" w:hAnsi="宋体" w:eastAsia="宋体" w:cs="宋体"/>
          <w:sz w:val="24"/>
          <w:szCs w:val="24"/>
          <w:u w:val="single"/>
          <w:lang w:eastAsia="zh-CN"/>
        </w:rPr>
      </w:pPr>
      <w:r>
        <w:rPr>
          <w:rFonts w:hint="eastAsia" w:ascii="宋体" w:hAnsi="宋体" w:eastAsia="宋体" w:cs="宋体"/>
          <w:sz w:val="24"/>
          <w:szCs w:val="24"/>
          <w:lang w:eastAsia="zh-CN"/>
        </w:rPr>
        <w:t>项目编号：JSZC-320390-GCMC-C2023-0004</w:t>
      </w:r>
    </w:p>
    <w:p>
      <w:p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项目名称：</w:t>
      </w:r>
    </w:p>
    <w:p>
      <w:p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供应商郑重声明：供应商具备履行合同（项目名称：），项目编号：JSZC-320390-GCMC-C2023-0004 所必需的设备和专业技术能力，具体为：</w:t>
      </w:r>
    </w:p>
    <w:p>
      <w:p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设备：</w:t>
      </w:r>
    </w:p>
    <w:p>
      <w:p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1、 （证明材料复印件附后）</w:t>
      </w:r>
    </w:p>
    <w:p>
      <w:p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2、 （证明材料复印件附后）</w:t>
      </w:r>
    </w:p>
    <w:p>
      <w:p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3、 （证明材料复印件附后）</w:t>
      </w:r>
    </w:p>
    <w:p>
      <w:p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w:t>
      </w:r>
    </w:p>
    <w:p>
      <w:p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专业技术能力：</w:t>
      </w:r>
    </w:p>
    <w:p>
      <w:p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1、 （证明材料复印件附后）</w:t>
      </w:r>
    </w:p>
    <w:p>
      <w:p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2、 （证明材料复印件附后）</w:t>
      </w:r>
    </w:p>
    <w:p>
      <w:p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3、 （证明材料复印件附后）</w:t>
      </w:r>
    </w:p>
    <w:p>
      <w:p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w:t>
      </w:r>
    </w:p>
    <w:p>
      <w:p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特此声明。</w:t>
      </w:r>
    </w:p>
    <w:p>
      <w:pPr>
        <w:adjustRightInd w:val="0"/>
        <w:snapToGrid w:val="0"/>
        <w:spacing w:line="360" w:lineRule="auto"/>
        <w:ind w:firstLine="480"/>
        <w:rPr>
          <w:rFonts w:ascii="宋体" w:hAnsi="宋体" w:eastAsia="宋体" w:cs="宋体"/>
          <w:sz w:val="24"/>
          <w:szCs w:val="24"/>
          <w:lang w:eastAsia="zh-CN"/>
        </w:rPr>
      </w:pPr>
      <w:r>
        <w:rPr>
          <w:rFonts w:hint="eastAsia" w:ascii="宋体" w:hAnsi="宋体" w:eastAsia="宋体" w:cs="宋体"/>
          <w:sz w:val="24"/>
          <w:szCs w:val="24"/>
          <w:lang w:eastAsia="zh-CN"/>
        </w:rPr>
        <w:t>供应商对上述声明的真实性负责。如有虚假，将依法承担相应责任。</w:t>
      </w:r>
    </w:p>
    <w:p>
      <w:pPr>
        <w:adjustRightInd w:val="0"/>
        <w:snapToGrid w:val="0"/>
        <w:spacing w:line="300" w:lineRule="auto"/>
        <w:ind w:firstLine="3600"/>
        <w:rPr>
          <w:rFonts w:ascii="宋体" w:hAnsi="宋体" w:eastAsia="宋体" w:cs="宋体"/>
          <w:sz w:val="24"/>
          <w:szCs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（盖单位电子签章）</w:t>
      </w:r>
    </w:p>
    <w:p>
      <w:pPr>
        <w:adjustRightInd w:val="0"/>
        <w:snapToGrid w:val="0"/>
        <w:spacing w:line="300" w:lineRule="auto"/>
        <w:ind w:firstLine="3600"/>
        <w:rPr>
          <w:rFonts w:ascii="宋体" w:hAnsi="宋体" w:eastAsia="宋体" w:cs="宋体"/>
          <w:sz w:val="24"/>
          <w:szCs w:val="24"/>
          <w:lang w:eastAsia="zh-CN"/>
        </w:rPr>
      </w:pPr>
      <w:r>
        <w:rPr>
          <w:rFonts w:hint="eastAsia" w:ascii="宋体" w:hAnsi="宋体" w:eastAsia="宋体" w:cs="宋体"/>
          <w:sz w:val="24"/>
          <w:szCs w:val="24"/>
          <w:lang w:eastAsia="zh-CN"/>
        </w:rPr>
        <w:t>供应商授权代表：</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（签字或盖章）  </w:t>
      </w:r>
    </w:p>
    <w:p>
      <w:pPr>
        <w:adjustRightInd w:val="0"/>
        <w:snapToGrid w:val="0"/>
        <w:spacing w:line="300" w:lineRule="auto"/>
        <w:ind w:firstLine="3600"/>
        <w:rPr>
          <w:rFonts w:ascii="宋体" w:hAnsi="宋体" w:eastAsia="宋体" w:cs="宋体"/>
          <w:sz w:val="24"/>
          <w:szCs w:val="24"/>
          <w:lang w:eastAsia="zh-CN"/>
        </w:rPr>
      </w:pPr>
      <w:r>
        <w:rPr>
          <w:rFonts w:hint="eastAsia" w:ascii="宋体" w:hAnsi="宋体" w:eastAsia="宋体" w:cs="宋体"/>
          <w:sz w:val="24"/>
          <w:szCs w:val="24"/>
          <w:lang w:eastAsia="zh-CN"/>
        </w:rPr>
        <w:t>日期：   年  月  日</w:t>
      </w:r>
    </w:p>
    <w:p>
      <w:pPr>
        <w:rPr>
          <w:rFonts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adjustRightInd w:val="0"/>
        <w:snapToGrid w:val="0"/>
        <w:spacing w:line="400" w:lineRule="atLeast"/>
        <w:jc w:val="center"/>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13、代理服务收费标准</w:t>
      </w:r>
    </w:p>
    <w:p>
      <w:pPr>
        <w:pBdr>
          <w:top w:val="none" w:color="000000" w:sz="0" w:space="0"/>
          <w:left w:val="none" w:color="000000" w:sz="0" w:space="0"/>
          <w:bottom w:val="none" w:color="000000" w:sz="0" w:space="0"/>
          <w:right w:val="none" w:color="000000" w:sz="0" w:space="0"/>
        </w:pBdr>
        <w:adjustRightInd w:val="0"/>
        <w:snapToGrid w:val="0"/>
        <w:spacing w:before="220" w:line="250" w:lineRule="atLeast"/>
        <w:rPr>
          <w:rFonts w:ascii="宋体" w:hAnsi="宋体" w:eastAsia="宋体" w:cs="宋体"/>
          <w:sz w:val="24"/>
          <w:szCs w:val="24"/>
          <w:lang w:eastAsia="zh-CN"/>
        </w:rPr>
      </w:pPr>
      <w:r>
        <w:rPr>
          <w:rFonts w:hint="eastAsia" w:ascii="宋体" w:hAnsi="宋体" w:eastAsia="宋体" w:cs="宋体"/>
          <w:sz w:val="24"/>
          <w:szCs w:val="24"/>
          <w:lang w:eastAsia="zh-CN"/>
        </w:rPr>
        <w:t>徐州市政府采购业务代理服务费行业指导价格标准</w:t>
      </w:r>
    </w:p>
    <w:tbl>
      <w:tblPr>
        <w:tblStyle w:val="54"/>
        <w:tblW w:w="8522"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2195"/>
        <w:gridCol w:w="1340"/>
        <w:gridCol w:w="1831"/>
        <w:gridCol w:w="1340"/>
        <w:gridCol w:w="1816"/>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397" w:hRule="atLeast"/>
        </w:trPr>
        <w:tc>
          <w:tcPr>
            <w:tcW w:w="21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中标金额</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货物</w:t>
            </w:r>
          </w:p>
        </w:tc>
        <w:tc>
          <w:tcPr>
            <w:tcW w:w="18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服务</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工程</w:t>
            </w:r>
          </w:p>
        </w:tc>
        <w:tc>
          <w:tcPr>
            <w:tcW w:w="1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400" w:lineRule="atLeast"/>
              <w:jc w:val="center"/>
              <w:rPr>
                <w:rFonts w:ascii="宋体" w:hAnsi="宋体" w:eastAsia="宋体" w:cs="宋体"/>
                <w:sz w:val="24"/>
                <w:szCs w:val="24"/>
              </w:rPr>
            </w:pPr>
            <w:r>
              <w:rPr>
                <w:rFonts w:hint="eastAsia" w:ascii="宋体" w:hAnsi="宋体" w:eastAsia="宋体" w:cs="宋体"/>
                <w:sz w:val="24"/>
                <w:szCs w:val="24"/>
              </w:rPr>
              <w:t>收费上限</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397" w:hRule="atLeast"/>
        </w:trPr>
        <w:tc>
          <w:tcPr>
            <w:tcW w:w="21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100万以下</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1.50%</w:t>
            </w:r>
          </w:p>
        </w:tc>
        <w:tc>
          <w:tcPr>
            <w:tcW w:w="18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1.50%</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1.00%</w:t>
            </w:r>
          </w:p>
        </w:tc>
        <w:tc>
          <w:tcPr>
            <w:tcW w:w="18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ind w:firstLine="280"/>
              <w:rPr>
                <w:rFonts w:ascii="宋体" w:hAnsi="宋体" w:eastAsia="宋体" w:cs="宋体"/>
                <w:sz w:val="24"/>
                <w:szCs w:val="24"/>
                <w:lang w:eastAsia="zh-CN"/>
              </w:rPr>
            </w:pPr>
            <w:r>
              <w:rPr>
                <w:rFonts w:hint="eastAsia" w:ascii="宋体" w:hAnsi="宋体" w:eastAsia="宋体" w:cs="宋体"/>
                <w:sz w:val="24"/>
                <w:szCs w:val="24"/>
                <w:lang w:eastAsia="zh-CN"/>
              </w:rPr>
              <w:t>最低5千元</w:t>
            </w:r>
          </w:p>
          <w:p>
            <w:pPr>
              <w:pBdr>
                <w:top w:val="none" w:color="000000" w:sz="0" w:space="0"/>
                <w:left w:val="none" w:color="000000" w:sz="0" w:space="0"/>
                <w:bottom w:val="none" w:color="000000" w:sz="0" w:space="0"/>
                <w:right w:val="none" w:color="000000" w:sz="0" w:space="0"/>
              </w:pBdr>
              <w:adjustRightInd w:val="0"/>
              <w:snapToGrid w:val="0"/>
              <w:spacing w:before="220" w:line="250" w:lineRule="atLeast"/>
              <w:ind w:firstLine="280"/>
              <w:rPr>
                <w:rFonts w:ascii="宋体" w:hAnsi="宋体" w:eastAsia="宋体" w:cs="宋体"/>
                <w:sz w:val="24"/>
                <w:szCs w:val="24"/>
                <w:lang w:eastAsia="zh-CN"/>
              </w:rPr>
            </w:pPr>
            <w:r>
              <w:rPr>
                <w:rFonts w:hint="eastAsia" w:ascii="宋体" w:hAnsi="宋体" w:eastAsia="宋体" w:cs="宋体"/>
                <w:sz w:val="24"/>
                <w:szCs w:val="24"/>
                <w:lang w:eastAsia="zh-CN"/>
              </w:rPr>
              <w:t>最高10万元</w:t>
            </w:r>
          </w:p>
          <w:p>
            <w:pPr>
              <w:pBdr>
                <w:top w:val="none" w:color="000000" w:sz="0" w:space="0"/>
                <w:left w:val="none" w:color="000000" w:sz="0" w:space="0"/>
                <w:bottom w:val="none" w:color="000000" w:sz="0" w:space="0"/>
                <w:right w:val="none" w:color="000000" w:sz="0" w:space="0"/>
              </w:pBdr>
              <w:adjustRightInd w:val="0"/>
              <w:snapToGrid w:val="0"/>
              <w:spacing w:before="220" w:line="250" w:lineRule="atLeast"/>
              <w:ind w:firstLine="280"/>
              <w:rPr>
                <w:rFonts w:ascii="宋体" w:hAnsi="宋体" w:eastAsia="宋体" w:cs="宋体"/>
                <w:sz w:val="24"/>
                <w:szCs w:val="24"/>
                <w:lang w:eastAsia="zh-CN"/>
              </w:rPr>
            </w:pPr>
            <w:r>
              <w:rPr>
                <w:rFonts w:hint="eastAsia" w:ascii="宋体" w:hAnsi="宋体" w:eastAsia="宋体" w:cs="宋体"/>
                <w:sz w:val="24"/>
                <w:szCs w:val="24"/>
                <w:lang w:eastAsia="zh-CN"/>
              </w:rPr>
              <w:t> </w:t>
            </w:r>
          </w:p>
          <w:p>
            <w:pPr>
              <w:pBdr>
                <w:top w:val="none" w:color="000000" w:sz="0" w:space="0"/>
                <w:left w:val="none" w:color="000000" w:sz="0" w:space="0"/>
                <w:bottom w:val="none" w:color="000000" w:sz="0" w:space="0"/>
                <w:right w:val="none" w:color="000000" w:sz="0" w:space="0"/>
              </w:pBdr>
              <w:adjustRightInd w:val="0"/>
              <w:snapToGrid w:val="0"/>
              <w:spacing w:before="220" w:line="250" w:lineRule="atLeast"/>
              <w:rPr>
                <w:rFonts w:ascii="宋体" w:hAnsi="宋体" w:eastAsia="宋体" w:cs="宋体"/>
                <w:sz w:val="24"/>
                <w:szCs w:val="24"/>
                <w:lang w:eastAsia="zh-CN"/>
              </w:rPr>
            </w:pPr>
            <w:r>
              <w:rPr>
                <w:rFonts w:hint="eastAsia" w:ascii="宋体" w:hAnsi="宋体" w:eastAsia="宋体" w:cs="宋体"/>
                <w:sz w:val="24"/>
                <w:szCs w:val="24"/>
                <w:lang w:eastAsia="zh-CN"/>
              </w:rPr>
              <w:t>（PPP项目最高10万元）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397" w:hRule="atLeast"/>
        </w:trPr>
        <w:tc>
          <w:tcPr>
            <w:tcW w:w="21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100万~500万</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1.10%</w:t>
            </w:r>
          </w:p>
        </w:tc>
        <w:tc>
          <w:tcPr>
            <w:tcW w:w="18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0.80%</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0.70%</w:t>
            </w:r>
          </w:p>
        </w:tc>
        <w:tc>
          <w:tcPr>
            <w:tcW w:w="1816" w:type="dxa"/>
            <w:vMerge w:val="continue"/>
            <w:tcBorders>
              <w:top w:val="single" w:color="000000" w:sz="4" w:space="0"/>
              <w:left w:val="single" w:color="000000" w:sz="4" w:space="0"/>
              <w:bottom w:val="single" w:color="000000" w:sz="4" w:space="0"/>
              <w:right w:val="single" w:color="000000" w:sz="4" w:space="0"/>
            </w:tcBorders>
          </w:tcPr>
          <w:p>
            <w:pPr>
              <w:adjustRightInd w:val="0"/>
              <w:snapToGrid w:val="0"/>
              <w:spacing w:after="0" w:line="240" w:lineRule="auto"/>
              <w:rPr>
                <w:rFonts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397" w:hRule="atLeast"/>
        </w:trPr>
        <w:tc>
          <w:tcPr>
            <w:tcW w:w="21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500万~1000万</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0.80%</w:t>
            </w:r>
          </w:p>
        </w:tc>
        <w:tc>
          <w:tcPr>
            <w:tcW w:w="18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0.45%</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0.55%</w:t>
            </w:r>
          </w:p>
        </w:tc>
        <w:tc>
          <w:tcPr>
            <w:tcW w:w="1816" w:type="dxa"/>
            <w:vMerge w:val="continue"/>
            <w:tcBorders>
              <w:top w:val="single" w:color="000000" w:sz="4" w:space="0"/>
              <w:left w:val="single" w:color="000000" w:sz="4" w:space="0"/>
              <w:bottom w:val="single" w:color="000000" w:sz="4" w:space="0"/>
              <w:right w:val="single" w:color="000000" w:sz="4" w:space="0"/>
            </w:tcBorders>
          </w:tcPr>
          <w:p>
            <w:pPr>
              <w:adjustRightInd w:val="0"/>
              <w:snapToGrid w:val="0"/>
              <w:spacing w:after="0" w:line="240" w:lineRule="auto"/>
              <w:rPr>
                <w:rFonts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397" w:hRule="atLeast"/>
        </w:trPr>
        <w:tc>
          <w:tcPr>
            <w:tcW w:w="21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l000万~5000万</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0.50%</w:t>
            </w:r>
          </w:p>
        </w:tc>
        <w:tc>
          <w:tcPr>
            <w:tcW w:w="18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0.25%</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0.35%</w:t>
            </w:r>
          </w:p>
        </w:tc>
        <w:tc>
          <w:tcPr>
            <w:tcW w:w="1816" w:type="dxa"/>
            <w:vMerge w:val="continue"/>
            <w:tcBorders>
              <w:top w:val="single" w:color="000000" w:sz="4" w:space="0"/>
              <w:left w:val="single" w:color="000000" w:sz="4" w:space="0"/>
              <w:bottom w:val="single" w:color="000000" w:sz="4" w:space="0"/>
              <w:right w:val="single" w:color="000000" w:sz="4" w:space="0"/>
            </w:tcBorders>
          </w:tcPr>
          <w:p>
            <w:pPr>
              <w:adjustRightInd w:val="0"/>
              <w:snapToGrid w:val="0"/>
              <w:spacing w:after="0" w:line="240" w:lineRule="auto"/>
              <w:rPr>
                <w:rFonts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397" w:hRule="atLeast"/>
        </w:trPr>
        <w:tc>
          <w:tcPr>
            <w:tcW w:w="21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5000万~l亿</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0.25%</w:t>
            </w:r>
          </w:p>
        </w:tc>
        <w:tc>
          <w:tcPr>
            <w:tcW w:w="18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0.10%</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0.20%</w:t>
            </w:r>
          </w:p>
        </w:tc>
        <w:tc>
          <w:tcPr>
            <w:tcW w:w="1816" w:type="dxa"/>
            <w:vMerge w:val="continue"/>
            <w:tcBorders>
              <w:top w:val="single" w:color="000000" w:sz="4" w:space="0"/>
              <w:left w:val="single" w:color="000000" w:sz="4" w:space="0"/>
              <w:bottom w:val="single" w:color="000000" w:sz="4" w:space="0"/>
              <w:right w:val="single" w:color="000000" w:sz="4" w:space="0"/>
            </w:tcBorders>
          </w:tcPr>
          <w:p>
            <w:pPr>
              <w:adjustRightInd w:val="0"/>
              <w:snapToGrid w:val="0"/>
              <w:spacing w:after="0" w:line="240" w:lineRule="auto"/>
              <w:rPr>
                <w:rFonts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397" w:hRule="atLeast"/>
        </w:trPr>
        <w:tc>
          <w:tcPr>
            <w:tcW w:w="21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1亿~5亿</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0.05%</w:t>
            </w:r>
          </w:p>
        </w:tc>
        <w:tc>
          <w:tcPr>
            <w:tcW w:w="18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0.05%</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0.05%</w:t>
            </w:r>
          </w:p>
        </w:tc>
        <w:tc>
          <w:tcPr>
            <w:tcW w:w="1816" w:type="dxa"/>
            <w:vMerge w:val="continue"/>
            <w:tcBorders>
              <w:top w:val="single" w:color="000000" w:sz="4" w:space="0"/>
              <w:left w:val="single" w:color="000000" w:sz="4" w:space="0"/>
              <w:bottom w:val="single" w:color="000000" w:sz="4" w:space="0"/>
              <w:right w:val="single" w:color="000000" w:sz="4" w:space="0"/>
            </w:tcBorders>
          </w:tcPr>
          <w:p>
            <w:pPr>
              <w:adjustRightInd w:val="0"/>
              <w:snapToGrid w:val="0"/>
              <w:spacing w:after="0" w:line="240" w:lineRule="auto"/>
              <w:rPr>
                <w:rFonts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397" w:hRule="atLeast"/>
        </w:trPr>
        <w:tc>
          <w:tcPr>
            <w:tcW w:w="21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5亿~10亿</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0.035%</w:t>
            </w:r>
          </w:p>
        </w:tc>
        <w:tc>
          <w:tcPr>
            <w:tcW w:w="18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0.035%</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0.035%</w:t>
            </w:r>
          </w:p>
        </w:tc>
        <w:tc>
          <w:tcPr>
            <w:tcW w:w="1816" w:type="dxa"/>
            <w:vMerge w:val="continue"/>
            <w:tcBorders>
              <w:top w:val="single" w:color="000000" w:sz="4" w:space="0"/>
              <w:left w:val="single" w:color="000000" w:sz="4" w:space="0"/>
              <w:bottom w:val="single" w:color="000000" w:sz="4" w:space="0"/>
              <w:right w:val="single" w:color="000000" w:sz="4" w:space="0"/>
            </w:tcBorders>
          </w:tcPr>
          <w:p>
            <w:pPr>
              <w:adjustRightInd w:val="0"/>
              <w:snapToGrid w:val="0"/>
              <w:spacing w:after="0" w:line="240" w:lineRule="auto"/>
              <w:rPr>
                <w:rFonts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397" w:hRule="atLeast"/>
        </w:trPr>
        <w:tc>
          <w:tcPr>
            <w:tcW w:w="21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10亿~50亿</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0.008%</w:t>
            </w:r>
          </w:p>
        </w:tc>
        <w:tc>
          <w:tcPr>
            <w:tcW w:w="18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0.008%</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0.008%</w:t>
            </w:r>
          </w:p>
        </w:tc>
        <w:tc>
          <w:tcPr>
            <w:tcW w:w="1816" w:type="dxa"/>
            <w:vMerge w:val="continue"/>
            <w:tcBorders>
              <w:top w:val="single" w:color="000000" w:sz="4" w:space="0"/>
              <w:left w:val="single" w:color="000000" w:sz="4" w:space="0"/>
              <w:bottom w:val="single" w:color="000000" w:sz="4" w:space="0"/>
              <w:right w:val="single" w:color="000000" w:sz="4" w:space="0"/>
            </w:tcBorders>
          </w:tcPr>
          <w:p>
            <w:pPr>
              <w:adjustRightInd w:val="0"/>
              <w:snapToGrid w:val="0"/>
              <w:spacing w:after="0" w:line="240" w:lineRule="auto"/>
              <w:rPr>
                <w:rFonts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397" w:hRule="atLeast"/>
        </w:trPr>
        <w:tc>
          <w:tcPr>
            <w:tcW w:w="21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50亿~100亿</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0.006%</w:t>
            </w:r>
          </w:p>
        </w:tc>
        <w:tc>
          <w:tcPr>
            <w:tcW w:w="18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0.006%</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0.006%</w:t>
            </w:r>
          </w:p>
        </w:tc>
        <w:tc>
          <w:tcPr>
            <w:tcW w:w="1816" w:type="dxa"/>
            <w:vMerge w:val="continue"/>
            <w:tcBorders>
              <w:top w:val="single" w:color="000000" w:sz="4" w:space="0"/>
              <w:left w:val="single" w:color="000000" w:sz="4" w:space="0"/>
              <w:bottom w:val="single" w:color="000000" w:sz="4" w:space="0"/>
              <w:right w:val="single" w:color="000000" w:sz="4" w:space="0"/>
            </w:tcBorders>
          </w:tcPr>
          <w:p>
            <w:pPr>
              <w:adjustRightInd w:val="0"/>
              <w:snapToGrid w:val="0"/>
              <w:spacing w:after="0" w:line="240" w:lineRule="auto"/>
              <w:rPr>
                <w:rFonts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397" w:hRule="atLeast"/>
        </w:trPr>
        <w:tc>
          <w:tcPr>
            <w:tcW w:w="21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100亿以上</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0.004%</w:t>
            </w:r>
          </w:p>
        </w:tc>
        <w:tc>
          <w:tcPr>
            <w:tcW w:w="18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0.004%</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adjustRightInd w:val="0"/>
              <w:snapToGrid w:val="0"/>
              <w:spacing w:before="220" w:line="250" w:lineRule="atLeast"/>
              <w:jc w:val="center"/>
              <w:rPr>
                <w:rFonts w:ascii="宋体" w:hAnsi="宋体" w:eastAsia="宋体" w:cs="宋体"/>
                <w:sz w:val="24"/>
                <w:szCs w:val="24"/>
              </w:rPr>
            </w:pPr>
            <w:r>
              <w:rPr>
                <w:rFonts w:hint="eastAsia" w:ascii="宋体" w:hAnsi="宋体" w:eastAsia="宋体" w:cs="宋体"/>
                <w:sz w:val="24"/>
                <w:szCs w:val="24"/>
              </w:rPr>
              <w:t>0.004%</w:t>
            </w:r>
          </w:p>
        </w:tc>
        <w:tc>
          <w:tcPr>
            <w:tcW w:w="1816" w:type="dxa"/>
            <w:vMerge w:val="continue"/>
            <w:tcBorders>
              <w:top w:val="single" w:color="000000" w:sz="4" w:space="0"/>
              <w:left w:val="single" w:color="000000" w:sz="4" w:space="0"/>
              <w:bottom w:val="single" w:color="000000" w:sz="4" w:space="0"/>
              <w:right w:val="single" w:color="000000" w:sz="4" w:space="0"/>
            </w:tcBorders>
          </w:tcPr>
          <w:p>
            <w:pPr>
              <w:adjustRightInd w:val="0"/>
              <w:snapToGrid w:val="0"/>
              <w:spacing w:after="0" w:line="240" w:lineRule="auto"/>
              <w:rPr>
                <w:rFonts w:ascii="宋体" w:hAnsi="宋体" w:eastAsia="宋体" w:cs="宋体"/>
                <w:sz w:val="24"/>
                <w:szCs w:val="24"/>
              </w:rPr>
            </w:pPr>
          </w:p>
        </w:tc>
      </w:tr>
    </w:tbl>
    <w:p>
      <w:pPr>
        <w:pBdr>
          <w:top w:val="none" w:color="000000" w:sz="0" w:space="0"/>
          <w:left w:val="none" w:color="000000" w:sz="0" w:space="0"/>
          <w:bottom w:val="none" w:color="000000" w:sz="0" w:space="0"/>
          <w:right w:val="none" w:color="000000" w:sz="0" w:space="0"/>
        </w:pBdr>
        <w:adjustRightInd w:val="0"/>
        <w:snapToGrid w:val="0"/>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备注：非政府采购项目收费标准，由采购人与代理机构自行商议。</w:t>
      </w:r>
    </w:p>
    <w:p>
      <w:pPr>
        <w:pBdr>
          <w:top w:val="none" w:color="000000" w:sz="0" w:space="0"/>
          <w:left w:val="none" w:color="000000" w:sz="0" w:space="0"/>
          <w:bottom w:val="none" w:color="000000" w:sz="0" w:space="0"/>
          <w:right w:val="none" w:color="000000" w:sz="0" w:space="0"/>
        </w:pBdr>
        <w:adjustRightInd w:val="0"/>
        <w:snapToGrid w:val="0"/>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说明：</w:t>
      </w:r>
    </w:p>
    <w:p>
      <w:pPr>
        <w:pBdr>
          <w:top w:val="none" w:color="000000" w:sz="0" w:space="0"/>
          <w:left w:val="none" w:color="000000" w:sz="0" w:space="0"/>
          <w:bottom w:val="none" w:color="000000" w:sz="0" w:space="0"/>
          <w:right w:val="none" w:color="000000" w:sz="0" w:space="0"/>
        </w:pBdr>
        <w:adjustRightInd w:val="0"/>
        <w:snapToGrid w:val="0"/>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1.按上表计算的收费为代理服务全过程的收费金额。各社会代理机构不另外收取采购文件制作售卖费用。</w:t>
      </w:r>
    </w:p>
    <w:p>
      <w:pPr>
        <w:pBdr>
          <w:top w:val="none" w:color="000000" w:sz="0" w:space="0"/>
          <w:left w:val="none" w:color="000000" w:sz="0" w:space="0"/>
          <w:bottom w:val="none" w:color="000000" w:sz="0" w:space="0"/>
          <w:right w:val="none" w:color="000000" w:sz="0" w:space="0"/>
        </w:pBdr>
        <w:adjustRightInd w:val="0"/>
        <w:snapToGrid w:val="0"/>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2.代理服务费按差额定率累进法计算。</w:t>
      </w:r>
    </w:p>
    <w:p>
      <w:pPr>
        <w:pBdr>
          <w:top w:val="none" w:color="000000" w:sz="0" w:space="0"/>
          <w:left w:val="none" w:color="000000" w:sz="0" w:space="0"/>
          <w:bottom w:val="none" w:color="000000" w:sz="0" w:space="0"/>
          <w:right w:val="none" w:color="000000" w:sz="0" w:space="0"/>
        </w:pBdr>
        <w:adjustRightInd w:val="0"/>
        <w:snapToGrid w:val="0"/>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3.代理服务费基准金额（按差额定率累进法计算的）=中标金额（按差额定率累进法计算的） * 费率（%）</w:t>
      </w:r>
    </w:p>
    <w:p>
      <w:pPr>
        <w:pBdr>
          <w:top w:val="none" w:color="000000" w:sz="0" w:space="0"/>
          <w:left w:val="none" w:color="000000" w:sz="0" w:space="0"/>
          <w:bottom w:val="none" w:color="000000" w:sz="0" w:space="0"/>
          <w:right w:val="none" w:color="000000" w:sz="0" w:space="0"/>
        </w:pBdr>
        <w:adjustRightInd w:val="0"/>
        <w:snapToGrid w:val="0"/>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4.代理服务费应收取金额=代理服务费基准金额（按差额定率累进法计算的）的合计数。</w:t>
      </w:r>
    </w:p>
    <w:p>
      <w:pPr>
        <w:pBdr>
          <w:top w:val="none" w:color="000000" w:sz="0" w:space="0"/>
          <w:left w:val="none" w:color="000000" w:sz="0" w:space="0"/>
          <w:bottom w:val="none" w:color="000000" w:sz="0" w:space="0"/>
          <w:right w:val="none" w:color="000000" w:sz="0" w:space="0"/>
        </w:pBdr>
        <w:adjustRightInd w:val="0"/>
        <w:snapToGrid w:val="0"/>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5.计算出的代理服务费应收取金额如低于5千元，按5千元收取；如高于10万元，按10万元收取。超出5万元的，超出部分按8折计算收取。（PPP项目按10万元）</w:t>
      </w:r>
    </w:p>
    <w:p>
      <w:pPr>
        <w:pBdr>
          <w:top w:val="none" w:color="000000" w:sz="0" w:space="0"/>
          <w:left w:val="none" w:color="000000" w:sz="0" w:space="0"/>
          <w:bottom w:val="none" w:color="000000" w:sz="0" w:space="0"/>
          <w:right w:val="none" w:color="000000" w:sz="0" w:space="0"/>
        </w:pBdr>
        <w:adjustRightInd w:val="0"/>
        <w:snapToGrid w:val="0"/>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6.定点类等无金额或事先不能计算出价格总额，采购预算为1元的项目，中标（成交）金额按100万元计算。</w:t>
      </w:r>
    </w:p>
    <w:p>
      <w:pPr>
        <w:pBdr>
          <w:top w:val="none" w:color="000000" w:sz="0" w:space="0"/>
          <w:left w:val="none" w:color="000000" w:sz="0" w:space="0"/>
          <w:bottom w:val="none" w:color="000000" w:sz="0" w:space="0"/>
          <w:right w:val="none" w:color="000000" w:sz="0" w:space="0"/>
        </w:pBdr>
        <w:adjustRightInd w:val="0"/>
        <w:snapToGrid w:val="0"/>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7.多标段项目按总项目收费，最高不超过10万元。</w:t>
      </w:r>
    </w:p>
    <w:p>
      <w:pPr>
        <w:adjustRightInd w:val="0"/>
        <w:snapToGrid w:val="0"/>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8.以上价格为协会指导价，双方也可以协商定。本办法自2021年5月1日起执行。</w:t>
      </w:r>
    </w:p>
    <w:p>
      <w:pPr>
        <w:pBdr>
          <w:top w:val="none" w:color="000000" w:sz="0" w:space="0"/>
          <w:left w:val="none" w:color="000000" w:sz="0" w:space="0"/>
          <w:bottom w:val="none" w:color="000000" w:sz="0" w:space="0"/>
          <w:right w:val="none" w:color="000000" w:sz="0" w:space="0"/>
        </w:pBdr>
        <w:adjustRightInd w:val="0"/>
        <w:snapToGrid w:val="0"/>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9.代理服务费收取账号：</w:t>
      </w:r>
    </w:p>
    <w:p>
      <w:pPr>
        <w:adjustRightInd w:val="0"/>
        <w:snapToGrid w:val="0"/>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【账户名】：公诚管理咨询有限公司</w:t>
      </w:r>
    </w:p>
    <w:p>
      <w:pPr>
        <w:adjustRightInd w:val="0"/>
        <w:snapToGrid w:val="0"/>
        <w:spacing w:after="0" w:line="360" w:lineRule="auto"/>
        <w:ind w:firstLine="480" w:firstLineChars="200"/>
        <w:rPr>
          <w:rFonts w:ascii="宋体" w:hAnsi="宋体" w:eastAsia="宋体" w:cs="宋体"/>
          <w:sz w:val="24"/>
          <w:szCs w:val="24"/>
          <w:highlight w:val="yellow"/>
          <w:lang w:eastAsia="zh-CN"/>
        </w:rPr>
      </w:pPr>
      <w:r>
        <w:rPr>
          <w:rFonts w:hint="eastAsia" w:ascii="宋体" w:hAnsi="宋体" w:eastAsia="宋体" w:cs="宋体"/>
          <w:sz w:val="24"/>
          <w:szCs w:val="24"/>
          <w:lang w:eastAsia="zh-CN"/>
        </w:rPr>
        <w:t>【账户号】：3110910037672329682</w:t>
      </w:r>
    </w:p>
    <w:p>
      <w:pPr>
        <w:adjustRightInd w:val="0"/>
        <w:snapToGrid w:val="0"/>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【开户行】：中信银行广州花园支行</w:t>
      </w:r>
    </w:p>
    <w:p>
      <w:pPr>
        <w:pStyle w:val="18"/>
        <w:adjustRightInd w:val="0"/>
        <w:snapToGrid w:val="0"/>
        <w:rPr>
          <w:rFonts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565"/>
        <w:jc w:val="center"/>
        <w:rPr>
          <w:rFonts w:ascii="宋体" w:hAnsi="宋体" w:eastAsia="宋体" w:cs="宋体"/>
          <w:sz w:val="24"/>
          <w:szCs w:val="24"/>
          <w:lang w:eastAsia="zh-CN"/>
        </w:rPr>
      </w:pPr>
      <w:r>
        <w:rPr>
          <w:rFonts w:hint="eastAsia" w:ascii="宋体" w:hAnsi="宋体" w:eastAsia="宋体" w:cs="宋体"/>
          <w:sz w:val="24"/>
          <w:szCs w:val="24"/>
          <w:lang w:eastAsia="zh-CN"/>
        </w:rPr>
        <w:br w:type="page"/>
      </w:r>
    </w:p>
    <w:bookmarkEnd w:id="22"/>
    <w:p>
      <w:pPr>
        <w:adjustRightInd w:val="0"/>
        <w:snapToGrid w:val="0"/>
        <w:spacing w:line="400" w:lineRule="atLeast"/>
        <w:jc w:val="center"/>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14、预付款保函支付条款模板</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643"/>
        <w:jc w:val="both"/>
        <w:rPr>
          <w:rFonts w:ascii="宋体" w:hAnsi="宋体" w:eastAsia="宋体" w:cs="宋体"/>
          <w:sz w:val="24"/>
          <w:szCs w:val="24"/>
          <w:lang w:eastAsia="zh-CN"/>
        </w:rPr>
      </w:pPr>
      <w:r>
        <w:rPr>
          <w:rFonts w:hint="eastAsia" w:ascii="宋体" w:hAnsi="宋体" w:eastAsia="宋体" w:cs="宋体"/>
          <w:b/>
          <w:sz w:val="24"/>
          <w:szCs w:val="24"/>
          <w:lang w:eastAsia="zh-CN"/>
        </w:rPr>
        <w:t>付款条件一：提交预付款保函的</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640"/>
        <w:jc w:val="both"/>
        <w:rPr>
          <w:rFonts w:ascii="宋体" w:hAnsi="宋体" w:eastAsia="宋体" w:cs="宋体"/>
          <w:sz w:val="24"/>
          <w:szCs w:val="24"/>
          <w:lang w:eastAsia="zh-CN"/>
        </w:rPr>
      </w:pPr>
      <w:r>
        <w:rPr>
          <w:rFonts w:hint="eastAsia" w:ascii="宋体" w:hAnsi="宋体" w:eastAsia="宋体" w:cs="宋体"/>
          <w:sz w:val="24"/>
          <w:szCs w:val="24"/>
          <w:lang w:eastAsia="zh-CN"/>
        </w:rPr>
        <w:t>（1）合同签订且乙方向甲方出具预付款保函后</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个工作日内，甲方应支付合同价款的百分之</w:t>
      </w:r>
      <w:r>
        <w:rPr>
          <w:rFonts w:hint="eastAsia" w:ascii="宋体" w:hAnsi="宋体" w:eastAsia="宋体" w:cs="宋体"/>
          <w:sz w:val="24"/>
          <w:szCs w:val="24"/>
          <w:u w:val="single"/>
          <w:lang w:eastAsia="zh-CN"/>
        </w:rPr>
        <w:t>        XX（    XX%），</w:t>
      </w:r>
      <w:r>
        <w:rPr>
          <w:rFonts w:hint="eastAsia" w:ascii="宋体" w:hAnsi="宋体" w:eastAsia="宋体" w:cs="宋体"/>
          <w:sz w:val="24"/>
          <w:szCs w:val="24"/>
          <w:lang w:eastAsia="zh-CN"/>
        </w:rPr>
        <w:t>小写￥</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大写：人民币</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640"/>
        <w:jc w:val="both"/>
        <w:rPr>
          <w:rFonts w:ascii="宋体" w:hAnsi="宋体" w:eastAsia="宋体" w:cs="宋体"/>
          <w:sz w:val="24"/>
          <w:szCs w:val="24"/>
          <w:lang w:eastAsia="zh-CN"/>
        </w:rPr>
      </w:pPr>
      <w:r>
        <w:rPr>
          <w:rFonts w:hint="eastAsia" w:ascii="宋体" w:hAnsi="宋体" w:eastAsia="宋体" w:cs="宋体"/>
          <w:sz w:val="24"/>
          <w:szCs w:val="24"/>
          <w:lang w:eastAsia="zh-CN"/>
        </w:rPr>
        <w:t>乙方需提交的支付文件：乙方出具的全额正式发票。</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640"/>
        <w:jc w:val="both"/>
        <w:rPr>
          <w:rFonts w:ascii="宋体" w:hAnsi="宋体" w:eastAsia="宋体" w:cs="宋体"/>
          <w:sz w:val="24"/>
          <w:szCs w:val="24"/>
          <w:lang w:eastAsia="zh-CN"/>
        </w:rPr>
      </w:pPr>
      <w:r>
        <w:rPr>
          <w:rFonts w:hint="eastAsia" w:ascii="宋体" w:hAnsi="宋体" w:eastAsia="宋体" w:cs="宋体"/>
          <w:sz w:val="24"/>
          <w:szCs w:val="24"/>
          <w:lang w:eastAsia="zh-CN"/>
        </w:rPr>
        <w:t>（2）验收合格后</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个工作日内，甲方应支付合同价款的百分之</w:t>
      </w:r>
      <w:r>
        <w:rPr>
          <w:rFonts w:hint="eastAsia" w:ascii="宋体" w:hAnsi="宋体" w:eastAsia="宋体" w:cs="宋体"/>
          <w:sz w:val="24"/>
          <w:szCs w:val="24"/>
          <w:u w:val="single"/>
          <w:lang w:eastAsia="zh-CN"/>
        </w:rPr>
        <w:t>XX（    XX%），</w:t>
      </w:r>
      <w:r>
        <w:rPr>
          <w:rFonts w:hint="eastAsia" w:ascii="宋体" w:hAnsi="宋体" w:eastAsia="宋体" w:cs="宋体"/>
          <w:sz w:val="24"/>
          <w:szCs w:val="24"/>
          <w:lang w:eastAsia="zh-CN"/>
        </w:rPr>
        <w:t>小写￥</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大写：人民币</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643"/>
        <w:jc w:val="both"/>
        <w:rPr>
          <w:rFonts w:ascii="宋体" w:hAnsi="宋体" w:eastAsia="宋体" w:cs="宋体"/>
          <w:sz w:val="24"/>
          <w:szCs w:val="24"/>
          <w:lang w:eastAsia="zh-CN"/>
        </w:rPr>
      </w:pPr>
      <w:r>
        <w:rPr>
          <w:rFonts w:hint="eastAsia" w:ascii="宋体" w:hAnsi="宋体" w:eastAsia="宋体" w:cs="宋体"/>
          <w:b/>
          <w:sz w:val="24"/>
          <w:szCs w:val="24"/>
          <w:lang w:eastAsia="zh-CN"/>
        </w:rPr>
        <w:t>……</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643"/>
        <w:jc w:val="both"/>
        <w:rPr>
          <w:rFonts w:ascii="宋体" w:hAnsi="宋体" w:eastAsia="宋体" w:cs="宋体"/>
          <w:sz w:val="24"/>
          <w:szCs w:val="24"/>
          <w:lang w:eastAsia="zh-CN"/>
        </w:rPr>
      </w:pPr>
      <w:r>
        <w:rPr>
          <w:rFonts w:hint="eastAsia" w:ascii="宋体" w:hAnsi="宋体" w:eastAsia="宋体" w:cs="宋体"/>
          <w:b/>
          <w:sz w:val="24"/>
          <w:szCs w:val="24"/>
          <w:lang w:eastAsia="zh-CN"/>
        </w:rPr>
        <w:t>付款条件二：不提交预付款保函的</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640"/>
        <w:jc w:val="both"/>
        <w:rPr>
          <w:rFonts w:ascii="宋体" w:hAnsi="宋体" w:eastAsia="宋体" w:cs="宋体"/>
          <w:sz w:val="24"/>
          <w:szCs w:val="24"/>
          <w:lang w:eastAsia="zh-CN"/>
        </w:rPr>
      </w:pPr>
      <w:r>
        <w:rPr>
          <w:rFonts w:hint="eastAsia" w:ascii="宋体" w:hAnsi="宋体" w:eastAsia="宋体" w:cs="宋体"/>
          <w:sz w:val="24"/>
          <w:szCs w:val="24"/>
          <w:lang w:eastAsia="zh-CN"/>
        </w:rPr>
        <w:t>（1）合同签订后</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个工作日内，甲方应支付合同价款的百分之</w:t>
      </w:r>
      <w:r>
        <w:rPr>
          <w:rFonts w:hint="eastAsia" w:ascii="宋体" w:hAnsi="宋体" w:eastAsia="宋体" w:cs="宋体"/>
          <w:sz w:val="24"/>
          <w:szCs w:val="24"/>
          <w:u w:val="single"/>
          <w:lang w:eastAsia="zh-CN"/>
        </w:rPr>
        <w:t>XX（    XX%），</w:t>
      </w:r>
      <w:r>
        <w:rPr>
          <w:rFonts w:hint="eastAsia" w:ascii="宋体" w:hAnsi="宋体" w:eastAsia="宋体" w:cs="宋体"/>
          <w:sz w:val="24"/>
          <w:szCs w:val="24"/>
          <w:lang w:eastAsia="zh-CN"/>
        </w:rPr>
        <w:t>小写￥</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大写：人民币</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640"/>
        <w:jc w:val="both"/>
        <w:rPr>
          <w:rFonts w:ascii="宋体" w:hAnsi="宋体" w:eastAsia="宋体" w:cs="宋体"/>
          <w:sz w:val="24"/>
          <w:szCs w:val="24"/>
          <w:lang w:eastAsia="zh-CN"/>
        </w:rPr>
      </w:pPr>
      <w:r>
        <w:rPr>
          <w:rFonts w:hint="eastAsia" w:ascii="宋体" w:hAnsi="宋体" w:eastAsia="宋体" w:cs="宋体"/>
          <w:sz w:val="24"/>
          <w:szCs w:val="24"/>
          <w:lang w:eastAsia="zh-CN"/>
        </w:rPr>
        <w:t>乙方需提交的支付文件：乙方出具的全额正式发票。</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640"/>
        <w:jc w:val="both"/>
        <w:rPr>
          <w:rFonts w:ascii="宋体" w:hAnsi="宋体" w:eastAsia="宋体" w:cs="宋体"/>
          <w:sz w:val="24"/>
          <w:szCs w:val="24"/>
          <w:lang w:eastAsia="zh-CN"/>
        </w:rPr>
      </w:pPr>
      <w:r>
        <w:rPr>
          <w:rFonts w:hint="eastAsia" w:ascii="宋体" w:hAnsi="宋体" w:eastAsia="宋体" w:cs="宋体"/>
          <w:sz w:val="24"/>
          <w:szCs w:val="24"/>
          <w:lang w:eastAsia="zh-CN"/>
        </w:rPr>
        <w:t>（2）验收合格后</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个工作日内，甲方应支付合同价款的百分之</w:t>
      </w:r>
      <w:r>
        <w:rPr>
          <w:rFonts w:hint="eastAsia" w:ascii="宋体" w:hAnsi="宋体" w:eastAsia="宋体" w:cs="宋体"/>
          <w:sz w:val="24"/>
          <w:szCs w:val="24"/>
          <w:u w:val="single"/>
          <w:lang w:eastAsia="zh-CN"/>
        </w:rPr>
        <w:t>XX（    XX%），</w:t>
      </w:r>
      <w:r>
        <w:rPr>
          <w:rFonts w:hint="eastAsia" w:ascii="宋体" w:hAnsi="宋体" w:eastAsia="宋体" w:cs="宋体"/>
          <w:sz w:val="24"/>
          <w:szCs w:val="24"/>
          <w:lang w:eastAsia="zh-CN"/>
        </w:rPr>
        <w:t>小写￥</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大写：人民币</w:t>
      </w:r>
      <w:r>
        <w:rPr>
          <w:rFonts w:hint="eastAsia" w:ascii="宋体" w:hAnsi="宋体" w:eastAsia="宋体" w:cs="宋体"/>
          <w:sz w:val="24"/>
          <w:szCs w:val="24"/>
          <w:u w:val="single"/>
          <w:lang w:eastAsia="zh-CN"/>
        </w:rPr>
        <w:t>          </w:t>
      </w:r>
      <w:r>
        <w:rPr>
          <w:rFonts w:hint="eastAsia" w:ascii="宋体" w:hAnsi="宋体" w:eastAsia="宋体" w:cs="宋体"/>
          <w:sz w:val="24"/>
          <w:szCs w:val="24"/>
          <w:lang w:eastAsia="zh-CN"/>
        </w:rPr>
        <w:t>。</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643"/>
        <w:jc w:val="both"/>
        <w:rPr>
          <w:rFonts w:ascii="宋体" w:hAnsi="宋体" w:eastAsia="宋体" w:cs="宋体"/>
          <w:sz w:val="24"/>
          <w:szCs w:val="24"/>
          <w:lang w:eastAsia="zh-CN"/>
        </w:rPr>
      </w:pPr>
      <w:r>
        <w:rPr>
          <w:rFonts w:hint="eastAsia" w:ascii="宋体" w:hAnsi="宋体" w:eastAsia="宋体" w:cs="宋体"/>
          <w:b/>
          <w:sz w:val="24"/>
          <w:szCs w:val="24"/>
          <w:lang w:eastAsia="zh-CN"/>
        </w:rPr>
        <w:t>……</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643"/>
        <w:jc w:val="both"/>
        <w:rPr>
          <w:rFonts w:ascii="宋体" w:hAnsi="宋体" w:eastAsia="宋体" w:cs="宋体"/>
          <w:sz w:val="24"/>
          <w:szCs w:val="24"/>
          <w:lang w:eastAsia="zh-CN"/>
        </w:rPr>
      </w:pPr>
      <w:r>
        <w:rPr>
          <w:rFonts w:hint="eastAsia" w:ascii="宋体" w:hAnsi="宋体" w:eastAsia="宋体" w:cs="宋体"/>
          <w:b/>
          <w:sz w:val="24"/>
          <w:szCs w:val="24"/>
          <w:lang w:eastAsia="zh-CN"/>
        </w:rPr>
        <w:t>注:</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640"/>
        <w:jc w:val="both"/>
        <w:rPr>
          <w:rFonts w:ascii="宋体" w:hAnsi="宋体" w:eastAsia="宋体" w:cs="宋体"/>
          <w:sz w:val="24"/>
          <w:szCs w:val="24"/>
          <w:lang w:eastAsia="zh-CN"/>
        </w:rPr>
      </w:pPr>
      <w:r>
        <w:rPr>
          <w:rFonts w:hint="eastAsia" w:ascii="宋体" w:hAnsi="宋体" w:eastAsia="宋体" w:cs="宋体"/>
          <w:sz w:val="24"/>
          <w:szCs w:val="24"/>
          <w:lang w:eastAsia="zh-CN"/>
        </w:rPr>
        <w:t>1、付款条件一中，出具预付款保函后支付的合同款应当与保函金额一致。</w:t>
      </w:r>
    </w:p>
    <w:p>
      <w:pPr>
        <w:pBdr>
          <w:top w:val="none" w:color="000000" w:sz="0" w:space="0"/>
          <w:left w:val="none" w:color="000000" w:sz="0" w:space="0"/>
          <w:bottom w:val="none" w:color="000000" w:sz="0" w:space="0"/>
          <w:right w:val="none" w:color="000000" w:sz="0" w:space="0"/>
        </w:pBdr>
        <w:adjustRightInd w:val="0"/>
        <w:snapToGrid w:val="0"/>
        <w:spacing w:before="220" w:after="0" w:line="250" w:lineRule="atLeast"/>
        <w:ind w:firstLine="640"/>
        <w:jc w:val="both"/>
        <w:rPr>
          <w:rFonts w:ascii="宋体" w:hAnsi="宋体" w:eastAsia="宋体" w:cs="宋体"/>
          <w:b/>
          <w:bCs/>
          <w:sz w:val="24"/>
          <w:szCs w:val="24"/>
          <w:lang w:eastAsia="zh-CN"/>
        </w:rPr>
      </w:pPr>
      <w:r>
        <w:rPr>
          <w:rFonts w:hint="eastAsia" w:ascii="宋体" w:hAnsi="宋体" w:eastAsia="宋体" w:cs="宋体"/>
          <w:sz w:val="24"/>
          <w:szCs w:val="24"/>
          <w:lang w:eastAsia="zh-CN"/>
        </w:rPr>
        <w:t>2、付款条件二中，预付款比例设定应符合《关于做好政府采购支持企业发展有关事项的通知》(苏财购〔2020〕52号)要求。</w:t>
      </w:r>
    </w:p>
    <w:p>
      <w:pPr>
        <w:rPr>
          <w:rFonts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adjustRightInd w:val="0"/>
        <w:snapToGrid w:val="0"/>
        <w:spacing w:line="400" w:lineRule="atLeast"/>
        <w:jc w:val="center"/>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15、人员配置表</w:t>
      </w:r>
    </w:p>
    <w:p>
      <w:pPr>
        <w:adjustRightInd w:val="0"/>
        <w:snapToGrid w:val="0"/>
        <w:spacing w:line="360" w:lineRule="auto"/>
        <w:rPr>
          <w:rFonts w:ascii="宋体" w:hAnsi="宋体" w:eastAsia="宋体" w:cs="宋体"/>
          <w:bCs/>
          <w:sz w:val="24"/>
          <w:szCs w:val="24"/>
          <w:lang w:eastAsia="zh-CN"/>
        </w:rPr>
      </w:pPr>
    </w:p>
    <w:p>
      <w:pPr>
        <w:adjustRightInd w:val="0"/>
        <w:snapToGrid w:val="0"/>
        <w:spacing w:line="360" w:lineRule="auto"/>
        <w:ind w:firstLine="360"/>
        <w:rPr>
          <w:rFonts w:ascii="宋体" w:hAnsi="宋体" w:eastAsia="宋体" w:cs="宋体"/>
          <w:sz w:val="24"/>
          <w:szCs w:val="24"/>
          <w:lang w:eastAsia="zh-CN"/>
        </w:rPr>
      </w:pPr>
      <w:bookmarkStart w:id="23" w:name="_Toc2235"/>
      <w:bookmarkStart w:id="24" w:name="_Toc30152"/>
      <w:bookmarkStart w:id="25" w:name="_Toc3027"/>
      <w:bookmarkStart w:id="26" w:name="_Toc4714"/>
      <w:r>
        <w:rPr>
          <w:rFonts w:hint="eastAsia" w:ascii="宋体" w:hAnsi="宋体" w:eastAsia="宋体" w:cs="宋体"/>
          <w:sz w:val="24"/>
          <w:szCs w:val="24"/>
          <w:lang w:eastAsia="zh-CN"/>
        </w:rPr>
        <w:t>供应商名称</w:t>
      </w:r>
      <w:bookmarkEnd w:id="23"/>
      <w:bookmarkEnd w:id="24"/>
      <w:bookmarkEnd w:id="25"/>
      <w:bookmarkEnd w:id="26"/>
      <w:r>
        <w:rPr>
          <w:rFonts w:hint="eastAsia" w:ascii="宋体" w:hAnsi="宋体" w:eastAsia="宋体" w:cs="宋体"/>
          <w:sz w:val="24"/>
          <w:szCs w:val="24"/>
          <w:lang w:eastAsia="zh-CN"/>
        </w:rPr>
        <w:t xml:space="preserve">：                               </w:t>
      </w:r>
    </w:p>
    <w:tbl>
      <w:tblPr>
        <w:tblStyle w:val="5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023"/>
        <w:gridCol w:w="1637"/>
        <w:gridCol w:w="1013"/>
        <w:gridCol w:w="1013"/>
        <w:gridCol w:w="1013"/>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1" w:type="dxa"/>
            <w:vAlign w:val="center"/>
          </w:tcPr>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序号</w:t>
            </w:r>
          </w:p>
        </w:tc>
        <w:tc>
          <w:tcPr>
            <w:tcW w:w="1023" w:type="dxa"/>
            <w:vAlign w:val="center"/>
          </w:tcPr>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姓名</w:t>
            </w:r>
          </w:p>
        </w:tc>
        <w:tc>
          <w:tcPr>
            <w:tcW w:w="1637" w:type="dxa"/>
            <w:vAlign w:val="center"/>
          </w:tcPr>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身份证号</w:t>
            </w:r>
          </w:p>
        </w:tc>
        <w:tc>
          <w:tcPr>
            <w:tcW w:w="1013" w:type="dxa"/>
            <w:vAlign w:val="center"/>
          </w:tcPr>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专业</w:t>
            </w:r>
          </w:p>
        </w:tc>
        <w:tc>
          <w:tcPr>
            <w:tcW w:w="1013" w:type="dxa"/>
            <w:vAlign w:val="center"/>
          </w:tcPr>
          <w:p>
            <w:pPr>
              <w:adjustRightInd w:val="0"/>
              <w:snapToGrid w:val="0"/>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证书</w:t>
            </w:r>
          </w:p>
        </w:tc>
        <w:tc>
          <w:tcPr>
            <w:tcW w:w="1013" w:type="dxa"/>
            <w:vAlign w:val="center"/>
          </w:tcPr>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工龄</w:t>
            </w:r>
          </w:p>
        </w:tc>
        <w:tc>
          <w:tcPr>
            <w:tcW w:w="1892" w:type="dxa"/>
            <w:vAlign w:val="center"/>
          </w:tcPr>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本次拟任职务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1" w:type="dxa"/>
            <w:vAlign w:val="center"/>
          </w:tcPr>
          <w:p>
            <w:pPr>
              <w:adjustRightInd w:val="0"/>
              <w:snapToGrid w:val="0"/>
              <w:spacing w:line="360" w:lineRule="auto"/>
              <w:rPr>
                <w:rFonts w:ascii="宋体" w:hAnsi="宋体" w:eastAsia="宋体" w:cs="宋体"/>
                <w:sz w:val="24"/>
                <w:szCs w:val="24"/>
              </w:rPr>
            </w:pPr>
          </w:p>
        </w:tc>
        <w:tc>
          <w:tcPr>
            <w:tcW w:w="1023" w:type="dxa"/>
            <w:vAlign w:val="center"/>
          </w:tcPr>
          <w:p>
            <w:pPr>
              <w:adjustRightInd w:val="0"/>
              <w:snapToGrid w:val="0"/>
              <w:spacing w:line="360" w:lineRule="auto"/>
              <w:rPr>
                <w:rFonts w:ascii="宋体" w:hAnsi="宋体" w:eastAsia="宋体" w:cs="宋体"/>
                <w:sz w:val="24"/>
                <w:szCs w:val="24"/>
              </w:rPr>
            </w:pPr>
          </w:p>
        </w:tc>
        <w:tc>
          <w:tcPr>
            <w:tcW w:w="1637" w:type="dxa"/>
            <w:vAlign w:val="center"/>
          </w:tcPr>
          <w:p>
            <w:pPr>
              <w:adjustRightInd w:val="0"/>
              <w:snapToGrid w:val="0"/>
              <w:spacing w:line="360" w:lineRule="auto"/>
              <w:rPr>
                <w:rFonts w:ascii="宋体" w:hAnsi="宋体" w:eastAsia="宋体" w:cs="宋体"/>
                <w:sz w:val="24"/>
                <w:szCs w:val="24"/>
              </w:rPr>
            </w:pPr>
          </w:p>
        </w:tc>
        <w:tc>
          <w:tcPr>
            <w:tcW w:w="1013" w:type="dxa"/>
            <w:vAlign w:val="center"/>
          </w:tcPr>
          <w:p>
            <w:pPr>
              <w:adjustRightInd w:val="0"/>
              <w:snapToGrid w:val="0"/>
              <w:spacing w:line="360" w:lineRule="auto"/>
              <w:rPr>
                <w:rFonts w:ascii="宋体" w:hAnsi="宋体" w:eastAsia="宋体" w:cs="宋体"/>
                <w:sz w:val="24"/>
                <w:szCs w:val="24"/>
              </w:rPr>
            </w:pPr>
          </w:p>
        </w:tc>
        <w:tc>
          <w:tcPr>
            <w:tcW w:w="1013" w:type="dxa"/>
            <w:vAlign w:val="center"/>
          </w:tcPr>
          <w:p>
            <w:pPr>
              <w:adjustRightInd w:val="0"/>
              <w:snapToGrid w:val="0"/>
              <w:spacing w:line="360" w:lineRule="auto"/>
              <w:rPr>
                <w:rFonts w:ascii="宋体" w:hAnsi="宋体" w:eastAsia="宋体" w:cs="宋体"/>
                <w:sz w:val="24"/>
                <w:szCs w:val="24"/>
              </w:rPr>
            </w:pPr>
          </w:p>
        </w:tc>
        <w:tc>
          <w:tcPr>
            <w:tcW w:w="1013" w:type="dxa"/>
            <w:vAlign w:val="center"/>
          </w:tcPr>
          <w:p>
            <w:pPr>
              <w:adjustRightInd w:val="0"/>
              <w:snapToGrid w:val="0"/>
              <w:spacing w:line="360" w:lineRule="auto"/>
              <w:rPr>
                <w:rFonts w:ascii="宋体" w:hAnsi="宋体" w:eastAsia="宋体" w:cs="宋体"/>
                <w:sz w:val="24"/>
                <w:szCs w:val="24"/>
              </w:rPr>
            </w:pPr>
          </w:p>
        </w:tc>
        <w:tc>
          <w:tcPr>
            <w:tcW w:w="1892" w:type="dxa"/>
            <w:vAlign w:val="center"/>
          </w:tcPr>
          <w:p>
            <w:pPr>
              <w:adjustRightInd w:val="0"/>
              <w:snapToGri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1" w:type="dxa"/>
            <w:vAlign w:val="center"/>
          </w:tcPr>
          <w:p>
            <w:pPr>
              <w:adjustRightInd w:val="0"/>
              <w:snapToGrid w:val="0"/>
              <w:spacing w:line="360" w:lineRule="auto"/>
              <w:rPr>
                <w:rFonts w:ascii="宋体" w:hAnsi="宋体" w:eastAsia="宋体" w:cs="宋体"/>
                <w:sz w:val="24"/>
                <w:szCs w:val="24"/>
              </w:rPr>
            </w:pPr>
          </w:p>
        </w:tc>
        <w:tc>
          <w:tcPr>
            <w:tcW w:w="1023" w:type="dxa"/>
            <w:vAlign w:val="center"/>
          </w:tcPr>
          <w:p>
            <w:pPr>
              <w:adjustRightInd w:val="0"/>
              <w:snapToGrid w:val="0"/>
              <w:spacing w:line="360" w:lineRule="auto"/>
              <w:rPr>
                <w:rFonts w:ascii="宋体" w:hAnsi="宋体" w:eastAsia="宋体" w:cs="宋体"/>
                <w:sz w:val="24"/>
                <w:szCs w:val="24"/>
              </w:rPr>
            </w:pPr>
          </w:p>
        </w:tc>
        <w:tc>
          <w:tcPr>
            <w:tcW w:w="1637" w:type="dxa"/>
            <w:vAlign w:val="center"/>
          </w:tcPr>
          <w:p>
            <w:pPr>
              <w:adjustRightInd w:val="0"/>
              <w:snapToGrid w:val="0"/>
              <w:spacing w:line="360" w:lineRule="auto"/>
              <w:rPr>
                <w:rFonts w:ascii="宋体" w:hAnsi="宋体" w:eastAsia="宋体" w:cs="宋体"/>
                <w:sz w:val="24"/>
                <w:szCs w:val="24"/>
              </w:rPr>
            </w:pPr>
          </w:p>
        </w:tc>
        <w:tc>
          <w:tcPr>
            <w:tcW w:w="1013" w:type="dxa"/>
            <w:vAlign w:val="center"/>
          </w:tcPr>
          <w:p>
            <w:pPr>
              <w:adjustRightInd w:val="0"/>
              <w:snapToGrid w:val="0"/>
              <w:spacing w:line="360" w:lineRule="auto"/>
              <w:rPr>
                <w:rFonts w:ascii="宋体" w:hAnsi="宋体" w:eastAsia="宋体" w:cs="宋体"/>
                <w:sz w:val="24"/>
                <w:szCs w:val="24"/>
              </w:rPr>
            </w:pPr>
          </w:p>
        </w:tc>
        <w:tc>
          <w:tcPr>
            <w:tcW w:w="1013" w:type="dxa"/>
            <w:vAlign w:val="center"/>
          </w:tcPr>
          <w:p>
            <w:pPr>
              <w:adjustRightInd w:val="0"/>
              <w:snapToGrid w:val="0"/>
              <w:spacing w:line="360" w:lineRule="auto"/>
              <w:rPr>
                <w:rFonts w:ascii="宋体" w:hAnsi="宋体" w:eastAsia="宋体" w:cs="宋体"/>
                <w:sz w:val="24"/>
                <w:szCs w:val="24"/>
              </w:rPr>
            </w:pPr>
          </w:p>
        </w:tc>
        <w:tc>
          <w:tcPr>
            <w:tcW w:w="1013" w:type="dxa"/>
            <w:vAlign w:val="center"/>
          </w:tcPr>
          <w:p>
            <w:pPr>
              <w:adjustRightInd w:val="0"/>
              <w:snapToGrid w:val="0"/>
              <w:spacing w:line="360" w:lineRule="auto"/>
              <w:rPr>
                <w:rFonts w:ascii="宋体" w:hAnsi="宋体" w:eastAsia="宋体" w:cs="宋体"/>
                <w:sz w:val="24"/>
                <w:szCs w:val="24"/>
              </w:rPr>
            </w:pPr>
          </w:p>
        </w:tc>
        <w:tc>
          <w:tcPr>
            <w:tcW w:w="1892" w:type="dxa"/>
            <w:vAlign w:val="center"/>
          </w:tcPr>
          <w:p>
            <w:pPr>
              <w:adjustRightInd w:val="0"/>
              <w:snapToGri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1" w:type="dxa"/>
            <w:vAlign w:val="center"/>
          </w:tcPr>
          <w:p>
            <w:pPr>
              <w:adjustRightInd w:val="0"/>
              <w:snapToGrid w:val="0"/>
              <w:spacing w:line="360" w:lineRule="auto"/>
              <w:rPr>
                <w:rFonts w:ascii="宋体" w:hAnsi="宋体" w:eastAsia="宋体" w:cs="宋体"/>
                <w:sz w:val="24"/>
                <w:szCs w:val="24"/>
              </w:rPr>
            </w:pPr>
          </w:p>
        </w:tc>
        <w:tc>
          <w:tcPr>
            <w:tcW w:w="1023" w:type="dxa"/>
            <w:vAlign w:val="center"/>
          </w:tcPr>
          <w:p>
            <w:pPr>
              <w:adjustRightInd w:val="0"/>
              <w:snapToGrid w:val="0"/>
              <w:spacing w:line="360" w:lineRule="auto"/>
              <w:rPr>
                <w:rFonts w:ascii="宋体" w:hAnsi="宋体" w:eastAsia="宋体" w:cs="宋体"/>
                <w:sz w:val="24"/>
                <w:szCs w:val="24"/>
              </w:rPr>
            </w:pPr>
          </w:p>
        </w:tc>
        <w:tc>
          <w:tcPr>
            <w:tcW w:w="1637" w:type="dxa"/>
            <w:vAlign w:val="center"/>
          </w:tcPr>
          <w:p>
            <w:pPr>
              <w:adjustRightInd w:val="0"/>
              <w:snapToGrid w:val="0"/>
              <w:spacing w:line="360" w:lineRule="auto"/>
              <w:rPr>
                <w:rFonts w:ascii="宋体" w:hAnsi="宋体" w:eastAsia="宋体" w:cs="宋体"/>
                <w:sz w:val="24"/>
                <w:szCs w:val="24"/>
              </w:rPr>
            </w:pPr>
          </w:p>
        </w:tc>
        <w:tc>
          <w:tcPr>
            <w:tcW w:w="1013" w:type="dxa"/>
            <w:vAlign w:val="center"/>
          </w:tcPr>
          <w:p>
            <w:pPr>
              <w:adjustRightInd w:val="0"/>
              <w:snapToGrid w:val="0"/>
              <w:spacing w:line="360" w:lineRule="auto"/>
              <w:rPr>
                <w:rFonts w:ascii="宋体" w:hAnsi="宋体" w:eastAsia="宋体" w:cs="宋体"/>
                <w:sz w:val="24"/>
                <w:szCs w:val="24"/>
              </w:rPr>
            </w:pPr>
          </w:p>
        </w:tc>
        <w:tc>
          <w:tcPr>
            <w:tcW w:w="1013" w:type="dxa"/>
            <w:vAlign w:val="center"/>
          </w:tcPr>
          <w:p>
            <w:pPr>
              <w:adjustRightInd w:val="0"/>
              <w:snapToGrid w:val="0"/>
              <w:spacing w:line="360" w:lineRule="auto"/>
              <w:rPr>
                <w:rFonts w:ascii="宋体" w:hAnsi="宋体" w:eastAsia="宋体" w:cs="宋体"/>
                <w:sz w:val="24"/>
                <w:szCs w:val="24"/>
              </w:rPr>
            </w:pPr>
          </w:p>
        </w:tc>
        <w:tc>
          <w:tcPr>
            <w:tcW w:w="1013" w:type="dxa"/>
            <w:vAlign w:val="center"/>
          </w:tcPr>
          <w:p>
            <w:pPr>
              <w:adjustRightInd w:val="0"/>
              <w:snapToGrid w:val="0"/>
              <w:spacing w:line="360" w:lineRule="auto"/>
              <w:rPr>
                <w:rFonts w:ascii="宋体" w:hAnsi="宋体" w:eastAsia="宋体" w:cs="宋体"/>
                <w:sz w:val="24"/>
                <w:szCs w:val="24"/>
              </w:rPr>
            </w:pPr>
          </w:p>
        </w:tc>
        <w:tc>
          <w:tcPr>
            <w:tcW w:w="1892" w:type="dxa"/>
            <w:vAlign w:val="center"/>
          </w:tcPr>
          <w:p>
            <w:pPr>
              <w:adjustRightInd w:val="0"/>
              <w:snapToGrid w:val="0"/>
              <w:spacing w:line="360" w:lineRule="auto"/>
              <w:rPr>
                <w:rFonts w:ascii="宋体" w:hAnsi="宋体" w:eastAsia="宋体" w:cs="宋体"/>
                <w:sz w:val="24"/>
                <w:szCs w:val="24"/>
              </w:rPr>
            </w:pPr>
          </w:p>
        </w:tc>
      </w:tr>
    </w:tbl>
    <w:p>
      <w:pPr>
        <w:adjustRightInd w:val="0"/>
        <w:snapToGrid w:val="0"/>
        <w:spacing w:line="360" w:lineRule="auto"/>
        <w:rPr>
          <w:rFonts w:ascii="宋体" w:hAnsi="宋体" w:eastAsia="宋体" w:cs="宋体"/>
          <w:sz w:val="24"/>
          <w:szCs w:val="24"/>
        </w:rPr>
      </w:pPr>
    </w:p>
    <w:p>
      <w:pPr>
        <w:pStyle w:val="74"/>
        <w:adjustRightInd w:val="0"/>
        <w:snapToGrid w:val="0"/>
        <w:rPr>
          <w:rFonts w:ascii="宋体" w:hAnsi="宋体" w:cs="宋体"/>
          <w:color w:val="auto"/>
        </w:rPr>
      </w:pPr>
    </w:p>
    <w:p>
      <w:pPr>
        <w:adjustRightInd w:val="0"/>
        <w:snapToGrid w:val="0"/>
        <w:spacing w:line="300" w:lineRule="auto"/>
        <w:ind w:firstLine="3600"/>
        <w:rPr>
          <w:rFonts w:ascii="宋体" w:hAnsi="宋体" w:eastAsia="宋体" w:cs="宋体"/>
          <w:sz w:val="24"/>
          <w:szCs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（盖单位电子签章）</w:t>
      </w:r>
    </w:p>
    <w:p>
      <w:pPr>
        <w:adjustRightInd w:val="0"/>
        <w:snapToGrid w:val="0"/>
        <w:spacing w:line="360" w:lineRule="auto"/>
        <w:rPr>
          <w:rFonts w:ascii="宋体" w:hAnsi="宋体" w:eastAsia="宋体" w:cs="宋体"/>
          <w:sz w:val="24"/>
          <w:szCs w:val="24"/>
          <w:lang w:eastAsia="zh-CN"/>
        </w:rPr>
      </w:pPr>
    </w:p>
    <w:p>
      <w:pPr>
        <w:adjustRightInd w:val="0"/>
        <w:snapToGrid w:val="0"/>
        <w:spacing w:line="300" w:lineRule="auto"/>
        <w:ind w:firstLine="840"/>
        <w:rPr>
          <w:rFonts w:ascii="宋体" w:hAnsi="宋体" w:eastAsia="宋体" w:cs="宋体"/>
          <w:sz w:val="24"/>
          <w:szCs w:val="24"/>
          <w:lang w:eastAsia="zh-CN"/>
        </w:rPr>
      </w:pPr>
      <w:r>
        <w:rPr>
          <w:rFonts w:hint="eastAsia" w:ascii="宋体" w:hAnsi="宋体" w:eastAsia="宋体" w:cs="宋体"/>
          <w:sz w:val="24"/>
          <w:szCs w:val="24"/>
          <w:lang w:eastAsia="zh-CN"/>
        </w:rPr>
        <w:t>法定代表人或法定代表人授权代表：</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（签字或盖章）  </w:t>
      </w:r>
    </w:p>
    <w:p>
      <w:pPr>
        <w:adjustRightInd w:val="0"/>
        <w:snapToGrid w:val="0"/>
        <w:spacing w:line="360" w:lineRule="auto"/>
        <w:rPr>
          <w:rFonts w:ascii="宋体" w:hAnsi="宋体" w:eastAsia="宋体" w:cs="宋体"/>
          <w:sz w:val="24"/>
          <w:szCs w:val="24"/>
          <w:lang w:eastAsia="zh-CN"/>
        </w:rPr>
      </w:pPr>
    </w:p>
    <w:p>
      <w:pPr>
        <w:adjustRightInd w:val="0"/>
        <w:snapToGrid w:val="0"/>
        <w:spacing w:line="360" w:lineRule="auto"/>
        <w:rPr>
          <w:rFonts w:ascii="宋体" w:hAnsi="宋体" w:eastAsia="宋体" w:cs="宋体"/>
          <w:sz w:val="24"/>
          <w:szCs w:val="24"/>
          <w:lang w:eastAsia="zh-CN"/>
        </w:rPr>
      </w:pPr>
      <w:bookmarkStart w:id="27" w:name="_Toc31626"/>
      <w:bookmarkStart w:id="28" w:name="_Toc14506"/>
      <w:bookmarkStart w:id="29" w:name="_Toc191"/>
      <w:bookmarkStart w:id="30" w:name="_Toc23038"/>
      <w:r>
        <w:rPr>
          <w:rFonts w:hint="eastAsia" w:ascii="宋体" w:hAnsi="宋体" w:eastAsia="宋体" w:cs="宋体"/>
          <w:sz w:val="24"/>
          <w:szCs w:val="24"/>
          <w:lang w:eastAsia="zh-CN"/>
        </w:rPr>
        <w:t>注：1.表格不够可自行延长。</w:t>
      </w:r>
      <w:bookmarkEnd w:id="27"/>
      <w:bookmarkEnd w:id="28"/>
      <w:bookmarkEnd w:id="29"/>
      <w:bookmarkEnd w:id="30"/>
    </w:p>
    <w:p>
      <w:pPr>
        <w:adjustRightInd w:val="0"/>
        <w:snapToGrid w:val="0"/>
        <w:spacing w:line="360" w:lineRule="auto"/>
        <w:ind w:firstLine="480"/>
        <w:rPr>
          <w:rFonts w:ascii="宋体" w:hAnsi="宋体" w:eastAsia="宋体" w:cs="宋体"/>
          <w:bCs/>
          <w:sz w:val="24"/>
          <w:szCs w:val="24"/>
          <w:lang w:eastAsia="zh-CN"/>
        </w:rPr>
      </w:pPr>
      <w:r>
        <w:rPr>
          <w:rFonts w:hint="eastAsia" w:ascii="宋体" w:hAnsi="宋体" w:eastAsia="宋体" w:cs="宋体"/>
          <w:bCs/>
          <w:sz w:val="24"/>
          <w:szCs w:val="24"/>
          <w:lang w:eastAsia="zh-CN"/>
        </w:rPr>
        <w:t>2.上表内容须提供相应人员由社保机构出具的社保缴费证明原件或网上查询带有二维码的打印件加盖公章复印件和证书复印件等作为填列证明材料，证明材料附在本表之后；具体要求可参考评分细则。</w:t>
      </w:r>
    </w:p>
    <w:p>
      <w:pPr>
        <w:adjustRightInd w:val="0"/>
        <w:snapToGrid w:val="0"/>
        <w:rPr>
          <w:rFonts w:ascii="宋体" w:hAnsi="宋体" w:eastAsia="宋体" w:cs="宋体"/>
          <w:sz w:val="24"/>
          <w:szCs w:val="24"/>
          <w:lang w:eastAsia="zh-CN"/>
        </w:rPr>
      </w:pPr>
    </w:p>
    <w:p>
      <w:pPr>
        <w:rPr>
          <w:rFonts w:asciiTheme="minorEastAsia" w:hAnsiTheme="minorEastAsia" w:eastAsiaTheme="minorEastAsia" w:cstheme="minorEastAsia"/>
          <w:lang w:eastAsia="zh-CN"/>
        </w:rPr>
      </w:pPr>
    </w:p>
    <w:sectPr>
      <w:footerReference r:id="rId6" w:type="default"/>
      <w:pgSz w:w="11906" w:h="16838"/>
      <w:pgMar w:top="1440" w:right="1800" w:bottom="1440" w:left="1800" w:header="709" w:footer="709"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153"/>
        <w:tab w:val="right" w:pos="8306"/>
        <w:tab w:val="clear" w:pos="7143"/>
        <w:tab w:val="clear" w:pos="14287"/>
      </w:tabs>
      <w:jc w:val="center"/>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153"/>
        <w:tab w:val="right" w:pos="8306"/>
        <w:tab w:val="clear" w:pos="7143"/>
        <w:tab w:val="clear" w:pos="14287"/>
      </w:tabs>
      <w:jc w:val="center"/>
      <w:rPr>
        <w:rFonts w:ascii="宋体" w:hAnsi="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153"/>
        <w:tab w:val="right" w:pos="8306"/>
        <w:tab w:val="clear" w:pos="7143"/>
        <w:tab w:val="clear" w:pos="14287"/>
      </w:tabs>
      <w:jc w:val="center"/>
      <w:rPr>
        <w:rFonts w:ascii="宋体" w:hAnsi="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9642A"/>
    <w:multiLevelType w:val="singleLevel"/>
    <w:tmpl w:val="9AC9642A"/>
    <w:lvl w:ilvl="0" w:tentative="0">
      <w:start w:val="1"/>
      <w:numFmt w:val="decimal"/>
      <w:suff w:val="nothing"/>
      <w:lvlText w:val="%1、"/>
      <w:lvlJc w:val="left"/>
    </w:lvl>
  </w:abstractNum>
  <w:abstractNum w:abstractNumId="1">
    <w:nsid w:val="B0F1ACD9"/>
    <w:multiLevelType w:val="multilevel"/>
    <w:tmpl w:val="B0F1ACD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B5E306ED"/>
    <w:multiLevelType w:val="multilevel"/>
    <w:tmpl w:val="B5E306ED"/>
    <w:lvl w:ilvl="0" w:tentative="0">
      <w:start w:val="1"/>
      <w:numFmt w:val="bullet"/>
      <w:lvlText w:val="·"/>
      <w:lvlJc w:val="left"/>
      <w:pPr>
        <w:ind w:left="720" w:hanging="360"/>
      </w:pPr>
      <w:rPr>
        <w:rFonts w:hint="default" w:ascii="Symbol" w:hAnsi="Symbol" w:eastAsia="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629F7852"/>
    <w:multiLevelType w:val="multilevel"/>
    <w:tmpl w:val="629F7852"/>
    <w:lvl w:ilvl="0" w:tentative="0">
      <w:start w:val="2"/>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708"/>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OWJlYjkzNWFkZWM3MDYzNDA5ZDk0ZDAxMmQxZTcifQ=="/>
  </w:docVars>
  <w:rsids>
    <w:rsidRoot w:val="00641FDC"/>
    <w:rsid w:val="001A4922"/>
    <w:rsid w:val="002D2D7F"/>
    <w:rsid w:val="00340935"/>
    <w:rsid w:val="004810C2"/>
    <w:rsid w:val="004D67A0"/>
    <w:rsid w:val="00641FDC"/>
    <w:rsid w:val="0075466E"/>
    <w:rsid w:val="008A1C78"/>
    <w:rsid w:val="009D0F87"/>
    <w:rsid w:val="00A71F93"/>
    <w:rsid w:val="00AE3C45"/>
    <w:rsid w:val="00B36B98"/>
    <w:rsid w:val="00CD6049"/>
    <w:rsid w:val="00D873A5"/>
    <w:rsid w:val="00E02C48"/>
    <w:rsid w:val="00EB3372"/>
    <w:rsid w:val="021B06EA"/>
    <w:rsid w:val="0C9A6F08"/>
    <w:rsid w:val="0CE916F8"/>
    <w:rsid w:val="0D6B73A4"/>
    <w:rsid w:val="0DED346A"/>
    <w:rsid w:val="0FF22EB8"/>
    <w:rsid w:val="11302AEB"/>
    <w:rsid w:val="11776467"/>
    <w:rsid w:val="11BB161E"/>
    <w:rsid w:val="132F0E92"/>
    <w:rsid w:val="140733DA"/>
    <w:rsid w:val="143C4803"/>
    <w:rsid w:val="15246F8A"/>
    <w:rsid w:val="16AF67D5"/>
    <w:rsid w:val="16C32B81"/>
    <w:rsid w:val="18383652"/>
    <w:rsid w:val="18F90A26"/>
    <w:rsid w:val="1D3B0779"/>
    <w:rsid w:val="1E122A78"/>
    <w:rsid w:val="1EAB2CC9"/>
    <w:rsid w:val="210C6D45"/>
    <w:rsid w:val="22572484"/>
    <w:rsid w:val="255B4D05"/>
    <w:rsid w:val="28362266"/>
    <w:rsid w:val="29251B0A"/>
    <w:rsid w:val="2EF73CF0"/>
    <w:rsid w:val="2FB366E1"/>
    <w:rsid w:val="31825234"/>
    <w:rsid w:val="3365523B"/>
    <w:rsid w:val="363C023B"/>
    <w:rsid w:val="37C11DE9"/>
    <w:rsid w:val="37CC7A42"/>
    <w:rsid w:val="390C5FB4"/>
    <w:rsid w:val="391A7D84"/>
    <w:rsid w:val="3A34721F"/>
    <w:rsid w:val="3DB32E05"/>
    <w:rsid w:val="3EF61A5C"/>
    <w:rsid w:val="3FCF1781"/>
    <w:rsid w:val="412A5F49"/>
    <w:rsid w:val="42D21C18"/>
    <w:rsid w:val="450E5498"/>
    <w:rsid w:val="45F05171"/>
    <w:rsid w:val="4AB44FF8"/>
    <w:rsid w:val="4AE747E6"/>
    <w:rsid w:val="4C243955"/>
    <w:rsid w:val="4E1E253B"/>
    <w:rsid w:val="51463D38"/>
    <w:rsid w:val="51D574F1"/>
    <w:rsid w:val="57F4318D"/>
    <w:rsid w:val="5A040516"/>
    <w:rsid w:val="5B500A9F"/>
    <w:rsid w:val="5BB405B6"/>
    <w:rsid w:val="5DA91200"/>
    <w:rsid w:val="612824B4"/>
    <w:rsid w:val="64297E74"/>
    <w:rsid w:val="646C03CC"/>
    <w:rsid w:val="67746ECC"/>
    <w:rsid w:val="6ADE3093"/>
    <w:rsid w:val="6DDC3D38"/>
    <w:rsid w:val="6DFB1AFE"/>
    <w:rsid w:val="6E24738D"/>
    <w:rsid w:val="6F474601"/>
    <w:rsid w:val="6FC47AFA"/>
    <w:rsid w:val="709D12FB"/>
    <w:rsid w:val="755F70BA"/>
    <w:rsid w:val="781C639F"/>
    <w:rsid w:val="7A220ADB"/>
    <w:rsid w:val="7A616C98"/>
    <w:rsid w:val="7F9E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qFormat="1" w:uiPriority="0"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99" w:name="Normal Indent"/>
    <w:lsdException w:qFormat="1"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iPriority="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5">
    <w:name w:val="heading 1"/>
    <w:basedOn w:val="1"/>
    <w:next w:val="1"/>
    <w:link w:val="77"/>
    <w:qFormat/>
    <w:uiPriority w:val="0"/>
    <w:pPr>
      <w:keepNext/>
      <w:keepLines/>
      <w:spacing w:before="480"/>
      <w:outlineLvl w:val="0"/>
    </w:pPr>
    <w:rPr>
      <w:rFonts w:ascii="Arial" w:hAnsi="Arial" w:eastAsia="Arial" w:cs="Arial"/>
      <w:sz w:val="40"/>
      <w:szCs w:val="40"/>
    </w:rPr>
  </w:style>
  <w:style w:type="paragraph" w:styleId="6">
    <w:name w:val="heading 2"/>
    <w:basedOn w:val="1"/>
    <w:next w:val="1"/>
    <w:link w:val="78"/>
    <w:unhideWhenUsed/>
    <w:qFormat/>
    <w:uiPriority w:val="0"/>
    <w:pPr>
      <w:keepNext/>
      <w:keepLines/>
      <w:spacing w:before="360"/>
      <w:outlineLvl w:val="1"/>
    </w:pPr>
    <w:rPr>
      <w:rFonts w:ascii="Arial" w:hAnsi="Arial" w:eastAsia="Arial" w:cs="Arial"/>
      <w:sz w:val="34"/>
    </w:rPr>
  </w:style>
  <w:style w:type="paragraph" w:styleId="7">
    <w:name w:val="heading 3"/>
    <w:basedOn w:val="1"/>
    <w:next w:val="1"/>
    <w:link w:val="79"/>
    <w:unhideWhenUsed/>
    <w:qFormat/>
    <w:uiPriority w:val="0"/>
    <w:pPr>
      <w:keepNext/>
      <w:keepLines/>
      <w:spacing w:before="320"/>
      <w:outlineLvl w:val="2"/>
    </w:pPr>
    <w:rPr>
      <w:rFonts w:ascii="Arial" w:hAnsi="Arial" w:eastAsia="Arial" w:cs="Arial"/>
      <w:sz w:val="30"/>
      <w:szCs w:val="30"/>
    </w:rPr>
  </w:style>
  <w:style w:type="paragraph" w:styleId="8">
    <w:name w:val="heading 4"/>
    <w:basedOn w:val="1"/>
    <w:next w:val="1"/>
    <w:link w:val="80"/>
    <w:unhideWhenUsed/>
    <w:qFormat/>
    <w:uiPriority w:val="0"/>
    <w:pPr>
      <w:keepNext/>
      <w:keepLines/>
      <w:spacing w:before="320"/>
      <w:outlineLvl w:val="3"/>
    </w:pPr>
    <w:rPr>
      <w:rFonts w:ascii="Arial" w:hAnsi="Arial" w:eastAsia="Arial" w:cs="Arial"/>
      <w:b/>
      <w:bCs/>
      <w:sz w:val="26"/>
      <w:szCs w:val="26"/>
    </w:rPr>
  </w:style>
  <w:style w:type="paragraph" w:styleId="9">
    <w:name w:val="heading 5"/>
    <w:basedOn w:val="1"/>
    <w:next w:val="1"/>
    <w:link w:val="81"/>
    <w:unhideWhenUsed/>
    <w:qFormat/>
    <w:uiPriority w:val="0"/>
    <w:pPr>
      <w:keepNext/>
      <w:keepLines/>
      <w:spacing w:before="320"/>
      <w:outlineLvl w:val="4"/>
    </w:pPr>
    <w:rPr>
      <w:rFonts w:ascii="Arial" w:hAnsi="Arial" w:eastAsia="Arial" w:cs="Arial"/>
      <w:b/>
      <w:bCs/>
      <w:sz w:val="24"/>
      <w:szCs w:val="24"/>
    </w:rPr>
  </w:style>
  <w:style w:type="paragraph" w:styleId="10">
    <w:name w:val="heading 6"/>
    <w:basedOn w:val="1"/>
    <w:next w:val="1"/>
    <w:link w:val="82"/>
    <w:unhideWhenUsed/>
    <w:qFormat/>
    <w:uiPriority w:val="0"/>
    <w:pPr>
      <w:keepNext/>
      <w:keepLines/>
      <w:spacing w:before="320"/>
      <w:outlineLvl w:val="5"/>
    </w:pPr>
    <w:rPr>
      <w:rFonts w:ascii="Arial" w:hAnsi="Arial" w:eastAsia="Arial" w:cs="Arial"/>
      <w:b/>
      <w:bCs/>
    </w:rPr>
  </w:style>
  <w:style w:type="paragraph" w:styleId="11">
    <w:name w:val="heading 7"/>
    <w:basedOn w:val="1"/>
    <w:next w:val="1"/>
    <w:link w:val="83"/>
    <w:unhideWhenUsed/>
    <w:qFormat/>
    <w:uiPriority w:val="0"/>
    <w:pPr>
      <w:keepNext/>
      <w:keepLines/>
      <w:spacing w:before="320"/>
      <w:outlineLvl w:val="6"/>
    </w:pPr>
    <w:rPr>
      <w:rFonts w:ascii="Arial" w:hAnsi="Arial" w:eastAsia="Arial" w:cs="Arial"/>
      <w:b/>
      <w:bCs/>
      <w:i/>
      <w:iCs/>
    </w:rPr>
  </w:style>
  <w:style w:type="paragraph" w:styleId="12">
    <w:name w:val="heading 8"/>
    <w:basedOn w:val="1"/>
    <w:next w:val="1"/>
    <w:link w:val="84"/>
    <w:unhideWhenUsed/>
    <w:qFormat/>
    <w:uiPriority w:val="0"/>
    <w:pPr>
      <w:keepNext/>
      <w:keepLines/>
      <w:spacing w:before="320"/>
      <w:outlineLvl w:val="7"/>
    </w:pPr>
    <w:rPr>
      <w:rFonts w:ascii="Arial" w:hAnsi="Arial" w:eastAsia="Arial" w:cs="Arial"/>
      <w:i/>
      <w:iCs/>
    </w:rPr>
  </w:style>
  <w:style w:type="paragraph" w:styleId="13">
    <w:name w:val="heading 9"/>
    <w:basedOn w:val="1"/>
    <w:next w:val="1"/>
    <w:link w:val="85"/>
    <w:unhideWhenUsed/>
    <w:qFormat/>
    <w:uiPriority w:val="0"/>
    <w:pPr>
      <w:keepNext/>
      <w:keepLines/>
      <w:spacing w:before="320"/>
      <w:outlineLvl w:val="8"/>
    </w:pPr>
    <w:rPr>
      <w:rFonts w:ascii="Arial" w:hAnsi="Arial" w:eastAsia="Arial" w:cs="Arial"/>
      <w:i/>
      <w:iCs/>
      <w:sz w:val="21"/>
      <w:szCs w:val="21"/>
    </w:rPr>
  </w:style>
  <w:style w:type="character" w:default="1" w:styleId="48">
    <w:name w:val="Default Paragraph Font"/>
    <w:semiHidden/>
    <w:unhideWhenUsed/>
    <w:uiPriority w:val="1"/>
  </w:style>
  <w:style w:type="table" w:default="1" w:styleId="5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目录 11"/>
    <w:basedOn w:val="3"/>
    <w:next w:val="1"/>
    <w:qFormat/>
    <w:uiPriority w:val="0"/>
    <w:pPr>
      <w:spacing w:before="120" w:after="120"/>
      <w:jc w:val="left"/>
    </w:pPr>
    <w:rPr>
      <w:b/>
      <w:bCs/>
      <w:caps/>
      <w:sz w:val="20"/>
      <w:szCs w:val="20"/>
    </w:rPr>
  </w:style>
  <w:style w:type="paragraph" w:customStyle="1" w:styleId="3">
    <w:name w:val="正文12"/>
    <w:next w:val="4"/>
    <w:qFormat/>
    <w:uiPriority w:val="0"/>
    <w:pPr>
      <w:widowControl w:val="0"/>
      <w:jc w:val="both"/>
    </w:pPr>
    <w:rPr>
      <w:rFonts w:ascii="Calibri" w:hAnsi="Calibri" w:eastAsia="Calibri" w:cs="Times New Roman"/>
      <w:sz w:val="21"/>
      <w:szCs w:val="24"/>
      <w:lang w:val="en-US" w:eastAsia="zh-CN" w:bidi="ar-SA"/>
    </w:rPr>
  </w:style>
  <w:style w:type="paragraph" w:customStyle="1" w:styleId="4">
    <w:name w:val="文本块11"/>
    <w:basedOn w:val="3"/>
    <w:qFormat/>
    <w:uiPriority w:val="0"/>
    <w:pPr>
      <w:ind w:left="256" w:right="6" w:firstLine="624"/>
    </w:pPr>
    <w:rPr>
      <w:rFonts w:ascii="Arial" w:hAnsi="Arial" w:eastAsia="仿宋"/>
      <w:sz w:val="28"/>
    </w:rPr>
  </w:style>
  <w:style w:type="paragraph" w:styleId="14">
    <w:name w:val="annotation subject"/>
    <w:basedOn w:val="15"/>
    <w:next w:val="15"/>
    <w:link w:val="236"/>
    <w:semiHidden/>
    <w:unhideWhenUsed/>
    <w:qFormat/>
    <w:uiPriority w:val="0"/>
    <w:rPr>
      <w:rFonts w:ascii="宋体"/>
      <w:b/>
      <w:bCs/>
      <w:sz w:val="28"/>
      <w:szCs w:val="20"/>
    </w:rPr>
  </w:style>
  <w:style w:type="paragraph" w:styleId="15">
    <w:name w:val="annotation text"/>
    <w:basedOn w:val="1"/>
    <w:link w:val="233"/>
    <w:semiHidden/>
    <w:unhideWhenUsed/>
    <w:qFormat/>
    <w:uiPriority w:val="0"/>
    <w:pPr>
      <w:widowControl w:val="0"/>
      <w:spacing w:after="0" w:line="240" w:lineRule="auto"/>
    </w:pPr>
    <w:rPr>
      <w:rFonts w:ascii="Times New Roman" w:hAnsi="Times New Roman" w:eastAsia="宋体" w:cs="Times New Roman"/>
      <w:sz w:val="21"/>
      <w:lang w:eastAsia="zh-CN"/>
    </w:rPr>
  </w:style>
  <w:style w:type="paragraph" w:styleId="16">
    <w:name w:val="toc 7"/>
    <w:basedOn w:val="1"/>
    <w:next w:val="1"/>
    <w:unhideWhenUsed/>
    <w:qFormat/>
    <w:uiPriority w:val="0"/>
    <w:pPr>
      <w:spacing w:after="57"/>
      <w:ind w:left="1701"/>
    </w:pPr>
  </w:style>
  <w:style w:type="paragraph" w:styleId="17">
    <w:name w:val="Body Text First Indent"/>
    <w:basedOn w:val="18"/>
    <w:next w:val="22"/>
    <w:link w:val="96"/>
    <w:qFormat/>
    <w:uiPriority w:val="0"/>
    <w:pPr>
      <w:spacing w:line="360" w:lineRule="auto"/>
      <w:ind w:firstLine="200"/>
    </w:pPr>
    <w:rPr>
      <w:rFonts w:ascii="仿宋_GB2312" w:eastAsia="仿宋_GB2312"/>
      <w:sz w:val="30"/>
      <w:szCs w:val="30"/>
    </w:rPr>
  </w:style>
  <w:style w:type="paragraph" w:styleId="18">
    <w:name w:val="Body Text"/>
    <w:basedOn w:val="1"/>
    <w:next w:val="19"/>
    <w:link w:val="86"/>
    <w:qFormat/>
    <w:uiPriority w:val="0"/>
    <w:pPr>
      <w:spacing w:after="120"/>
    </w:pPr>
  </w:style>
  <w:style w:type="paragraph" w:customStyle="1" w:styleId="19">
    <w:name w:val="一级条标题"/>
    <w:basedOn w:val="20"/>
    <w:next w:val="21"/>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0">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21">
    <w:name w:val="段"/>
    <w:basedOn w:val="1"/>
    <w:next w:val="1"/>
    <w:qFormat/>
    <w:uiPriority w:val="0"/>
    <w:pPr>
      <w:ind w:firstLine="200"/>
    </w:pPr>
    <w:rPr>
      <w:rFonts w:hint="eastAsia" w:ascii="宋体"/>
      <w:sz w:val="20"/>
      <w:szCs w:val="20"/>
    </w:rPr>
  </w:style>
  <w:style w:type="paragraph" w:styleId="22">
    <w:name w:val="Body Text First Indent 2"/>
    <w:basedOn w:val="23"/>
    <w:link w:val="95"/>
    <w:qFormat/>
    <w:uiPriority w:val="0"/>
    <w:pPr>
      <w:spacing w:after="0" w:line="360" w:lineRule="auto"/>
      <w:ind w:left="0" w:firstLine="420"/>
    </w:pPr>
    <w:rPr>
      <w:rFonts w:ascii="宋体" w:hAnsi="宋体"/>
      <w:sz w:val="20"/>
      <w:szCs w:val="20"/>
    </w:rPr>
  </w:style>
  <w:style w:type="paragraph" w:styleId="23">
    <w:name w:val="Body Text Indent"/>
    <w:basedOn w:val="1"/>
    <w:link w:val="87"/>
    <w:qFormat/>
    <w:uiPriority w:val="0"/>
    <w:pPr>
      <w:spacing w:after="120"/>
      <w:ind w:left="420"/>
    </w:pPr>
  </w:style>
  <w:style w:type="paragraph" w:styleId="24">
    <w:name w:val="caption"/>
    <w:basedOn w:val="1"/>
    <w:next w:val="1"/>
    <w:semiHidden/>
    <w:unhideWhenUsed/>
    <w:qFormat/>
    <w:uiPriority w:val="0"/>
    <w:rPr>
      <w:b/>
      <w:bCs/>
      <w:color w:val="5B9BD5" w:themeColor="accent1"/>
      <w:sz w:val="18"/>
      <w:szCs w:val="18"/>
      <w14:textFill>
        <w14:solidFill>
          <w14:schemeClr w14:val="accent1"/>
        </w14:solidFill>
      </w14:textFill>
    </w:rPr>
  </w:style>
  <w:style w:type="paragraph" w:styleId="25">
    <w:name w:val="Document Map"/>
    <w:basedOn w:val="1"/>
    <w:link w:val="235"/>
    <w:semiHidden/>
    <w:unhideWhenUsed/>
    <w:qFormat/>
    <w:uiPriority w:val="0"/>
    <w:pPr>
      <w:widowControl w:val="0"/>
      <w:shd w:val="clear" w:color="auto" w:fill="000080"/>
      <w:spacing w:after="0" w:line="240" w:lineRule="auto"/>
      <w:jc w:val="both"/>
    </w:pPr>
    <w:rPr>
      <w:rFonts w:ascii="Times New Roman" w:hAnsi="Times New Roman" w:eastAsia="宋体" w:cs="Times New Roman"/>
      <w:sz w:val="20"/>
      <w:szCs w:val="24"/>
      <w:lang w:eastAsia="zh-CN"/>
    </w:rPr>
  </w:style>
  <w:style w:type="paragraph" w:styleId="26">
    <w:name w:val="Block Text"/>
    <w:basedOn w:val="1"/>
    <w:qFormat/>
    <w:uiPriority w:val="99"/>
    <w:pPr>
      <w:ind w:left="420" w:right="33"/>
    </w:pPr>
    <w:rPr>
      <w:sz w:val="24"/>
    </w:rPr>
  </w:style>
  <w:style w:type="paragraph" w:styleId="27">
    <w:name w:val="index 4"/>
    <w:basedOn w:val="1"/>
    <w:next w:val="1"/>
    <w:semiHidden/>
    <w:unhideWhenUsed/>
    <w:qFormat/>
    <w:uiPriority w:val="0"/>
    <w:pPr>
      <w:widowControl w:val="0"/>
      <w:spacing w:after="0" w:line="240" w:lineRule="auto"/>
      <w:ind w:left="600"/>
      <w:jc w:val="both"/>
    </w:pPr>
    <w:rPr>
      <w:rFonts w:ascii="Times New Roman" w:hAnsi="Times New Roman" w:eastAsia="宋体" w:cs="Times New Roman"/>
      <w:sz w:val="21"/>
      <w:szCs w:val="24"/>
      <w:lang w:eastAsia="zh-CN"/>
    </w:rPr>
  </w:style>
  <w:style w:type="paragraph" w:styleId="28">
    <w:name w:val="toc 5"/>
    <w:basedOn w:val="1"/>
    <w:next w:val="1"/>
    <w:unhideWhenUsed/>
    <w:qFormat/>
    <w:uiPriority w:val="0"/>
    <w:pPr>
      <w:spacing w:after="57"/>
      <w:ind w:left="1134"/>
    </w:pPr>
  </w:style>
  <w:style w:type="paragraph" w:styleId="29">
    <w:name w:val="toc 3"/>
    <w:basedOn w:val="1"/>
    <w:next w:val="1"/>
    <w:unhideWhenUsed/>
    <w:qFormat/>
    <w:uiPriority w:val="0"/>
    <w:pPr>
      <w:spacing w:after="57"/>
      <w:ind w:left="567"/>
    </w:pPr>
  </w:style>
  <w:style w:type="paragraph" w:styleId="30">
    <w:name w:val="toc 8"/>
    <w:basedOn w:val="1"/>
    <w:next w:val="1"/>
    <w:unhideWhenUsed/>
    <w:qFormat/>
    <w:uiPriority w:val="0"/>
    <w:pPr>
      <w:spacing w:after="57"/>
      <w:ind w:left="1984"/>
    </w:pPr>
  </w:style>
  <w:style w:type="paragraph" w:styleId="31">
    <w:name w:val="Date"/>
    <w:basedOn w:val="1"/>
    <w:next w:val="1"/>
    <w:link w:val="234"/>
    <w:semiHidden/>
    <w:unhideWhenUsed/>
    <w:qFormat/>
    <w:uiPriority w:val="0"/>
    <w:pPr>
      <w:widowControl w:val="0"/>
      <w:spacing w:after="0" w:line="240" w:lineRule="auto"/>
      <w:ind w:left="100"/>
      <w:jc w:val="both"/>
    </w:pPr>
    <w:rPr>
      <w:rFonts w:ascii="宋体" w:hAnsi="Times New Roman" w:eastAsia="宋体" w:cs="Times New Roman"/>
      <w:sz w:val="28"/>
      <w:szCs w:val="20"/>
      <w:lang w:eastAsia="zh-CN"/>
    </w:rPr>
  </w:style>
  <w:style w:type="paragraph" w:styleId="32">
    <w:name w:val="Body Text Indent 2"/>
    <w:basedOn w:val="1"/>
    <w:qFormat/>
    <w:uiPriority w:val="0"/>
    <w:pPr>
      <w:ind w:left="900"/>
    </w:pPr>
    <w:rPr>
      <w:sz w:val="24"/>
    </w:rPr>
  </w:style>
  <w:style w:type="paragraph" w:styleId="33">
    <w:name w:val="endnote text"/>
    <w:basedOn w:val="1"/>
    <w:link w:val="88"/>
    <w:semiHidden/>
    <w:unhideWhenUsed/>
    <w:qFormat/>
    <w:uiPriority w:val="99"/>
    <w:pPr>
      <w:spacing w:after="0" w:line="240" w:lineRule="auto"/>
    </w:pPr>
    <w:rPr>
      <w:sz w:val="20"/>
    </w:rPr>
  </w:style>
  <w:style w:type="paragraph" w:styleId="34">
    <w:name w:val="Balloon Text"/>
    <w:basedOn w:val="1"/>
    <w:link w:val="89"/>
    <w:semiHidden/>
    <w:unhideWhenUsed/>
    <w:qFormat/>
    <w:uiPriority w:val="0"/>
    <w:pPr>
      <w:spacing w:after="0" w:line="240" w:lineRule="auto"/>
    </w:pPr>
    <w:rPr>
      <w:sz w:val="18"/>
      <w:szCs w:val="18"/>
    </w:rPr>
  </w:style>
  <w:style w:type="paragraph" w:styleId="35">
    <w:name w:val="footer"/>
    <w:basedOn w:val="1"/>
    <w:link w:val="90"/>
    <w:unhideWhenUsed/>
    <w:qFormat/>
    <w:uiPriority w:val="0"/>
    <w:pPr>
      <w:tabs>
        <w:tab w:val="center" w:pos="7143"/>
        <w:tab w:val="right" w:pos="14287"/>
      </w:tabs>
      <w:spacing w:after="0" w:line="240" w:lineRule="auto"/>
    </w:pPr>
  </w:style>
  <w:style w:type="paragraph" w:styleId="36">
    <w:name w:val="header"/>
    <w:basedOn w:val="1"/>
    <w:link w:val="91"/>
    <w:unhideWhenUsed/>
    <w:qFormat/>
    <w:uiPriority w:val="0"/>
    <w:pPr>
      <w:tabs>
        <w:tab w:val="center" w:pos="7143"/>
        <w:tab w:val="right" w:pos="14287"/>
      </w:tabs>
      <w:spacing w:after="0" w:line="240" w:lineRule="auto"/>
    </w:pPr>
  </w:style>
  <w:style w:type="paragraph" w:styleId="37">
    <w:name w:val="toc 1"/>
    <w:basedOn w:val="1"/>
    <w:next w:val="1"/>
    <w:unhideWhenUsed/>
    <w:qFormat/>
    <w:uiPriority w:val="0"/>
    <w:pPr>
      <w:spacing w:after="57"/>
    </w:pPr>
  </w:style>
  <w:style w:type="paragraph" w:styleId="38">
    <w:name w:val="toc 4"/>
    <w:basedOn w:val="1"/>
    <w:next w:val="1"/>
    <w:unhideWhenUsed/>
    <w:qFormat/>
    <w:uiPriority w:val="0"/>
    <w:pPr>
      <w:spacing w:after="57"/>
      <w:ind w:left="850"/>
    </w:pPr>
  </w:style>
  <w:style w:type="paragraph" w:styleId="39">
    <w:name w:val="Subtitle"/>
    <w:basedOn w:val="1"/>
    <w:next w:val="1"/>
    <w:link w:val="92"/>
    <w:qFormat/>
    <w:uiPriority w:val="0"/>
    <w:pPr>
      <w:spacing w:before="200"/>
    </w:pPr>
    <w:rPr>
      <w:sz w:val="24"/>
      <w:szCs w:val="24"/>
    </w:rPr>
  </w:style>
  <w:style w:type="paragraph" w:styleId="40">
    <w:name w:val="footnote text"/>
    <w:basedOn w:val="1"/>
    <w:link w:val="93"/>
    <w:semiHidden/>
    <w:unhideWhenUsed/>
    <w:qFormat/>
    <w:uiPriority w:val="99"/>
    <w:pPr>
      <w:spacing w:after="40" w:line="240" w:lineRule="auto"/>
    </w:pPr>
    <w:rPr>
      <w:sz w:val="18"/>
    </w:rPr>
  </w:style>
  <w:style w:type="paragraph" w:styleId="41">
    <w:name w:val="toc 6"/>
    <w:basedOn w:val="1"/>
    <w:next w:val="1"/>
    <w:unhideWhenUsed/>
    <w:qFormat/>
    <w:uiPriority w:val="0"/>
    <w:pPr>
      <w:spacing w:after="57"/>
      <w:ind w:left="1417"/>
    </w:pPr>
  </w:style>
  <w:style w:type="paragraph" w:styleId="42">
    <w:name w:val="Body Text Indent 3"/>
    <w:basedOn w:val="1"/>
    <w:qFormat/>
    <w:uiPriority w:val="0"/>
    <w:pPr>
      <w:ind w:left="645" w:firstLine="645"/>
    </w:pPr>
    <w:rPr>
      <w:rFonts w:ascii="Arial" w:hAnsi="Arial" w:eastAsia="仿宋_GB2312"/>
      <w:color w:val="FFFF00"/>
      <w:sz w:val="32"/>
      <w:szCs w:val="32"/>
    </w:rPr>
  </w:style>
  <w:style w:type="paragraph" w:styleId="43">
    <w:name w:val="table of figures"/>
    <w:basedOn w:val="1"/>
    <w:next w:val="1"/>
    <w:unhideWhenUsed/>
    <w:qFormat/>
    <w:uiPriority w:val="99"/>
    <w:pPr>
      <w:spacing w:after="0"/>
    </w:pPr>
  </w:style>
  <w:style w:type="paragraph" w:styleId="44">
    <w:name w:val="toc 2"/>
    <w:basedOn w:val="1"/>
    <w:next w:val="1"/>
    <w:unhideWhenUsed/>
    <w:qFormat/>
    <w:uiPriority w:val="0"/>
    <w:pPr>
      <w:spacing w:after="57"/>
      <w:ind w:left="283"/>
    </w:pPr>
  </w:style>
  <w:style w:type="paragraph" w:styleId="45">
    <w:name w:val="toc 9"/>
    <w:basedOn w:val="1"/>
    <w:next w:val="1"/>
    <w:unhideWhenUsed/>
    <w:qFormat/>
    <w:uiPriority w:val="0"/>
    <w:pPr>
      <w:spacing w:after="57"/>
      <w:ind w:left="2268"/>
    </w:pPr>
  </w:style>
  <w:style w:type="paragraph" w:styleId="46">
    <w:name w:val="Normal (Web)"/>
    <w:basedOn w:val="1"/>
    <w:semiHidden/>
    <w:unhideWhenUsed/>
    <w:qFormat/>
    <w:uiPriority w:val="99"/>
    <w:rPr>
      <w:sz w:val="24"/>
    </w:rPr>
  </w:style>
  <w:style w:type="paragraph" w:styleId="47">
    <w:name w:val="Title"/>
    <w:basedOn w:val="1"/>
    <w:next w:val="1"/>
    <w:link w:val="94"/>
    <w:qFormat/>
    <w:uiPriority w:val="0"/>
    <w:pPr>
      <w:spacing w:before="300"/>
      <w:contextualSpacing/>
    </w:pPr>
    <w:rPr>
      <w:sz w:val="48"/>
      <w:szCs w:val="48"/>
    </w:rPr>
  </w:style>
  <w:style w:type="character" w:styleId="49">
    <w:name w:val="endnote reference"/>
    <w:semiHidden/>
    <w:unhideWhenUsed/>
    <w:qFormat/>
    <w:uiPriority w:val="99"/>
    <w:rPr>
      <w:vertAlign w:val="superscript"/>
    </w:rPr>
  </w:style>
  <w:style w:type="character" w:styleId="50">
    <w:name w:val="page number"/>
    <w:semiHidden/>
    <w:unhideWhenUsed/>
    <w:qFormat/>
    <w:uiPriority w:val="0"/>
    <w:rPr>
      <w:rFonts w:hint="default" w:ascii="Times New Roman" w:hAnsi="Times New Roman" w:cs="Times New Roman"/>
    </w:rPr>
  </w:style>
  <w:style w:type="character" w:styleId="51">
    <w:name w:val="Hyperlink"/>
    <w:unhideWhenUsed/>
    <w:qFormat/>
    <w:uiPriority w:val="0"/>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unhideWhenUsed/>
    <w:qFormat/>
    <w:uiPriority w:val="99"/>
    <w:rPr>
      <w:vertAlign w:val="superscript"/>
    </w:rPr>
  </w:style>
  <w:style w:type="table" w:styleId="55">
    <w:name w:val="Table Grid"/>
    <w:basedOn w:val="5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56">
    <w:name w:val="Heading 1 Char"/>
    <w:basedOn w:val="48"/>
    <w:qFormat/>
    <w:uiPriority w:val="9"/>
    <w:rPr>
      <w:rFonts w:ascii="Arial" w:hAnsi="Arial" w:eastAsia="Arial" w:cs="Arial"/>
      <w:sz w:val="40"/>
      <w:szCs w:val="40"/>
    </w:rPr>
  </w:style>
  <w:style w:type="character" w:customStyle="1" w:styleId="57">
    <w:name w:val="Heading 2 Char"/>
    <w:basedOn w:val="48"/>
    <w:qFormat/>
    <w:uiPriority w:val="9"/>
    <w:rPr>
      <w:rFonts w:ascii="Arial" w:hAnsi="Arial" w:eastAsia="Arial" w:cs="Arial"/>
      <w:sz w:val="34"/>
    </w:rPr>
  </w:style>
  <w:style w:type="character" w:customStyle="1" w:styleId="58">
    <w:name w:val="Heading 3 Char"/>
    <w:basedOn w:val="48"/>
    <w:qFormat/>
    <w:uiPriority w:val="9"/>
    <w:rPr>
      <w:rFonts w:ascii="Arial" w:hAnsi="Arial" w:eastAsia="Arial" w:cs="Arial"/>
      <w:sz w:val="30"/>
      <w:szCs w:val="30"/>
    </w:rPr>
  </w:style>
  <w:style w:type="character" w:customStyle="1" w:styleId="59">
    <w:name w:val="Heading 4 Char"/>
    <w:basedOn w:val="48"/>
    <w:qFormat/>
    <w:uiPriority w:val="9"/>
    <w:rPr>
      <w:rFonts w:ascii="Arial" w:hAnsi="Arial" w:eastAsia="Arial" w:cs="Arial"/>
      <w:b/>
      <w:bCs/>
      <w:sz w:val="26"/>
      <w:szCs w:val="26"/>
    </w:rPr>
  </w:style>
  <w:style w:type="character" w:customStyle="1" w:styleId="60">
    <w:name w:val="Heading 5 Char"/>
    <w:basedOn w:val="48"/>
    <w:qFormat/>
    <w:uiPriority w:val="9"/>
    <w:rPr>
      <w:rFonts w:ascii="Arial" w:hAnsi="Arial" w:eastAsia="Arial" w:cs="Arial"/>
      <w:b/>
      <w:bCs/>
      <w:sz w:val="24"/>
      <w:szCs w:val="24"/>
    </w:rPr>
  </w:style>
  <w:style w:type="character" w:customStyle="1" w:styleId="61">
    <w:name w:val="Heading 6 Char"/>
    <w:basedOn w:val="48"/>
    <w:qFormat/>
    <w:uiPriority w:val="9"/>
    <w:rPr>
      <w:rFonts w:ascii="Arial" w:hAnsi="Arial" w:eastAsia="Arial" w:cs="Arial"/>
      <w:b/>
      <w:bCs/>
      <w:sz w:val="22"/>
      <w:szCs w:val="22"/>
    </w:rPr>
  </w:style>
  <w:style w:type="character" w:customStyle="1" w:styleId="62">
    <w:name w:val="Heading 7 Char"/>
    <w:basedOn w:val="48"/>
    <w:qFormat/>
    <w:uiPriority w:val="9"/>
    <w:rPr>
      <w:rFonts w:ascii="Arial" w:hAnsi="Arial" w:eastAsia="Arial" w:cs="Arial"/>
      <w:b/>
      <w:bCs/>
      <w:i/>
      <w:iCs/>
      <w:sz w:val="22"/>
      <w:szCs w:val="22"/>
    </w:rPr>
  </w:style>
  <w:style w:type="character" w:customStyle="1" w:styleId="63">
    <w:name w:val="Heading 8 Char"/>
    <w:basedOn w:val="48"/>
    <w:qFormat/>
    <w:uiPriority w:val="9"/>
    <w:rPr>
      <w:rFonts w:ascii="Arial" w:hAnsi="Arial" w:eastAsia="Arial" w:cs="Arial"/>
      <w:i/>
      <w:iCs/>
      <w:sz w:val="22"/>
      <w:szCs w:val="22"/>
    </w:rPr>
  </w:style>
  <w:style w:type="character" w:customStyle="1" w:styleId="64">
    <w:name w:val="Heading 9 Char"/>
    <w:basedOn w:val="48"/>
    <w:qFormat/>
    <w:uiPriority w:val="9"/>
    <w:rPr>
      <w:rFonts w:ascii="Arial" w:hAnsi="Arial" w:eastAsia="Arial" w:cs="Arial"/>
      <w:i/>
      <w:iCs/>
      <w:sz w:val="21"/>
      <w:szCs w:val="21"/>
    </w:rPr>
  </w:style>
  <w:style w:type="character" w:customStyle="1" w:styleId="65">
    <w:name w:val="Title Char"/>
    <w:basedOn w:val="48"/>
    <w:qFormat/>
    <w:uiPriority w:val="10"/>
    <w:rPr>
      <w:sz w:val="48"/>
      <w:szCs w:val="48"/>
    </w:rPr>
  </w:style>
  <w:style w:type="character" w:customStyle="1" w:styleId="66">
    <w:name w:val="Subtitle Char"/>
    <w:basedOn w:val="48"/>
    <w:qFormat/>
    <w:uiPriority w:val="11"/>
    <w:rPr>
      <w:sz w:val="24"/>
      <w:szCs w:val="24"/>
    </w:rPr>
  </w:style>
  <w:style w:type="character" w:customStyle="1" w:styleId="67">
    <w:name w:val="Quote Char"/>
    <w:qFormat/>
    <w:uiPriority w:val="29"/>
    <w:rPr>
      <w:i/>
    </w:rPr>
  </w:style>
  <w:style w:type="character" w:customStyle="1" w:styleId="68">
    <w:name w:val="Intense Quote Char"/>
    <w:qFormat/>
    <w:uiPriority w:val="30"/>
    <w:rPr>
      <w:i/>
    </w:rPr>
  </w:style>
  <w:style w:type="character" w:customStyle="1" w:styleId="69">
    <w:name w:val="Header Char"/>
    <w:basedOn w:val="48"/>
    <w:qFormat/>
    <w:uiPriority w:val="99"/>
  </w:style>
  <w:style w:type="character" w:customStyle="1" w:styleId="70">
    <w:name w:val="Caption Char"/>
    <w:qFormat/>
    <w:uiPriority w:val="99"/>
  </w:style>
  <w:style w:type="character" w:customStyle="1" w:styleId="71">
    <w:name w:val="Footnote Text Char"/>
    <w:qFormat/>
    <w:uiPriority w:val="99"/>
    <w:rPr>
      <w:sz w:val="18"/>
    </w:rPr>
  </w:style>
  <w:style w:type="character" w:customStyle="1" w:styleId="72">
    <w:name w:val="Endnote Text Char"/>
    <w:qFormat/>
    <w:uiPriority w:val="99"/>
    <w:rPr>
      <w:sz w:val="20"/>
    </w:rPr>
  </w:style>
  <w:style w:type="paragraph" w:customStyle="1" w:styleId="73">
    <w:name w:val="TOC 标题1"/>
    <w:unhideWhenUsed/>
    <w:qFormat/>
    <w:uiPriority w:val="39"/>
    <w:rPr>
      <w:rFonts w:ascii="Times New Roman" w:hAnsi="Times New Roman" w:eastAsia="宋体" w:cs="Times New Roman"/>
      <w:lang w:val="en-US" w:eastAsia="zh-CN" w:bidi="ar-SA"/>
    </w:rPr>
  </w:style>
  <w:style w:type="paragraph" w:customStyle="1" w:styleId="74">
    <w:name w:val="Default"/>
    <w:qFormat/>
    <w:uiPriority w:val="0"/>
    <w:pPr>
      <w:widowControl w:val="0"/>
    </w:pPr>
    <w:rPr>
      <w:rFonts w:ascii="Calibri" w:hAnsi="Calibri" w:eastAsia="宋体" w:cs="Times New Roman"/>
      <w:color w:val="000000"/>
      <w:sz w:val="24"/>
      <w:szCs w:val="24"/>
      <w:lang w:val="en-US" w:eastAsia="zh-CN" w:bidi="ar-SA"/>
    </w:rPr>
  </w:style>
  <w:style w:type="paragraph" w:customStyle="1" w:styleId="75">
    <w:name w:val="正文1"/>
    <w:next w:val="7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6">
    <w:name w:val="正文文本1"/>
    <w:basedOn w:val="75"/>
    <w:next w:val="19"/>
    <w:qFormat/>
    <w:uiPriority w:val="0"/>
    <w:pPr>
      <w:spacing w:after="120"/>
    </w:pPr>
  </w:style>
  <w:style w:type="character" w:customStyle="1" w:styleId="77">
    <w:name w:val="标题 1 字符"/>
    <w:link w:val="5"/>
    <w:qFormat/>
    <w:uiPriority w:val="0"/>
    <w:rPr>
      <w:rFonts w:ascii="Arial" w:hAnsi="Arial" w:eastAsia="Arial" w:cs="Arial"/>
      <w:sz w:val="40"/>
      <w:szCs w:val="40"/>
    </w:rPr>
  </w:style>
  <w:style w:type="character" w:customStyle="1" w:styleId="78">
    <w:name w:val="标题 2 字符"/>
    <w:link w:val="6"/>
    <w:qFormat/>
    <w:uiPriority w:val="0"/>
    <w:rPr>
      <w:rFonts w:ascii="Arial" w:hAnsi="Arial" w:eastAsia="Arial" w:cs="Arial"/>
      <w:sz w:val="34"/>
    </w:rPr>
  </w:style>
  <w:style w:type="character" w:customStyle="1" w:styleId="79">
    <w:name w:val="标题 3 字符"/>
    <w:link w:val="7"/>
    <w:qFormat/>
    <w:uiPriority w:val="0"/>
    <w:rPr>
      <w:rFonts w:ascii="Arial" w:hAnsi="Arial" w:eastAsia="Arial" w:cs="Arial"/>
      <w:sz w:val="30"/>
      <w:szCs w:val="30"/>
    </w:rPr>
  </w:style>
  <w:style w:type="character" w:customStyle="1" w:styleId="80">
    <w:name w:val="标题 4 字符"/>
    <w:link w:val="8"/>
    <w:qFormat/>
    <w:uiPriority w:val="0"/>
    <w:rPr>
      <w:rFonts w:ascii="Arial" w:hAnsi="Arial" w:eastAsia="Arial" w:cs="Arial"/>
      <w:b/>
      <w:bCs/>
      <w:sz w:val="26"/>
      <w:szCs w:val="26"/>
    </w:rPr>
  </w:style>
  <w:style w:type="character" w:customStyle="1" w:styleId="81">
    <w:name w:val="标题 5 字符"/>
    <w:link w:val="9"/>
    <w:qFormat/>
    <w:uiPriority w:val="0"/>
    <w:rPr>
      <w:rFonts w:ascii="Arial" w:hAnsi="Arial" w:eastAsia="Arial" w:cs="Arial"/>
      <w:b/>
      <w:bCs/>
      <w:sz w:val="24"/>
      <w:szCs w:val="24"/>
    </w:rPr>
  </w:style>
  <w:style w:type="character" w:customStyle="1" w:styleId="82">
    <w:name w:val="标题 6 字符"/>
    <w:link w:val="10"/>
    <w:qFormat/>
    <w:uiPriority w:val="0"/>
    <w:rPr>
      <w:rFonts w:ascii="Arial" w:hAnsi="Arial" w:eastAsia="Arial" w:cs="Arial"/>
      <w:b/>
      <w:bCs/>
      <w:sz w:val="22"/>
      <w:szCs w:val="22"/>
    </w:rPr>
  </w:style>
  <w:style w:type="character" w:customStyle="1" w:styleId="83">
    <w:name w:val="标题 7 字符"/>
    <w:link w:val="11"/>
    <w:qFormat/>
    <w:uiPriority w:val="0"/>
    <w:rPr>
      <w:rFonts w:ascii="Arial" w:hAnsi="Arial" w:eastAsia="Arial" w:cs="Arial"/>
      <w:b/>
      <w:bCs/>
      <w:i/>
      <w:iCs/>
      <w:sz w:val="22"/>
      <w:szCs w:val="22"/>
    </w:rPr>
  </w:style>
  <w:style w:type="character" w:customStyle="1" w:styleId="84">
    <w:name w:val="标题 8 字符"/>
    <w:link w:val="12"/>
    <w:qFormat/>
    <w:uiPriority w:val="0"/>
    <w:rPr>
      <w:rFonts w:ascii="Arial" w:hAnsi="Arial" w:eastAsia="Arial" w:cs="Arial"/>
      <w:i/>
      <w:iCs/>
      <w:sz w:val="22"/>
      <w:szCs w:val="22"/>
    </w:rPr>
  </w:style>
  <w:style w:type="character" w:customStyle="1" w:styleId="85">
    <w:name w:val="标题 9 字符"/>
    <w:link w:val="13"/>
    <w:qFormat/>
    <w:uiPriority w:val="0"/>
    <w:rPr>
      <w:rFonts w:ascii="Arial" w:hAnsi="Arial" w:eastAsia="Arial" w:cs="Arial"/>
      <w:i/>
      <w:iCs/>
      <w:sz w:val="21"/>
      <w:szCs w:val="21"/>
    </w:rPr>
  </w:style>
  <w:style w:type="character" w:customStyle="1" w:styleId="86">
    <w:name w:val="正文文本 字符"/>
    <w:basedOn w:val="48"/>
    <w:link w:val="18"/>
    <w:qFormat/>
    <w:uiPriority w:val="0"/>
    <w:rPr>
      <w:rFonts w:asciiTheme="minorHAnsi" w:hAnsiTheme="minorHAnsi" w:eastAsiaTheme="minorHAnsi" w:cstheme="minorBidi"/>
      <w:sz w:val="22"/>
      <w:szCs w:val="22"/>
      <w:lang w:eastAsia="en-US"/>
    </w:rPr>
  </w:style>
  <w:style w:type="character" w:customStyle="1" w:styleId="87">
    <w:name w:val="正文文本缩进 字符"/>
    <w:basedOn w:val="48"/>
    <w:link w:val="23"/>
    <w:qFormat/>
    <w:uiPriority w:val="0"/>
    <w:rPr>
      <w:rFonts w:asciiTheme="minorHAnsi" w:hAnsiTheme="minorHAnsi" w:eastAsiaTheme="minorHAnsi" w:cstheme="minorBidi"/>
      <w:sz w:val="22"/>
      <w:szCs w:val="22"/>
      <w:lang w:eastAsia="en-US"/>
    </w:rPr>
  </w:style>
  <w:style w:type="character" w:customStyle="1" w:styleId="88">
    <w:name w:val="尾注文本 字符"/>
    <w:link w:val="33"/>
    <w:qFormat/>
    <w:uiPriority w:val="99"/>
    <w:rPr>
      <w:sz w:val="20"/>
    </w:rPr>
  </w:style>
  <w:style w:type="character" w:customStyle="1" w:styleId="89">
    <w:name w:val="批注框文本 字符"/>
    <w:basedOn w:val="48"/>
    <w:link w:val="34"/>
    <w:semiHidden/>
    <w:qFormat/>
    <w:uiPriority w:val="0"/>
    <w:rPr>
      <w:rFonts w:asciiTheme="minorHAnsi" w:hAnsiTheme="minorHAnsi" w:eastAsiaTheme="minorHAnsi" w:cstheme="minorBidi"/>
      <w:sz w:val="18"/>
      <w:szCs w:val="18"/>
      <w:lang w:eastAsia="en-US"/>
    </w:rPr>
  </w:style>
  <w:style w:type="character" w:customStyle="1" w:styleId="90">
    <w:name w:val="页脚 字符"/>
    <w:link w:val="35"/>
    <w:qFormat/>
    <w:uiPriority w:val="0"/>
  </w:style>
  <w:style w:type="character" w:customStyle="1" w:styleId="91">
    <w:name w:val="页眉 字符"/>
    <w:link w:val="36"/>
    <w:qFormat/>
    <w:uiPriority w:val="0"/>
  </w:style>
  <w:style w:type="character" w:customStyle="1" w:styleId="92">
    <w:name w:val="副标题 字符"/>
    <w:link w:val="39"/>
    <w:qFormat/>
    <w:uiPriority w:val="0"/>
    <w:rPr>
      <w:sz w:val="24"/>
      <w:szCs w:val="24"/>
    </w:rPr>
  </w:style>
  <w:style w:type="character" w:customStyle="1" w:styleId="93">
    <w:name w:val="脚注文本 字符"/>
    <w:link w:val="40"/>
    <w:qFormat/>
    <w:uiPriority w:val="99"/>
    <w:rPr>
      <w:sz w:val="18"/>
    </w:rPr>
  </w:style>
  <w:style w:type="character" w:customStyle="1" w:styleId="94">
    <w:name w:val="标题 字符"/>
    <w:link w:val="47"/>
    <w:qFormat/>
    <w:uiPriority w:val="0"/>
    <w:rPr>
      <w:sz w:val="48"/>
      <w:szCs w:val="48"/>
    </w:rPr>
  </w:style>
  <w:style w:type="character" w:customStyle="1" w:styleId="95">
    <w:name w:val="正文文本首行缩进 2 字符"/>
    <w:basedOn w:val="87"/>
    <w:link w:val="22"/>
    <w:qFormat/>
    <w:uiPriority w:val="0"/>
    <w:rPr>
      <w:rFonts w:ascii="宋体" w:hAnsi="宋体" w:eastAsiaTheme="minorHAnsi" w:cstheme="minorBidi"/>
      <w:sz w:val="22"/>
      <w:szCs w:val="22"/>
      <w:lang w:eastAsia="en-US"/>
    </w:rPr>
  </w:style>
  <w:style w:type="character" w:customStyle="1" w:styleId="96">
    <w:name w:val="正文文本首行缩进 字符"/>
    <w:basedOn w:val="86"/>
    <w:link w:val="17"/>
    <w:qFormat/>
    <w:uiPriority w:val="0"/>
    <w:rPr>
      <w:rFonts w:ascii="仿宋_GB2312" w:eastAsia="仿宋_GB2312" w:hAnsiTheme="minorHAnsi" w:cstheme="minorBidi"/>
      <w:sz w:val="30"/>
      <w:szCs w:val="30"/>
      <w:lang w:eastAsia="en-US"/>
    </w:rPr>
  </w:style>
  <w:style w:type="paragraph" w:styleId="97">
    <w:name w:val="Quote"/>
    <w:basedOn w:val="1"/>
    <w:next w:val="1"/>
    <w:link w:val="98"/>
    <w:qFormat/>
    <w:uiPriority w:val="29"/>
    <w:pPr>
      <w:ind w:left="720" w:right="720"/>
    </w:pPr>
    <w:rPr>
      <w:i/>
    </w:rPr>
  </w:style>
  <w:style w:type="character" w:customStyle="1" w:styleId="98">
    <w:name w:val="引用 字符1"/>
    <w:link w:val="97"/>
    <w:qFormat/>
    <w:uiPriority w:val="29"/>
    <w:rPr>
      <w:i/>
    </w:rPr>
  </w:style>
  <w:style w:type="paragraph" w:styleId="99">
    <w:name w:val="Intense Quote"/>
    <w:basedOn w:val="1"/>
    <w:next w:val="1"/>
    <w:link w:val="10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0">
    <w:name w:val="明显引用 字符1"/>
    <w:link w:val="99"/>
    <w:qFormat/>
    <w:uiPriority w:val="30"/>
    <w:rPr>
      <w:i/>
    </w:rPr>
  </w:style>
  <w:style w:type="character" w:customStyle="1" w:styleId="101">
    <w:name w:val="Footer Char"/>
    <w:qFormat/>
    <w:uiPriority w:val="99"/>
  </w:style>
  <w:style w:type="table" w:customStyle="1" w:styleId="102">
    <w:name w:val="Table Grid Light"/>
    <w:basedOn w:val="5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Pr>
  </w:style>
  <w:style w:type="table" w:customStyle="1" w:styleId="103">
    <w:name w:val="无格式表格 11"/>
    <w:basedOn w:val="5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04">
    <w:name w:val="无格式表格 21"/>
    <w:basedOn w:val="54"/>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05">
    <w:name w:val="无格式表格 31"/>
    <w:basedOn w:val="54"/>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6">
    <w:name w:val="无格式表格 41"/>
    <w:basedOn w:val="54"/>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7">
    <w:name w:val="无格式表格 51"/>
    <w:basedOn w:val="54"/>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8">
    <w:name w:val="网格表 1 浅色1"/>
    <w:basedOn w:val="54"/>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9">
    <w:name w:val="Grid Table 1 Light - Accent 1"/>
    <w:basedOn w:val="54"/>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10">
    <w:name w:val="Grid Table 1 Light - Accent 2"/>
    <w:basedOn w:val="5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11">
    <w:name w:val="Grid Table 1 Light - Accent 3"/>
    <w:basedOn w:val="54"/>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12">
    <w:name w:val="Grid Table 1 Light - Accent 4"/>
    <w:basedOn w:val="54"/>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13">
    <w:name w:val="Grid Table 1 Light - Accent 5"/>
    <w:basedOn w:val="54"/>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14">
    <w:name w:val="Grid Table 1 Light - Accent 6"/>
    <w:basedOn w:val="54"/>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15">
    <w:name w:val="网格表 21"/>
    <w:basedOn w:val="5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6">
    <w:name w:val="Grid Table 2 - Accent 1"/>
    <w:basedOn w:val="54"/>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17">
    <w:name w:val="Grid Table 2 - Accent 2"/>
    <w:basedOn w:val="5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8">
    <w:name w:val="Grid Table 2 - Accent 3"/>
    <w:basedOn w:val="5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9">
    <w:name w:val="Grid Table 2 - Accent 4"/>
    <w:basedOn w:val="5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20">
    <w:name w:val="Grid Table 2 - Accent 5"/>
    <w:basedOn w:val="54"/>
    <w:qFormat/>
    <w:uiPriority w:val="99"/>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21">
    <w:name w:val="Grid Table 2 - Accent 6"/>
    <w:basedOn w:val="54"/>
    <w:qFormat/>
    <w:uiPriority w:val="99"/>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22">
    <w:name w:val="网格表 31"/>
    <w:basedOn w:val="5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3">
    <w:name w:val="Grid Table 3 - Accent 1"/>
    <w:basedOn w:val="54"/>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24">
    <w:name w:val="Grid Table 3 - Accent 2"/>
    <w:basedOn w:val="5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25">
    <w:name w:val="Grid Table 3 - Accent 3"/>
    <w:basedOn w:val="5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26">
    <w:name w:val="Grid Table 3 - Accent 4"/>
    <w:basedOn w:val="5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27">
    <w:name w:val="Grid Table 3 - Accent 5"/>
    <w:basedOn w:val="54"/>
    <w:qFormat/>
    <w:uiPriority w:val="99"/>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28">
    <w:name w:val="Grid Table 3 - Accent 6"/>
    <w:basedOn w:val="54"/>
    <w:qFormat/>
    <w:uiPriority w:val="99"/>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29">
    <w:name w:val="网格表 41"/>
    <w:basedOn w:val="5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30">
    <w:name w:val="Grid Table 4 - Accent 1"/>
    <w:basedOn w:val="54"/>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Layout w:type="fixed"/>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31">
    <w:name w:val="Grid Table 4 - Accent 2"/>
    <w:basedOn w:val="54"/>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32">
    <w:name w:val="Grid Table 4 - Accent 3"/>
    <w:basedOn w:val="54"/>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33">
    <w:name w:val="Grid Table 4 - Accent 4"/>
    <w:basedOn w:val="54"/>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34">
    <w:name w:val="Grid Table 4 - Accent 5"/>
    <w:basedOn w:val="54"/>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35">
    <w:name w:val="Grid Table 4 - Accent 6"/>
    <w:basedOn w:val="54"/>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36">
    <w:name w:val="网格表 5 深色1"/>
    <w:basedOn w:val="5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7">
    <w:name w:val="Grid Table 5 Dark- Accent 1"/>
    <w:basedOn w:val="5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38">
    <w:name w:val="Grid Table 5 Dark - Accent 2"/>
    <w:basedOn w:val="5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39">
    <w:name w:val="Grid Table 5 Dark - Accent 3"/>
    <w:basedOn w:val="5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40">
    <w:name w:val="Grid Table 5 Dark- Accent 4"/>
    <w:basedOn w:val="5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41">
    <w:name w:val="Grid Table 5 Dark - Accent 5"/>
    <w:basedOn w:val="5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42">
    <w:name w:val="Grid Table 5 Dark - Accent 6"/>
    <w:basedOn w:val="5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43">
    <w:name w:val="网格表 6 彩色1"/>
    <w:basedOn w:val="54"/>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4">
    <w:name w:val="Grid Table 6 Colorful - Accent 1"/>
    <w:basedOn w:val="54"/>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45">
    <w:name w:val="Grid Table 6 Colorful - Accent 2"/>
    <w:basedOn w:val="54"/>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6">
    <w:name w:val="Grid Table 6 Colorful - Accent 3"/>
    <w:basedOn w:val="54"/>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47">
    <w:name w:val="Grid Table 6 Colorful - Accent 4"/>
    <w:basedOn w:val="54"/>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8">
    <w:name w:val="Grid Table 6 Colorful - Accent 5"/>
    <w:basedOn w:val="54"/>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ayout w:type="fixed"/>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49">
    <w:name w:val="Grid Table 6 Colorful - Accent 6"/>
    <w:basedOn w:val="54"/>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50">
    <w:name w:val="网格表 7 彩色1"/>
    <w:basedOn w:val="54"/>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1">
    <w:name w:val="Grid Table 7 Colorful - Accent 1"/>
    <w:basedOn w:val="54"/>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52">
    <w:name w:val="Grid Table 7 Colorful - Accent 2"/>
    <w:basedOn w:val="54"/>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3">
    <w:name w:val="Grid Table 7 Colorful - Accent 3"/>
    <w:basedOn w:val="54"/>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54">
    <w:name w:val="Grid Table 7 Colorful - Accent 4"/>
    <w:basedOn w:val="54"/>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5">
    <w:name w:val="Grid Table 7 Colorful - Accent 5"/>
    <w:basedOn w:val="54"/>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56">
    <w:name w:val="Grid Table 7 Colorful - Accent 6"/>
    <w:basedOn w:val="54"/>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57">
    <w:name w:val="清单表 1 浅色1"/>
    <w:basedOn w:val="54"/>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8">
    <w:name w:val="List Table 1 Light - Accent 1"/>
    <w:basedOn w:val="54"/>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59">
    <w:name w:val="List Table 1 Light - Accent 2"/>
    <w:basedOn w:val="54"/>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60">
    <w:name w:val="List Table 1 Light - Accent 3"/>
    <w:basedOn w:val="54"/>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61">
    <w:name w:val="List Table 1 Light - Accent 4"/>
    <w:basedOn w:val="54"/>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62">
    <w:name w:val="List Table 1 Light - Accent 5"/>
    <w:basedOn w:val="54"/>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63">
    <w:name w:val="List Table 1 Light - Accent 6"/>
    <w:basedOn w:val="54"/>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64">
    <w:name w:val="清单表 21"/>
    <w:basedOn w:val="54"/>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5">
    <w:name w:val="List Table 2 - Accent 1"/>
    <w:basedOn w:val="54"/>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Layout w:type="fixed"/>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66">
    <w:name w:val="List Table 2 - Accent 2"/>
    <w:basedOn w:val="54"/>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67">
    <w:name w:val="List Table 2 - Accent 3"/>
    <w:basedOn w:val="54"/>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68">
    <w:name w:val="List Table 2 - Accent 4"/>
    <w:basedOn w:val="54"/>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69">
    <w:name w:val="List Table 2 - Accent 5"/>
    <w:basedOn w:val="54"/>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Layout w:type="fixed"/>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70">
    <w:name w:val="List Table 2 - Accent 6"/>
    <w:basedOn w:val="54"/>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71">
    <w:name w:val="清单表 31"/>
    <w:basedOn w:val="5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72">
    <w:name w:val="List Table 3 - Accent 1"/>
    <w:basedOn w:val="54"/>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73">
    <w:name w:val="List Table 3 - Accent 2"/>
    <w:basedOn w:val="54"/>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74">
    <w:name w:val="List Table 3 - Accent 3"/>
    <w:basedOn w:val="54"/>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75">
    <w:name w:val="List Table 3 - Accent 4"/>
    <w:basedOn w:val="54"/>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76">
    <w:name w:val="List Table 3 - Accent 5"/>
    <w:basedOn w:val="54"/>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Layout w:type="fixed"/>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77">
    <w:name w:val="List Table 3 - Accent 6"/>
    <w:basedOn w:val="54"/>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78">
    <w:name w:val="清单表 41"/>
    <w:basedOn w:val="5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9">
    <w:name w:val="List Table 4 - Accent 1"/>
    <w:basedOn w:val="54"/>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80">
    <w:name w:val="List Table 4 - Accent 2"/>
    <w:basedOn w:val="54"/>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81">
    <w:name w:val="List Table 4 - Accent 3"/>
    <w:basedOn w:val="54"/>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82">
    <w:name w:val="List Table 4 - Accent 4"/>
    <w:basedOn w:val="54"/>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83">
    <w:name w:val="List Table 4 - Accent 5"/>
    <w:basedOn w:val="54"/>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Layout w:type="fixed"/>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84">
    <w:name w:val="List Table 4 - Accent 6"/>
    <w:basedOn w:val="54"/>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85">
    <w:name w:val="清单表 5 深色1"/>
    <w:basedOn w:val="54"/>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6">
    <w:name w:val="List Table 5 Dark - Accent 1"/>
    <w:basedOn w:val="54"/>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87">
    <w:name w:val="List Table 5 Dark - Accent 2"/>
    <w:basedOn w:val="54"/>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88">
    <w:name w:val="List Table 5 Dark - Accent 3"/>
    <w:basedOn w:val="54"/>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89">
    <w:name w:val="List Table 5 Dark - Accent 4"/>
    <w:basedOn w:val="54"/>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90">
    <w:name w:val="List Table 5 Dark - Accent 5"/>
    <w:basedOn w:val="54"/>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91">
    <w:name w:val="List Table 5 Dark - Accent 6"/>
    <w:basedOn w:val="54"/>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92">
    <w:name w:val="清单表 6 彩色1"/>
    <w:basedOn w:val="54"/>
    <w:qFormat/>
    <w:uiPriority w:val="99"/>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93">
    <w:name w:val="List Table 6 Colorful - Accent 1"/>
    <w:basedOn w:val="54"/>
    <w:qFormat/>
    <w:uiPriority w:val="99"/>
    <w:tblPr>
      <w:tblBorders>
        <w:top w:val="single" w:color="5B9BD5" w:themeColor="accent1" w:sz="4" w:space="0"/>
        <w:bottom w:val="single" w:color="5B9BD5" w:themeColor="accent1" w:sz="4" w:space="0"/>
      </w:tblBorders>
      <w:tblLayout w:type="fixed"/>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94">
    <w:name w:val="List Table 6 Colorful - Accent 2"/>
    <w:basedOn w:val="54"/>
    <w:qFormat/>
    <w:uiPriority w:val="99"/>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95">
    <w:name w:val="List Table 6 Colorful - Accent 3"/>
    <w:basedOn w:val="54"/>
    <w:qFormat/>
    <w:uiPriority w:val="99"/>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96">
    <w:name w:val="List Table 6 Colorful - Accent 4"/>
    <w:basedOn w:val="54"/>
    <w:qFormat/>
    <w:uiPriority w:val="99"/>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7">
    <w:name w:val="List Table 6 Colorful - Accent 5"/>
    <w:basedOn w:val="54"/>
    <w:qFormat/>
    <w:uiPriority w:val="99"/>
    <w:tblPr>
      <w:tblBorders>
        <w:top w:val="single" w:color="8EA9DB" w:themeColor="accent5" w:themeTint="9A" w:sz="4" w:space="0"/>
        <w:bottom w:val="single" w:color="8EA9DB" w:themeColor="accent5" w:themeTint="9A" w:sz="4" w:space="0"/>
      </w:tblBorders>
      <w:tblLayout w:type="fixed"/>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98">
    <w:name w:val="List Table 6 Colorful - Accent 6"/>
    <w:basedOn w:val="54"/>
    <w:qFormat/>
    <w:uiPriority w:val="99"/>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99">
    <w:name w:val="清单表 7 彩色1"/>
    <w:basedOn w:val="54"/>
    <w:qFormat/>
    <w:uiPriority w:val="99"/>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00">
    <w:name w:val="List Table 7 Colorful - Accent 1"/>
    <w:basedOn w:val="54"/>
    <w:qFormat/>
    <w:uiPriority w:val="99"/>
    <w:tblPr>
      <w:tblBorders>
        <w:right w:val="single" w:color="5B9BD5" w:themeColor="accent1" w:sz="4" w:space="0"/>
      </w:tblBorders>
      <w:tblLayout w:type="fixed"/>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01">
    <w:name w:val="List Table 7 Colorful - Accent 2"/>
    <w:basedOn w:val="54"/>
    <w:qFormat/>
    <w:uiPriority w:val="99"/>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02">
    <w:name w:val="List Table 7 Colorful - Accent 3"/>
    <w:basedOn w:val="54"/>
    <w:qFormat/>
    <w:uiPriority w:val="99"/>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03">
    <w:name w:val="List Table 7 Colorful - Accent 4"/>
    <w:basedOn w:val="54"/>
    <w:qFormat/>
    <w:uiPriority w:val="99"/>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04">
    <w:name w:val="List Table 7 Colorful - Accent 5"/>
    <w:basedOn w:val="54"/>
    <w:qFormat/>
    <w:uiPriority w:val="99"/>
    <w:tblPr>
      <w:tblBorders>
        <w:right w:val="single" w:color="8EA9DB" w:themeColor="accent5" w:themeTint="9A" w:sz="4" w:space="0"/>
      </w:tblBorders>
      <w:tblLayout w:type="fixed"/>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05">
    <w:name w:val="List Table 7 Colorful - Accent 6"/>
    <w:basedOn w:val="54"/>
    <w:qFormat/>
    <w:uiPriority w:val="99"/>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06">
    <w:name w:val="Lined - Accent"/>
    <w:basedOn w:val="54"/>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7">
    <w:name w:val="Lined - Accent 1"/>
    <w:basedOn w:val="54"/>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08">
    <w:name w:val="Lined - Accent 2"/>
    <w:basedOn w:val="54"/>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09">
    <w:name w:val="Lined - Accent 3"/>
    <w:basedOn w:val="54"/>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10">
    <w:name w:val="Lined - Accent 4"/>
    <w:basedOn w:val="54"/>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11">
    <w:name w:val="Lined - Accent 5"/>
    <w:basedOn w:val="54"/>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12">
    <w:name w:val="Lined - Accent 6"/>
    <w:basedOn w:val="54"/>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13">
    <w:name w:val="Bordered &amp; Lined - Accent"/>
    <w:basedOn w:val="54"/>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14">
    <w:name w:val="Bordered &amp; Lined - Accent 1"/>
    <w:basedOn w:val="54"/>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Layout w:type="fixed"/>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15">
    <w:name w:val="Bordered &amp; Lined - Accent 2"/>
    <w:basedOn w:val="54"/>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16">
    <w:name w:val="Bordered &amp; Lined - Accent 3"/>
    <w:basedOn w:val="54"/>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17">
    <w:name w:val="Bordered &amp; Lined - Accent 4"/>
    <w:basedOn w:val="54"/>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18">
    <w:name w:val="Bordered &amp; Lined - Accent 5"/>
    <w:basedOn w:val="54"/>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Layout w:type="fixed"/>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19">
    <w:name w:val="Bordered &amp; Lined - Accent 6"/>
    <w:basedOn w:val="54"/>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20">
    <w:name w:val="Bordered"/>
    <w:basedOn w:val="54"/>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21">
    <w:name w:val="Bordered - Accent 1"/>
    <w:basedOn w:val="54"/>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22">
    <w:name w:val="Bordered - Accent 2"/>
    <w:basedOn w:val="5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23">
    <w:name w:val="Bordered - Accent 3"/>
    <w:basedOn w:val="54"/>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24">
    <w:name w:val="Bordered - Accent 4"/>
    <w:basedOn w:val="54"/>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25">
    <w:name w:val="Bordered - Accent 5"/>
    <w:basedOn w:val="54"/>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26">
    <w:name w:val="Bordered - Accent 6"/>
    <w:basedOn w:val="54"/>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paragraph" w:customStyle="1" w:styleId="227">
    <w:name w:val="TOC 标题11"/>
    <w:unhideWhenUsed/>
    <w:qFormat/>
    <w:uiPriority w:val="39"/>
    <w:pPr>
      <w:spacing w:after="200" w:line="276" w:lineRule="auto"/>
    </w:pPr>
    <w:rPr>
      <w:rFonts w:asciiTheme="minorHAnsi" w:hAnsiTheme="minorHAnsi" w:eastAsiaTheme="minorHAnsi" w:cstheme="minorBidi"/>
      <w:sz w:val="22"/>
      <w:szCs w:val="22"/>
      <w:lang w:val="en-US" w:eastAsia="en-US" w:bidi="ar-SA"/>
    </w:rPr>
  </w:style>
  <w:style w:type="paragraph" w:styleId="228">
    <w:name w:val="No Spacing"/>
    <w:basedOn w:val="1"/>
    <w:qFormat/>
    <w:uiPriority w:val="1"/>
    <w:pPr>
      <w:spacing w:after="0" w:line="240" w:lineRule="auto"/>
    </w:pPr>
  </w:style>
  <w:style w:type="paragraph" w:styleId="229">
    <w:name w:val="List Paragraph"/>
    <w:basedOn w:val="1"/>
    <w:qFormat/>
    <w:uiPriority w:val="34"/>
    <w:pPr>
      <w:ind w:left="720"/>
      <w:contextualSpacing/>
    </w:pPr>
  </w:style>
  <w:style w:type="paragraph" w:customStyle="1" w:styleId="230">
    <w:name w:val="无间隔1"/>
    <w:qFormat/>
    <w:uiPriority w:val="0"/>
    <w:rPr>
      <w:rFonts w:ascii="Times New Roman" w:hAnsi="Times New Roman" w:eastAsia="宋体" w:cs="Times New Roman"/>
      <w:sz w:val="22"/>
      <w:szCs w:val="22"/>
      <w:lang w:val="en-US" w:eastAsia="en-US" w:bidi="ar-SA"/>
    </w:rPr>
  </w:style>
  <w:style w:type="paragraph" w:customStyle="1" w:styleId="231">
    <w:name w:val="彩色列表 - 着色 11"/>
    <w:basedOn w:val="1"/>
    <w:qFormat/>
    <w:uiPriority w:val="0"/>
    <w:pPr>
      <w:ind w:firstLine="420"/>
    </w:pPr>
    <w:rPr>
      <w:sz w:val="20"/>
    </w:rPr>
  </w:style>
  <w:style w:type="paragraph" w:customStyle="1" w:styleId="232">
    <w:name w:val="正文_0"/>
    <w:qFormat/>
    <w:uiPriority w:val="0"/>
    <w:pPr>
      <w:widowControl w:val="0"/>
      <w:jc w:val="both"/>
    </w:pPr>
    <w:rPr>
      <w:rFonts w:ascii="Calibri" w:hAnsi="Calibri" w:eastAsia="宋体" w:cs="Times New Roman"/>
      <w:sz w:val="21"/>
      <w:szCs w:val="22"/>
      <w:lang w:val="en-US" w:eastAsia="zh-CN" w:bidi="ar-SA"/>
    </w:rPr>
  </w:style>
  <w:style w:type="character" w:customStyle="1" w:styleId="233">
    <w:name w:val="批注文字 字符"/>
    <w:basedOn w:val="48"/>
    <w:link w:val="15"/>
    <w:semiHidden/>
    <w:qFormat/>
    <w:uiPriority w:val="0"/>
    <w:rPr>
      <w:sz w:val="21"/>
      <w:szCs w:val="22"/>
    </w:rPr>
  </w:style>
  <w:style w:type="character" w:customStyle="1" w:styleId="234">
    <w:name w:val="日期 字符"/>
    <w:basedOn w:val="48"/>
    <w:link w:val="31"/>
    <w:semiHidden/>
    <w:qFormat/>
    <w:uiPriority w:val="0"/>
    <w:rPr>
      <w:rFonts w:ascii="宋体"/>
      <w:sz w:val="28"/>
    </w:rPr>
  </w:style>
  <w:style w:type="character" w:customStyle="1" w:styleId="235">
    <w:name w:val="文档结构图 字符"/>
    <w:basedOn w:val="48"/>
    <w:link w:val="25"/>
    <w:semiHidden/>
    <w:qFormat/>
    <w:uiPriority w:val="0"/>
    <w:rPr>
      <w:sz w:val="24"/>
      <w:szCs w:val="24"/>
      <w:shd w:val="clear" w:color="auto" w:fill="000080"/>
    </w:rPr>
  </w:style>
  <w:style w:type="character" w:customStyle="1" w:styleId="236">
    <w:name w:val="批注主题 字符"/>
    <w:basedOn w:val="233"/>
    <w:link w:val="14"/>
    <w:semiHidden/>
    <w:qFormat/>
    <w:uiPriority w:val="0"/>
    <w:rPr>
      <w:rFonts w:ascii="宋体"/>
      <w:b/>
      <w:bCs/>
      <w:sz w:val="28"/>
      <w:szCs w:val="22"/>
    </w:rPr>
  </w:style>
  <w:style w:type="paragraph" w:customStyle="1" w:styleId="237">
    <w:name w:val="_Style 40"/>
    <w:basedOn w:val="5"/>
    <w:next w:val="1"/>
    <w:qFormat/>
    <w:uiPriority w:val="0"/>
    <w:pPr>
      <w:widowControl w:val="0"/>
      <w:spacing w:before="340" w:after="330" w:line="576" w:lineRule="auto"/>
      <w:jc w:val="both"/>
      <w:outlineLvl w:val="9"/>
    </w:pPr>
    <w:rPr>
      <w:rFonts w:ascii="Times New Roman" w:hAnsi="Times New Roman" w:eastAsia="宋体" w:cs="Times New Roman"/>
      <w:b/>
      <w:bCs/>
      <w:sz w:val="44"/>
      <w:szCs w:val="44"/>
      <w:lang w:eastAsia="zh-CN"/>
    </w:rPr>
  </w:style>
  <w:style w:type="paragraph" w:customStyle="1" w:styleId="238">
    <w:name w:val="普通(网站) Char"/>
    <w:basedOn w:val="1"/>
    <w:qFormat/>
    <w:uiPriority w:val="0"/>
    <w:pPr>
      <w:widowControl w:val="0"/>
      <w:spacing w:before="100" w:beforeAutospacing="1" w:after="100" w:afterAutospacing="1" w:line="360" w:lineRule="auto"/>
    </w:pPr>
    <w:rPr>
      <w:rFonts w:ascii="宋体" w:hAnsi="宋体" w:eastAsia="宋体" w:cs="Times New Roman"/>
      <w:sz w:val="24"/>
      <w:szCs w:val="24"/>
      <w:lang w:eastAsia="zh-CN"/>
    </w:rPr>
  </w:style>
  <w:style w:type="paragraph" w:customStyle="1" w:styleId="239">
    <w:name w:val="flNote"/>
    <w:basedOn w:val="1"/>
    <w:qFormat/>
    <w:uiPriority w:val="0"/>
    <w:pPr>
      <w:widowControl w:val="0"/>
      <w:spacing w:before="320" w:after="160" w:line="360" w:lineRule="atLeast"/>
      <w:jc w:val="center"/>
    </w:pPr>
    <w:rPr>
      <w:rFonts w:ascii="Arial" w:hAnsi="Times New Roman" w:eastAsia="黑体" w:cs="Times New Roman"/>
      <w:sz w:val="30"/>
      <w:szCs w:val="20"/>
      <w:lang w:eastAsia="zh-CN"/>
    </w:rPr>
  </w:style>
  <w:style w:type="character" w:customStyle="1" w:styleId="240">
    <w:name w:val="引用 字符"/>
    <w:link w:val="241"/>
    <w:qFormat/>
    <w:uiPriority w:val="0"/>
    <w:rPr>
      <w:i/>
      <w:iCs/>
      <w:color w:val="000000"/>
      <w:sz w:val="21"/>
      <w:szCs w:val="22"/>
    </w:rPr>
  </w:style>
  <w:style w:type="paragraph" w:customStyle="1" w:styleId="241">
    <w:name w:val="引用1"/>
    <w:basedOn w:val="1"/>
    <w:next w:val="1"/>
    <w:link w:val="240"/>
    <w:qFormat/>
    <w:uiPriority w:val="0"/>
    <w:pPr>
      <w:widowControl w:val="0"/>
      <w:spacing w:after="0" w:line="240" w:lineRule="auto"/>
      <w:jc w:val="both"/>
    </w:pPr>
    <w:rPr>
      <w:rFonts w:ascii="Times New Roman" w:hAnsi="Times New Roman" w:eastAsia="宋体" w:cs="Times New Roman"/>
      <w:i/>
      <w:iCs/>
      <w:color w:val="000000"/>
      <w:sz w:val="21"/>
      <w:lang w:eastAsia="zh-CN"/>
    </w:rPr>
  </w:style>
  <w:style w:type="paragraph" w:customStyle="1" w:styleId="242">
    <w:name w:val="样式 标题 3 + (中文) 黑体 小四 非加粗 段前: 7.8 磅 段后: 0 磅 行距: 固定值 20 磅"/>
    <w:basedOn w:val="7"/>
    <w:qFormat/>
    <w:uiPriority w:val="0"/>
    <w:pPr>
      <w:widowControl w:val="0"/>
      <w:spacing w:before="0" w:after="0" w:line="400" w:lineRule="exact"/>
      <w:jc w:val="both"/>
    </w:pPr>
    <w:rPr>
      <w:rFonts w:ascii="Times New Roman" w:hAnsi="Times New Roman" w:eastAsia="黑体" w:cs="宋体"/>
      <w:sz w:val="24"/>
      <w:szCs w:val="20"/>
      <w:lang w:eastAsia="zh-CN"/>
    </w:rPr>
  </w:style>
  <w:style w:type="character" w:customStyle="1" w:styleId="243">
    <w:name w:val="标题4 Char Char"/>
    <w:link w:val="244"/>
    <w:qFormat/>
    <w:uiPriority w:val="0"/>
    <w:rPr>
      <w:rFonts w:ascii="Arial" w:hAnsi="Arial" w:cs="Arial"/>
      <w:b/>
      <w:bCs/>
      <w:sz w:val="24"/>
      <w:szCs w:val="32"/>
    </w:rPr>
  </w:style>
  <w:style w:type="paragraph" w:customStyle="1" w:styleId="244">
    <w:name w:val="标题4"/>
    <w:basedOn w:val="6"/>
    <w:next w:val="27"/>
    <w:link w:val="243"/>
    <w:qFormat/>
    <w:uiPriority w:val="0"/>
    <w:pPr>
      <w:widowControl w:val="0"/>
      <w:spacing w:before="260" w:after="260" w:line="412" w:lineRule="auto"/>
      <w:jc w:val="both"/>
    </w:pPr>
    <w:rPr>
      <w:rFonts w:eastAsia="宋体"/>
      <w:b/>
      <w:bCs/>
      <w:sz w:val="24"/>
      <w:szCs w:val="32"/>
      <w:lang w:eastAsia="zh-CN"/>
    </w:rPr>
  </w:style>
  <w:style w:type="paragraph" w:customStyle="1" w:styleId="245">
    <w:name w:val="样式 标题 2 + Times New Roman 四号 非加粗 段前: 5 磅 段后: 0 磅 行距: 固定值 20..."/>
    <w:basedOn w:val="6"/>
    <w:qFormat/>
    <w:uiPriority w:val="0"/>
    <w:pPr>
      <w:widowControl w:val="0"/>
      <w:spacing w:before="100" w:after="0" w:line="400" w:lineRule="exact"/>
      <w:jc w:val="both"/>
    </w:pPr>
    <w:rPr>
      <w:rFonts w:ascii="Times New Roman" w:hAnsi="Times New Roman" w:eastAsia="黑体" w:cs="宋体"/>
      <w:sz w:val="28"/>
      <w:szCs w:val="20"/>
      <w:lang w:eastAsia="zh-CN"/>
    </w:rPr>
  </w:style>
  <w:style w:type="character" w:customStyle="1" w:styleId="246">
    <w:name w:val="标题5 Char Char"/>
    <w:link w:val="247"/>
    <w:qFormat/>
    <w:uiPriority w:val="0"/>
    <w:rPr>
      <w:rFonts w:ascii="Arial" w:hAnsi="Arial" w:cs="Arial"/>
      <w:b/>
      <w:bCs/>
      <w:sz w:val="24"/>
      <w:szCs w:val="32"/>
    </w:rPr>
  </w:style>
  <w:style w:type="paragraph" w:customStyle="1" w:styleId="247">
    <w:name w:val="标题5"/>
    <w:basedOn w:val="7"/>
    <w:link w:val="246"/>
    <w:qFormat/>
    <w:uiPriority w:val="0"/>
    <w:pPr>
      <w:widowControl w:val="0"/>
      <w:spacing w:before="260" w:after="260" w:line="412" w:lineRule="auto"/>
      <w:jc w:val="both"/>
    </w:pPr>
    <w:rPr>
      <w:rFonts w:eastAsia="宋体"/>
      <w:b/>
      <w:bCs/>
      <w:sz w:val="24"/>
      <w:szCs w:val="32"/>
      <w:lang w:eastAsia="zh-CN"/>
    </w:rPr>
  </w:style>
  <w:style w:type="paragraph" w:customStyle="1" w:styleId="248">
    <w:name w:val="_Style 49"/>
    <w:qFormat/>
    <w:uiPriority w:val="0"/>
    <w:rPr>
      <w:rFonts w:ascii="Times New Roman" w:hAnsi="Times New Roman" w:eastAsia="宋体" w:cs="Times New Roman"/>
      <w:sz w:val="21"/>
      <w:szCs w:val="24"/>
      <w:lang w:val="en-US" w:eastAsia="zh-CN" w:bidi="ar-SA"/>
    </w:rPr>
  </w:style>
  <w:style w:type="character" w:customStyle="1" w:styleId="249">
    <w:name w:val="明显引用 字符"/>
    <w:link w:val="250"/>
    <w:qFormat/>
    <w:uiPriority w:val="0"/>
    <w:rPr>
      <w:b/>
      <w:bCs/>
      <w:i/>
      <w:iCs/>
      <w:color w:val="4F81BD"/>
      <w:sz w:val="21"/>
      <w:szCs w:val="22"/>
    </w:rPr>
  </w:style>
  <w:style w:type="paragraph" w:customStyle="1" w:styleId="250">
    <w:name w:val="明显引用1"/>
    <w:basedOn w:val="1"/>
    <w:next w:val="1"/>
    <w:link w:val="249"/>
    <w:qFormat/>
    <w:uiPriority w:val="0"/>
    <w:pPr>
      <w:widowControl w:val="0"/>
      <w:pBdr>
        <w:bottom w:val="single" w:color="4F81BD" w:sz="4" w:space="4"/>
      </w:pBdr>
      <w:spacing w:before="200" w:after="280" w:line="240" w:lineRule="auto"/>
      <w:ind w:left="936" w:right="936"/>
      <w:jc w:val="both"/>
    </w:pPr>
    <w:rPr>
      <w:rFonts w:ascii="Times New Roman" w:hAnsi="Times New Roman" w:eastAsia="宋体" w:cs="Times New Roman"/>
      <w:b/>
      <w:bCs/>
      <w:i/>
      <w:iCs/>
      <w:color w:val="4F81BD"/>
      <w:sz w:val="21"/>
      <w:lang w:eastAsia="zh-CN"/>
    </w:rPr>
  </w:style>
  <w:style w:type="paragraph" w:customStyle="1" w:styleId="251">
    <w:name w:val="列表段落1"/>
    <w:basedOn w:val="1"/>
    <w:qFormat/>
    <w:uiPriority w:val="0"/>
    <w:pPr>
      <w:widowControl w:val="0"/>
      <w:spacing w:after="0" w:line="240" w:lineRule="auto"/>
      <w:ind w:firstLine="420"/>
      <w:jc w:val="both"/>
    </w:pPr>
    <w:rPr>
      <w:rFonts w:ascii="Times New Roman" w:hAnsi="Times New Roman" w:eastAsia="宋体" w:cs="Times New Roman"/>
      <w:sz w:val="21"/>
      <w:lang w:eastAsia="zh-CN"/>
    </w:rPr>
  </w:style>
  <w:style w:type="paragraph" w:customStyle="1" w:styleId="252">
    <w:name w:val="空半行"/>
    <w:basedOn w:val="1"/>
    <w:qFormat/>
    <w:uiPriority w:val="0"/>
    <w:pPr>
      <w:widowControl w:val="0"/>
      <w:spacing w:after="0" w:line="120" w:lineRule="exact"/>
      <w:jc w:val="both"/>
    </w:pPr>
    <w:rPr>
      <w:rFonts w:ascii="Times New Roman" w:hAnsi="Times New Roman" w:eastAsia="仿宋_GB2312" w:cs="Times New Roman"/>
      <w:color w:val="FFFFFF"/>
      <w:sz w:val="30"/>
      <w:szCs w:val="20"/>
      <w:lang w:eastAsia="zh-CN"/>
    </w:rPr>
  </w:style>
  <w:style w:type="paragraph" w:customStyle="1" w:styleId="253">
    <w:name w:val="WPSOffice手动目录 1"/>
    <w:qFormat/>
    <w:uiPriority w:val="0"/>
    <w:rPr>
      <w:rFonts w:ascii="Times New Roman" w:hAnsi="Times New Roman" w:eastAsia="宋体" w:cs="Times New Roman"/>
      <w:lang w:val="en-US" w:eastAsia="zh-CN" w:bidi="ar-SA"/>
    </w:rPr>
  </w:style>
  <w:style w:type="paragraph" w:customStyle="1" w:styleId="254">
    <w:name w:val="Blockquote"/>
    <w:basedOn w:val="1"/>
    <w:qFormat/>
    <w:uiPriority w:val="0"/>
    <w:pPr>
      <w:widowControl w:val="0"/>
      <w:spacing w:before="100" w:after="100" w:line="240" w:lineRule="auto"/>
      <w:ind w:left="360" w:right="360"/>
    </w:pPr>
    <w:rPr>
      <w:rFonts w:ascii="Times New Roman" w:hAnsi="Times New Roman" w:eastAsia="宋体" w:cs="Times New Roman"/>
      <w:sz w:val="24"/>
      <w:lang w:eastAsia="zh-CN"/>
    </w:rPr>
  </w:style>
  <w:style w:type="paragraph" w:customStyle="1" w:styleId="255">
    <w:name w:val="Normal_20_0"/>
    <w:qFormat/>
    <w:uiPriority w:val="99"/>
    <w:pPr>
      <w:spacing w:before="120" w:after="240"/>
      <w:jc w:val="both"/>
    </w:pPr>
    <w:rPr>
      <w:rFonts w:ascii="Calibri" w:hAnsi="Calibri" w:eastAsia="等线" w:cs="Times New Roman"/>
      <w:sz w:val="22"/>
      <w:szCs w:val="22"/>
      <w:lang w:val="en-US" w:eastAsia="en-US" w:bidi="ar-SA"/>
    </w:rPr>
  </w:style>
  <w:style w:type="character" w:customStyle="1" w:styleId="256">
    <w:name w:val="_Style 53"/>
    <w:qFormat/>
    <w:uiPriority w:val="0"/>
    <w:rPr>
      <w:b/>
      <w:bCs/>
      <w:smallCaps/>
      <w:color w:val="C0504D"/>
      <w:spacing w:val="5"/>
      <w:u w:val="single"/>
    </w:rPr>
  </w:style>
  <w:style w:type="character" w:customStyle="1" w:styleId="257">
    <w:name w:val="_Style 56"/>
    <w:qFormat/>
    <w:uiPriority w:val="0"/>
    <w:rPr>
      <w:i/>
      <w:iCs/>
      <w:color w:val="808080"/>
    </w:rPr>
  </w:style>
  <w:style w:type="character" w:customStyle="1" w:styleId="258">
    <w:name w:val="_Style 58"/>
    <w:qFormat/>
    <w:uiPriority w:val="0"/>
    <w:rPr>
      <w:b/>
      <w:bCs/>
      <w:smallCaps/>
      <w:spacing w:val="5"/>
    </w:rPr>
  </w:style>
  <w:style w:type="character" w:customStyle="1" w:styleId="259">
    <w:name w:val="_Style 62"/>
    <w:qFormat/>
    <w:uiPriority w:val="0"/>
    <w:rPr>
      <w:b/>
      <w:bCs/>
      <w:i/>
      <w:iCs/>
      <w:color w:val="4F81BD"/>
    </w:rPr>
  </w:style>
  <w:style w:type="character" w:customStyle="1" w:styleId="260">
    <w:name w:val="正文文本 Char1"/>
    <w:qFormat/>
    <w:uiPriority w:val="0"/>
    <w:rPr>
      <w:sz w:val="21"/>
      <w:szCs w:val="22"/>
    </w:rPr>
  </w:style>
  <w:style w:type="character" w:customStyle="1" w:styleId="261">
    <w:name w:val="批注主题 Char1"/>
    <w:qFormat/>
    <w:uiPriority w:val="0"/>
    <w:rPr>
      <w:b/>
      <w:bCs/>
      <w:sz w:val="21"/>
      <w:szCs w:val="22"/>
    </w:rPr>
  </w:style>
  <w:style w:type="character" w:customStyle="1" w:styleId="262">
    <w:name w:val="文档结构图 Char1"/>
    <w:qFormat/>
    <w:uiPriority w:val="0"/>
    <w:rPr>
      <w:rFonts w:hint="eastAsia" w:ascii="宋体" w:hAnsi="宋体" w:eastAsia="宋体"/>
      <w:sz w:val="18"/>
      <w:szCs w:val="18"/>
    </w:rPr>
  </w:style>
  <w:style w:type="character" w:customStyle="1" w:styleId="263">
    <w:name w:val="批注框文本 Char1"/>
    <w:qFormat/>
    <w:uiPriority w:val="0"/>
    <w:rPr>
      <w:sz w:val="18"/>
      <w:szCs w:val="18"/>
    </w:rPr>
  </w:style>
  <w:style w:type="character" w:customStyle="1" w:styleId="264">
    <w:name w:val="textcontents"/>
    <w:qFormat/>
    <w:uiPriority w:val="0"/>
    <w:rPr>
      <w:rFonts w:hint="default" w:ascii="Times New Roman" w:hAnsi="Times New Roman" w:cs="Times New Roman"/>
    </w:rPr>
  </w:style>
  <w:style w:type="character" w:customStyle="1" w:styleId="265">
    <w:name w:val="日期 Char1"/>
    <w:qFormat/>
    <w:uiPriority w:val="0"/>
    <w:rPr>
      <w:sz w:val="21"/>
      <w:szCs w:val="22"/>
    </w:rPr>
  </w:style>
  <w:style w:type="character" w:customStyle="1" w:styleId="266">
    <w:name w:val="_Style 84"/>
    <w:qFormat/>
    <w:uiPriority w:val="0"/>
    <w:rPr>
      <w:smallCaps/>
      <w:color w:val="C0504D"/>
      <w:u w:val="single"/>
    </w:rPr>
  </w:style>
  <w:style w:type="character" w:customStyle="1" w:styleId="267">
    <w:name w:val="批注文字 Char Char"/>
    <w:qFormat/>
    <w:uiPriority w:val="0"/>
    <w:rPr>
      <w:rFonts w:hint="eastAsia" w:ascii="宋体" w:hAnsi="Times New Roman" w:eastAsia="宋体" w:cs="Times New Roman"/>
      <w:sz w:val="28"/>
      <w:szCs w:val="20"/>
    </w:rPr>
  </w:style>
  <w:style w:type="paragraph" w:customStyle="1" w:styleId="268">
    <w:name w:val="首行缩进"/>
    <w:basedOn w:val="1"/>
    <w:next w:val="1"/>
    <w:qFormat/>
    <w:uiPriority w:val="0"/>
    <w:pPr>
      <w:widowControl w:val="0"/>
      <w:spacing w:line="360" w:lineRule="auto"/>
      <w:ind w:firstLine="480"/>
      <w:jc w:val="both"/>
    </w:pPr>
    <w:rPr>
      <w:rFonts w:ascii="宋体" w:hAnsi="宋体" w:cs="宋体"/>
      <w:sz w:val="24"/>
      <w:szCs w:val="24"/>
    </w:rPr>
  </w:style>
  <w:style w:type="paragraph" w:customStyle="1" w:styleId="269">
    <w:name w:val="BodyText"/>
    <w:basedOn w:val="1"/>
    <w:qFormat/>
    <w:uiPriority w:val="0"/>
    <w:rPr>
      <w:rFonts w:ascii="仿宋_GB2312" w:eastAsia="仿宋_GB2312"/>
      <w:sz w:val="28"/>
    </w:rPr>
  </w:style>
  <w:style w:type="paragraph" w:customStyle="1" w:styleId="270">
    <w:name w:val="_HT_正文"/>
    <w:basedOn w:val="1"/>
    <w:qFormat/>
    <w:uiPriority w:val="0"/>
    <w:pPr>
      <w:spacing w:line="360" w:lineRule="auto"/>
      <w:ind w:firstLine="200"/>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黑体"/>
        <a:cs typeface="Arial"/>
      </a:majorFont>
      <a:minorFont>
        <a:latin typeface="Arial"/>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customXml/itemProps3.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Pages>44</Pages>
  <Words>3228</Words>
  <Characters>18406</Characters>
  <Lines>153</Lines>
  <Paragraphs>43</Paragraphs>
  <TotalTime>0</TotalTime>
  <ScaleCrop>false</ScaleCrop>
  <LinksUpToDate>false</LinksUpToDate>
  <CharactersWithSpaces>21591</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2022-06-21T05:01:00Z</dcterms:created>
  <dc:creator>Administrator</dc:creator>
  <cp:lastModifiedBy>WpsUser</cp:lastModifiedBy>
  <dcterms:modified xsi:type="dcterms:W3CDTF">2023-12-22T02:49:18Z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9329682067354696964B5B367D43467D_13</vt:lpwstr>
  </property>
</Properties>
</file>