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ind w:firstLine="560" w:firstLineChars="200"/>
        <w:rPr>
          <w:rFonts w:hint="eastAsia" w:ascii="宋体" w:hAnsi="宋体" w:cs="宋体"/>
          <w:sz w:val="28"/>
          <w:szCs w:val="28"/>
        </w:rPr>
      </w:pPr>
      <w:r>
        <w:rPr>
          <w:rFonts w:hint="eastAsia" w:ascii="宋体" w:hAnsi="宋体" w:cs="宋体"/>
          <w:sz w:val="28"/>
          <w:szCs w:val="28"/>
        </w:rPr>
        <w:t>如有建议或意见，请以书面形式并加盖公章、注明联系人、联系方式，于</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日17:00之前送至我单位，逾期不受理（如邮寄，</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19</w:t>
      </w:r>
      <w:bookmarkStart w:id="15" w:name="_GoBack"/>
      <w:bookmarkEnd w:id="15"/>
      <w:r>
        <w:rPr>
          <w:rFonts w:hint="eastAsia" w:ascii="宋体" w:hAnsi="宋体" w:cs="宋体"/>
          <w:sz w:val="28"/>
          <w:szCs w:val="28"/>
        </w:rPr>
        <w:t>日17:00之后到达本公司的邮件将不再受理）。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采购需求</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bookmarkStart w:id="0" w:name="_Toc95322008"/>
      <w:bookmarkStart w:id="1" w:name="_Toc99811167"/>
      <w:bookmarkStart w:id="2" w:name="_Toc78988938"/>
      <w:bookmarkStart w:id="3" w:name="_Toc90943449"/>
      <w:bookmarkStart w:id="4" w:name="_Toc79133978"/>
      <w:r>
        <w:rPr>
          <w:rFonts w:hint="eastAsia" w:ascii="宋体" w:hAnsi="宋体" w:eastAsia="宋体" w:cs="宋体"/>
          <w:b/>
          <w:bCs/>
          <w:kern w:val="2"/>
          <w:sz w:val="30"/>
          <w:szCs w:val="28"/>
          <w:lang w:val="en-US" w:eastAsia="zh-CN" w:bidi="ar-SA"/>
        </w:rPr>
        <w:t>项目名称</w:t>
      </w:r>
      <w:bookmarkEnd w:id="0"/>
      <w:bookmarkEnd w:id="1"/>
      <w:bookmarkEnd w:id="2"/>
      <w:bookmarkEnd w:id="3"/>
      <w:bookmarkEnd w:id="4"/>
    </w:p>
    <w:p>
      <w:pPr>
        <w:widowControl w:val="0"/>
        <w:spacing w:line="360" w:lineRule="auto"/>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项目名称：邳州市入河排污口规范化建设项目</w:t>
      </w:r>
    </w:p>
    <w:p>
      <w:pPr>
        <w:widowControl w:val="0"/>
        <w:spacing w:line="360" w:lineRule="auto"/>
        <w:ind w:firstLine="560" w:firstLineChars="200"/>
        <w:jc w:val="both"/>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服务期限：项目建设周期自合同签订至2023年10月，项目运维服务期3年。</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项目预算</w:t>
      </w:r>
    </w:p>
    <w:p>
      <w:pPr>
        <w:widowControl w:val="0"/>
        <w:spacing w:line="360" w:lineRule="auto"/>
        <w:ind w:firstLine="560" w:firstLineChars="200"/>
        <w:jc w:val="both"/>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预算金额：</w:t>
      </w:r>
      <w:r>
        <w:rPr>
          <w:rFonts w:hint="eastAsia" w:ascii="宋体" w:hAnsi="宋体" w:cs="宋体"/>
          <w:kern w:val="2"/>
          <w:sz w:val="28"/>
          <w:szCs w:val="28"/>
          <w:lang w:val="en-US" w:eastAsia="zh-CN" w:bidi="ar-SA"/>
        </w:rPr>
        <w:t>本项目不接受超过1842</w:t>
      </w:r>
      <w:r>
        <w:rPr>
          <w:rFonts w:hint="eastAsia" w:ascii="宋体" w:hAnsi="宋体" w:eastAsia="宋体" w:cs="宋体"/>
          <w:kern w:val="2"/>
          <w:sz w:val="28"/>
          <w:szCs w:val="28"/>
          <w:lang w:val="en-US" w:eastAsia="zh-CN" w:bidi="ar-SA"/>
        </w:rPr>
        <w:t>.00万元</w:t>
      </w:r>
      <w:r>
        <w:rPr>
          <w:rFonts w:hint="eastAsia" w:ascii="宋体" w:hAnsi="宋体" w:cs="宋体"/>
          <w:kern w:val="2"/>
          <w:sz w:val="28"/>
          <w:szCs w:val="28"/>
          <w:lang w:val="en-US" w:eastAsia="zh-CN" w:bidi="ar-SA"/>
        </w:rPr>
        <w:t>的投标报价。</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项目概况</w:t>
      </w:r>
    </w:p>
    <w:p>
      <w:pPr>
        <w:widowControl w:val="0"/>
        <w:spacing w:line="360" w:lineRule="auto"/>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河流水环境“问题在水里，根源在岸上，核心在管网，关键在排污口”。岸上污染物通过入河排污口进入水环境，只有说清了排污口的水质水量，才能说清河流污染负荷和各排污口的污染贡献率，才能有针对性地采取措施，而入河排污口的管控是最优化和最有效的手段。与此同时，入河排污口管控是生态环境保护管理工作需求，是全市水环境精细化管理的重要组成部分，是河长制的重要抓手。</w:t>
      </w:r>
    </w:p>
    <w:p>
      <w:pPr>
        <w:widowControl w:val="0"/>
        <w:spacing w:line="360" w:lineRule="auto"/>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旨在开展邳州市入河排污口在线监测系统建设，构建全市入河排污口在线监测系统；通过对重要入河排污口水质、水量数据的连续监测和分析，实时跟踪邳州市重点流域水质并开展污染因子溯源，识别主要污染来源及贡献；建设入河排污口动态管理平台，实现对入河排污口水质、水量实时监控，周边环境实时显示，监管预警“零时差”；以入河排污口为切入点，提升整体水环境的监管能力；为加强数据互联共享，及时提供自动监测评估信息，以各级河长为基本单位，利用智慧监管平台，形成各级河长的网络管理架构，完善长效管理机制，监测数据信息逐级掌握，逐级履职。</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服务内容</w:t>
      </w:r>
    </w:p>
    <w:p>
      <w:pPr>
        <w:widowControl w:val="0"/>
        <w:spacing w:line="360" w:lineRule="auto"/>
        <w:ind w:left="357" w:firstLine="0" w:firstLineChars="0"/>
        <w:jc w:val="both"/>
        <w:outlineLvl w:val="2"/>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1.4.1项目规模</w:t>
      </w:r>
    </w:p>
    <w:p>
      <w:pPr>
        <w:widowControl w:val="0"/>
        <w:adjustRightInd w:val="0"/>
        <w:spacing w:line="360" w:lineRule="auto"/>
        <w:ind w:left="360" w:firstLine="0" w:firstLineChars="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在</w:t>
      </w:r>
      <w:r>
        <w:rPr>
          <w:rFonts w:hint="eastAsia" w:ascii="宋体" w:hAnsi="宋体" w:eastAsia="宋体" w:cs="宋体"/>
          <w:kern w:val="2"/>
          <w:sz w:val="28"/>
          <w:szCs w:val="28"/>
          <w:lang w:val="en-US" w:eastAsia="zh-CN" w:bidi="ar-SA"/>
        </w:rPr>
        <w:t>邳州市经过排查溯源后予以保留的入河排污口</w:t>
      </w:r>
      <w:r>
        <w:rPr>
          <w:rFonts w:hint="eastAsia" w:ascii="宋体" w:hAnsi="宋体" w:cs="宋体"/>
          <w:kern w:val="2"/>
          <w:sz w:val="28"/>
          <w:szCs w:val="28"/>
          <w:lang w:val="en-US" w:eastAsia="zh-CN" w:bidi="ar-SA"/>
        </w:rPr>
        <w:t>台账中选取重点入河排污口</w:t>
      </w:r>
      <w:r>
        <w:rPr>
          <w:rFonts w:hint="eastAsia" w:ascii="宋体" w:hAnsi="宋体" w:eastAsia="宋体" w:cs="宋体"/>
          <w:kern w:val="2"/>
          <w:sz w:val="28"/>
          <w:szCs w:val="28"/>
          <w:lang w:val="en-US" w:eastAsia="zh-CN" w:bidi="ar-SA"/>
        </w:rPr>
        <w:t>，安装100个入河排污口标志牌；</w:t>
      </w:r>
    </w:p>
    <w:p>
      <w:pPr>
        <w:widowControl w:val="0"/>
        <w:adjustRightInd w:val="0"/>
        <w:spacing w:line="360" w:lineRule="auto"/>
        <w:ind w:left="360" w:firstLine="0" w:firstLineChars="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选取全市范围内重点考核断面上下游、排放水质不达标、对流域水环境质量影响严重的20个入河排污口，安装水质自动监测装置、水量在线监测装置、视频监控装置，通过智能化的自动监测平台，构建邳州市入河排污口监测系统；</w:t>
      </w:r>
    </w:p>
    <w:p>
      <w:pPr>
        <w:widowControl w:val="0"/>
        <w:adjustRightInd w:val="0"/>
        <w:spacing w:line="360" w:lineRule="auto"/>
        <w:ind w:left="360" w:firstLine="0" w:firstLineChars="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搭建“邳州市入河排污口动态管理平台”，整合区域内各水质自动监测站信息，实现监测点位可视化、数据实时更新、数据统计分析、提前预警等功能，且在单站点分析的基础上，形成流域监测网络的数据关联分析，初步形成全市水环境监测网络，为水环境管理决策提供保障。</w:t>
      </w:r>
    </w:p>
    <w:p>
      <w:pPr>
        <w:widowControl w:val="0"/>
        <w:spacing w:line="360" w:lineRule="auto"/>
        <w:ind w:left="357" w:firstLine="0" w:firstLineChars="0"/>
        <w:jc w:val="both"/>
        <w:outlineLvl w:val="2"/>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1.4.2货物清单</w:t>
      </w:r>
    </w:p>
    <w:p>
      <w:pPr>
        <w:widowControl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表1 货物清单</w:t>
      </w:r>
    </w:p>
    <w:tbl>
      <w:tblPr>
        <w:tblStyle w:val="8"/>
        <w:tblW w:w="5049"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28"/>
        <w:gridCol w:w="117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项目内容</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计量单位</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w:t>
            </w:r>
            <w:r>
              <w:rPr>
                <w:rFonts w:hint="eastAsia" w:ascii="宋体" w:hAnsi="宋体" w:eastAsia="宋体" w:cs="宋体"/>
                <w:kern w:val="0"/>
                <w:sz w:val="24"/>
                <w:szCs w:val="28"/>
                <w:lang w:val="en-US" w:eastAsia="zh-CN" w:bidi="ar-SA"/>
              </w:rPr>
              <w:t>污</w:t>
            </w:r>
            <w:r>
              <w:rPr>
                <w:rFonts w:hint="eastAsia" w:ascii="宋体" w:hAnsi="宋体" w:eastAsia="宋体" w:cs="宋体"/>
                <w:kern w:val="0"/>
                <w:sz w:val="24"/>
                <w:szCs w:val="24"/>
                <w:lang w:val="en-US" w:eastAsia="zh-CN" w:bidi="ar-SA"/>
              </w:rPr>
              <w:t>口标志牌建设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水质水量微型预警站建设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kern w:val="0"/>
                <w:sz w:val="24"/>
                <w:szCs w:val="24"/>
                <w:lang w:val="en-US" w:eastAsia="zh-CN" w:bidi="ar-SA"/>
              </w:rPr>
              <w:t>2.1</w:t>
            </w:r>
          </w:p>
        </w:tc>
        <w:tc>
          <w:tcPr>
            <w:tcW w:w="3269" w:type="pct"/>
            <w:noWrap/>
            <w:vAlign w:val="center"/>
          </w:tcPr>
          <w:p>
            <w:pPr>
              <w:widowControl w:val="0"/>
              <w:spacing w:after="0" w:line="360" w:lineRule="auto"/>
              <w:ind w:firstLine="0" w:firstLineChars="0"/>
              <w:jc w:val="both"/>
              <w:rPr>
                <w:rFonts w:hint="default" w:ascii="宋体" w:hAnsi="宋体" w:eastAsia="宋体" w:cs="宋体"/>
                <w:kern w:val="2"/>
                <w:sz w:val="21"/>
                <w:szCs w:val="22"/>
                <w:lang w:val="en-US" w:eastAsia="zh-CN" w:bidi="ar-SA"/>
              </w:rPr>
            </w:pPr>
            <w:r>
              <w:rPr>
                <w:rFonts w:hint="eastAsia" w:ascii="宋体" w:hAnsi="宋体" w:eastAsia="宋体" w:cs="宋体"/>
                <w:kern w:val="0"/>
                <w:sz w:val="24"/>
                <w:szCs w:val="24"/>
                <w:lang w:val="en-US" w:eastAsia="zh-CN" w:bidi="ar-SA"/>
              </w:rPr>
              <w:t>水质自动监测装置（九参数）</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水量在线监测装置</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2.3</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视频监控装置</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2.4</w:t>
            </w:r>
          </w:p>
        </w:tc>
        <w:tc>
          <w:tcPr>
            <w:tcW w:w="3269"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入河排污口周边设备护栏及平台建设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3269" w:type="pct"/>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入河排污口动态管理平台建设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3269" w:type="pct"/>
            <w:vAlign w:val="center"/>
          </w:tcPr>
          <w:p>
            <w:pPr>
              <w:widowControl w:val="0"/>
              <w:spacing w:after="0" w:line="360" w:lineRule="auto"/>
              <w:ind w:firstLine="0" w:firstLineChars="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入河排污口检查维护</w:t>
            </w:r>
            <w:r>
              <w:rPr>
                <w:rFonts w:hint="eastAsia" w:ascii="宋体" w:hAnsi="宋体" w:cs="宋体"/>
                <w:kern w:val="0"/>
                <w:sz w:val="24"/>
                <w:szCs w:val="24"/>
                <w:lang w:val="en-US" w:eastAsia="zh-CN" w:bidi="ar-SA"/>
              </w:rPr>
              <w:t>采样平台建设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4.1</w:t>
            </w:r>
          </w:p>
        </w:tc>
        <w:tc>
          <w:tcPr>
            <w:tcW w:w="3269" w:type="pct"/>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入河排污口</w:t>
            </w:r>
            <w:r>
              <w:rPr>
                <w:rFonts w:hint="eastAsia" w:ascii="宋体" w:hAnsi="宋体" w:cs="宋体"/>
                <w:kern w:val="0"/>
                <w:sz w:val="24"/>
                <w:szCs w:val="24"/>
                <w:lang w:val="en-US" w:eastAsia="zh-CN" w:bidi="ar-SA"/>
              </w:rPr>
              <w:t>采样平台建设</w:t>
            </w:r>
          </w:p>
        </w:tc>
        <w:tc>
          <w:tcPr>
            <w:tcW w:w="683"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635" w:type="pct"/>
            <w:noWrap/>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noWrap/>
            <w:vAlign w:val="center"/>
          </w:tcPr>
          <w:p>
            <w:pPr>
              <w:widowControl w:val="0"/>
              <w:spacing w:after="0" w:line="360" w:lineRule="auto"/>
              <w:ind w:firstLine="0" w:firstLineChars="0"/>
              <w:jc w:val="both"/>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4.2</w:t>
            </w:r>
          </w:p>
        </w:tc>
        <w:tc>
          <w:tcPr>
            <w:tcW w:w="3269" w:type="pct"/>
            <w:vAlign w:val="center"/>
          </w:tcPr>
          <w:p>
            <w:pPr>
              <w:widowControl w:val="0"/>
              <w:spacing w:after="0"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入河排污口</w:t>
            </w:r>
            <w:r>
              <w:rPr>
                <w:rFonts w:hint="eastAsia" w:ascii="宋体" w:hAnsi="宋体" w:cs="宋体"/>
                <w:kern w:val="0"/>
                <w:sz w:val="24"/>
                <w:szCs w:val="24"/>
                <w:lang w:val="en-US" w:eastAsia="zh-CN" w:bidi="ar-SA"/>
              </w:rPr>
              <w:t>更新</w:t>
            </w:r>
            <w:r>
              <w:rPr>
                <w:rFonts w:hint="eastAsia" w:ascii="宋体" w:hAnsi="宋体" w:eastAsia="宋体" w:cs="宋体"/>
                <w:kern w:val="0"/>
                <w:sz w:val="24"/>
                <w:szCs w:val="24"/>
                <w:lang w:val="en-US" w:eastAsia="zh-CN" w:bidi="ar-SA"/>
              </w:rPr>
              <w:t>维护</w:t>
            </w:r>
          </w:p>
        </w:tc>
        <w:tc>
          <w:tcPr>
            <w:tcW w:w="683" w:type="pct"/>
            <w:noWrap/>
            <w:vAlign w:val="center"/>
          </w:tcPr>
          <w:p>
            <w:pPr>
              <w:widowControl w:val="0"/>
              <w:spacing w:after="0" w:line="360" w:lineRule="auto"/>
              <w:ind w:firstLine="0" w:firstLineChars="0"/>
              <w:jc w:val="both"/>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635" w:type="pct"/>
            <w:noWrap/>
            <w:vAlign w:val="center"/>
          </w:tcPr>
          <w:p>
            <w:pPr>
              <w:widowControl w:val="0"/>
              <w:spacing w:after="0" w:line="360" w:lineRule="auto"/>
              <w:ind w:firstLine="0" w:firstLineChars="0"/>
              <w:jc w:val="both"/>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r>
    </w:tbl>
    <w:p>
      <w:pPr>
        <w:widowControl w:val="0"/>
        <w:spacing w:line="360" w:lineRule="auto"/>
        <w:ind w:left="357" w:firstLine="0" w:firstLineChars="0"/>
        <w:jc w:val="both"/>
        <w:outlineLvl w:val="2"/>
        <w:rPr>
          <w:rFonts w:hint="eastAsia" w:ascii="宋体" w:hAnsi="宋体" w:eastAsia="宋体" w:cs="宋体"/>
          <w:kern w:val="2"/>
          <w:sz w:val="28"/>
          <w:szCs w:val="28"/>
          <w:lang w:val="en-US" w:eastAsia="zh-CN" w:bidi="ar-SA"/>
        </w:rPr>
      </w:pPr>
      <w:r>
        <w:rPr>
          <w:rFonts w:hint="eastAsia" w:ascii="宋体" w:hAnsi="宋体" w:eastAsia="宋体" w:cs="宋体"/>
          <w:b/>
          <w:bCs/>
          <w:kern w:val="2"/>
          <w:sz w:val="30"/>
          <w:szCs w:val="30"/>
          <w:lang w:val="en-US" w:eastAsia="zh-CN" w:bidi="ar-SA"/>
        </w:rPr>
        <w:t>1.4.3入河排污口</w:t>
      </w:r>
      <w:r>
        <w:rPr>
          <w:rFonts w:hint="eastAsia" w:ascii="宋体" w:hAnsi="宋体" w:cs="宋体"/>
          <w:b/>
          <w:bCs/>
          <w:kern w:val="2"/>
          <w:sz w:val="30"/>
          <w:szCs w:val="30"/>
          <w:lang w:val="en-US" w:eastAsia="zh-CN" w:bidi="ar-SA"/>
        </w:rPr>
        <w:t>标志牌建设</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对入河排污口实行分类立标管理。标志牌设在入河排污口附近且明显的位置，内容清晰、统一、协调、美观，并且能长久保留。常年无水的入河排污口或者已经封堵的入河排污口可不设立标志牌。</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标志牌牌面应包括：入河排污口类型、入河排污口编码、入河排污口责任主体、入河排污口监管主体、入河排污口监督电话、标识、污染源-入河排污口-污染物流向与河流位置示意图、二维码（二维码应关联入河排污口详细信息，包括：牌面上所有信息，以及经纬度、详细地址、排水去向和排放要求）。</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（1）标志牌数量：100套</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（2）标志牌形式：</w:t>
      </w:r>
      <w:r>
        <w:rPr>
          <w:rFonts w:hint="eastAsia" w:ascii="宋体" w:hAnsi="宋体" w:eastAsia="宋体" w:cs="宋体"/>
          <w:color w:val="000000"/>
          <w:kern w:val="2"/>
          <w:sz w:val="28"/>
          <w:szCs w:val="22"/>
          <w:lang w:val="en-US" w:eastAsia="zh-CN" w:bidi="ar-SA"/>
        </w:rPr>
        <w:t>平面固定式、立式根据现场条件决定</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（3）标志牌材质：采用1.5</w:t>
      </w:r>
      <w:r>
        <w:rPr>
          <w:rFonts w:hint="eastAsia" w:ascii="宋体" w:hAnsi="宋体" w:eastAsia="宋体" w:cs="宋体"/>
          <w:kern w:val="2"/>
          <w:sz w:val="18"/>
          <w:szCs w:val="18"/>
          <w:lang w:val="en-US" w:eastAsia="zh-CN" w:bidi="ar-SA"/>
        </w:rPr>
        <w:t>~</w:t>
      </w:r>
      <w:r>
        <w:rPr>
          <w:rFonts w:hint="eastAsia" w:ascii="宋体" w:hAnsi="宋体" w:eastAsia="宋体" w:cs="宋体"/>
          <w:kern w:val="2"/>
          <w:sz w:val="28"/>
          <w:szCs w:val="22"/>
          <w:lang w:val="en-US" w:eastAsia="zh-CN" w:bidi="ar-SA"/>
        </w:rPr>
        <w:t>2mm冷轧钢板，如采用立式标志牌，立柱采用Φ38×4mm无缝镀锌钢管，表面可采用搪瓷或者反光贴膜，标志牌的端面及立柱需经过防腐处理。</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（4）标志牌尺寸：平面固定式标志牌外形尺寸960mm×600mm。立式固定式标志牌外形尺寸840×840mm，标志牌最上端距地面2m。</w:t>
      </w:r>
    </w:p>
    <w:p>
      <w:pPr>
        <w:widowControl w:val="0"/>
        <w:spacing w:line="360" w:lineRule="auto"/>
        <w:ind w:left="357" w:firstLine="0" w:firstLineChars="0"/>
        <w:jc w:val="both"/>
        <w:outlineLvl w:val="2"/>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1.4.4水质水量微型预警站建设</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 入河排污口规范化建设点位信息</w:t>
      </w:r>
    </w:p>
    <w:p>
      <w:pPr>
        <w:adjustRightInd w:val="0"/>
        <w:ind w:firstLine="560"/>
        <w:rPr>
          <w:rFonts w:hint="eastAsia" w:ascii="宋体" w:hAnsi="宋体" w:eastAsia="宋体" w:cs="宋体"/>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2"/>
          <w:cols w:space="425" w:num="1"/>
          <w:docGrid w:type="lines" w:linePitch="312" w:charSpace="0"/>
        </w:sectPr>
      </w:pPr>
      <w:r>
        <w:rPr>
          <w:rFonts w:hint="eastAsia" w:ascii="宋体" w:hAnsi="宋体" w:eastAsia="宋体" w:cs="宋体"/>
          <w:kern w:val="2"/>
          <w:sz w:val="28"/>
          <w:szCs w:val="28"/>
          <w:lang w:val="en-US" w:eastAsia="zh-CN" w:bidi="ar-SA"/>
        </w:rPr>
        <w:t>根据目前邳州市地表水环境质量状况及入河排污口现状，选取20个监测点位安装水质自动监测装置、水量实时监控装置、视频监控装置。</w:t>
      </w:r>
    </w:p>
    <w:p>
      <w:pPr>
        <w:widowControl w:val="0"/>
        <w:adjustRightInd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表2入河排污口规范化建设点位信息</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59"/>
        <w:gridCol w:w="383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序号</w:t>
            </w:r>
          </w:p>
        </w:tc>
        <w:tc>
          <w:tcPr>
            <w:tcW w:w="1384" w:type="pct"/>
            <w:shd w:val="clear" w:color="auto" w:fill="auto"/>
            <w:vAlign w:val="center"/>
          </w:tcPr>
          <w:p>
            <w:pPr>
              <w:widowControl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入河排污口名称</w:t>
            </w:r>
          </w:p>
        </w:tc>
        <w:tc>
          <w:tcPr>
            <w:tcW w:w="2251" w:type="pct"/>
            <w:shd w:val="clear" w:color="auto" w:fill="auto"/>
            <w:vAlign w:val="center"/>
          </w:tcPr>
          <w:p>
            <w:pPr>
              <w:widowControl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排入水体名称</w:t>
            </w:r>
          </w:p>
        </w:tc>
        <w:tc>
          <w:tcPr>
            <w:tcW w:w="858" w:type="pct"/>
            <w:shd w:val="clear" w:color="auto" w:fill="auto"/>
            <w:vAlign w:val="center"/>
          </w:tcPr>
          <w:p>
            <w:pPr>
              <w:widowControl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排口类型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山后涵洞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车辐山航道入中运河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岳台涵洞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引线台入中运河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小坊上涵洞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老不牢河入京杭运河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刘山南站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灌溉总渠入京杭运河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红旗河排涝站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红旗河入邳苍分洪道</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龙凤鸭涵洞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龙凤鸭河入东偏泓分洪道</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坡里站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杨场大沟入东偏泓分洪道</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周场站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东偏泓分洪道入京杭运河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官湖河闸</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官湖河入中运河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索家站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珠江大沟入中运河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镇西站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运河站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李口大沟入中运河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六保河闸</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六保河入中运河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张楼涵洞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中运河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小周闸</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一手禅河（铜山入境河流）</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吕圩站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晓武河入房亭河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武河口站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古运河入房亭河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红旗站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白马河故道入房亭河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潘庄涵洞</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滩土河、陈楼大沟入房亭河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7" w:type="pct"/>
            <w:shd w:val="clear" w:color="auto" w:fill="auto"/>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1384"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黄庄站</w:t>
            </w:r>
          </w:p>
        </w:tc>
        <w:tc>
          <w:tcPr>
            <w:tcW w:w="2251"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房亭河</w:t>
            </w:r>
          </w:p>
        </w:tc>
        <w:tc>
          <w:tcPr>
            <w:tcW w:w="858" w:type="pct"/>
            <w:shd w:val="clear" w:color="auto" w:fill="auto"/>
            <w:noWrap/>
            <w:vAlign w:val="center"/>
          </w:tcPr>
          <w:p>
            <w:pPr>
              <w:widowControl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泵站</w:t>
            </w:r>
          </w:p>
        </w:tc>
      </w:tr>
    </w:tbl>
    <w:p>
      <w:pPr>
        <w:adjustRightInd w:val="0"/>
        <w:ind w:firstLine="560"/>
        <w:rPr>
          <w:rFonts w:hint="eastAsia" w:ascii="宋体" w:hAnsi="宋体" w:eastAsia="宋体" w:cs="宋体"/>
        </w:rPr>
        <w:sectPr>
          <w:pgSz w:w="11906" w:h="16838"/>
          <w:pgMar w:top="1440" w:right="1800" w:bottom="1440" w:left="1800" w:header="851" w:footer="992" w:gutter="0"/>
          <w:pgNumType w:fmt="decimal"/>
          <w:cols w:space="425" w:num="1"/>
          <w:docGrid w:type="lines" w:linePitch="381" w:charSpace="0"/>
        </w:sectPr>
      </w:pP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bookmarkStart w:id="5" w:name="_Toc99811210"/>
      <w:bookmarkStart w:id="6" w:name="_Toc90891651"/>
      <w:bookmarkStart w:id="7" w:name="_Toc90943505"/>
      <w:bookmarkStart w:id="8" w:name="_Toc95322058"/>
      <w:r>
        <w:rPr>
          <w:rFonts w:hint="eastAsia" w:ascii="宋体" w:hAnsi="宋体" w:eastAsia="宋体" w:cs="宋体"/>
          <w:b/>
          <w:bCs/>
          <w:kern w:val="2"/>
          <w:sz w:val="28"/>
          <w:szCs w:val="28"/>
          <w:lang w:val="en-US" w:eastAsia="zh-CN" w:bidi="ar-SA"/>
        </w:rPr>
        <w:t xml:space="preserve">2. </w:t>
      </w:r>
      <w:bookmarkEnd w:id="5"/>
      <w:bookmarkEnd w:id="6"/>
      <w:bookmarkEnd w:id="7"/>
      <w:bookmarkEnd w:id="8"/>
      <w:r>
        <w:rPr>
          <w:rFonts w:hint="eastAsia" w:ascii="宋体" w:hAnsi="宋体" w:eastAsia="宋体" w:cs="宋体"/>
          <w:b/>
          <w:bCs/>
          <w:kern w:val="2"/>
          <w:sz w:val="28"/>
          <w:szCs w:val="28"/>
          <w:lang w:val="en-US" w:eastAsia="zh-CN" w:bidi="ar-SA"/>
        </w:rPr>
        <w:t>水质自动监测装置</w:t>
      </w:r>
    </w:p>
    <w:p>
      <w:pPr>
        <w:widowControl w:val="0"/>
        <w:adjustRightInd w:val="0"/>
        <w:spacing w:line="360" w:lineRule="auto"/>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拟建20套水质自动监测装置。监测指标主要包括pH、电导率、溶解氧、浊度、温度、化学需氧量、氨氮、高锰酸盐指数、总磷。在入河排污口处安装水质自动监测装置，对水质进行趋势分析，掌握水质变化状况，水质数据实时上传到“邳州市入河排污口动态管理平台”。</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关键技术参数：</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设备环保性：要求检测单元集成高，无需添加化学试剂，无二次污染；</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设备监测要求：利用高光谱技术可监测，化学需氧量、氨氮、总磷、高锰酸盐指数、浊度、pH值、溶解氧共7项，模块化组合，在不改变现有设备基础上可新增拓展参数；另需集成传感器监测温度和电导率。</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适用规范：采用《地表水环境质量标准》（GB3838-2002）规定的标准检测方法进行数据拟合，实现监测指标动态、实时、连续性监测。</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技术原理：高光谱反射法（电导率和温度除外），原位非接触式监测。</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本项目测量因子：同时测量pH、电导率、温度、溶解氧、浊度、化学需氧量、氨氮、总磷、高锰酸盐指数。</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水质数据监测频次：至少每2个小时出具1组数据，监测频次可调整。</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设备本身具有超标水样保留功能、断线续传功能。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采用高光谱反射法，谱段覆盖范围：400nm-1000nm；光谱分辨率：优于5nm，可达3nm。</w:t>
      </w:r>
    </w:p>
    <w:p>
      <w:pPr>
        <w:widowControl w:val="0"/>
        <w:spacing w:line="360" w:lineRule="auto"/>
        <w:ind w:firstLine="482" w:firstLineChars="20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表4 水质监测站参数情况</w:t>
      </w:r>
    </w:p>
    <w:tbl>
      <w:tblPr>
        <w:tblStyle w:val="8"/>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47"/>
        <w:gridCol w:w="2335"/>
        <w:gridCol w:w="179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监测指标</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量程</w:t>
            </w:r>
          </w:p>
        </w:tc>
        <w:tc>
          <w:tcPr>
            <w:tcW w:w="1799"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检测方法</w:t>
            </w:r>
          </w:p>
        </w:tc>
        <w:tc>
          <w:tcPr>
            <w:tcW w:w="1551"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相对偏差（与化学法相比）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pH</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4-10（量程可调）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电导率</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0-2000μS/cm</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电极法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温度</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0-60℃</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电极法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溶解氧</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0-10mg/L（量程可调）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浊度</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0-200NTU（量程可调）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化学需氧量</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0-500mg/L（量程可调）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氨氮</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0-10mg/L（量程可调）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总磷</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0-2mg/L（量程可调）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c>
          <w:tcPr>
            <w:tcW w:w="1647"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高锰酸盐指数</w:t>
            </w:r>
          </w:p>
        </w:tc>
        <w:tc>
          <w:tcPr>
            <w:tcW w:w="2335" w:type="dxa"/>
            <w:vAlign w:val="center"/>
          </w:tcPr>
          <w:p>
            <w:pPr>
              <w:widowControl w:val="0"/>
              <w:spacing w:after="0" w:line="360" w:lineRule="auto"/>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r>
              <w:rPr>
                <w:rFonts w:hint="eastAsia" w:ascii="宋体" w:hAnsi="宋体" w:cs="宋体"/>
                <w:color w:val="000000"/>
                <w:kern w:val="0"/>
                <w:sz w:val="24"/>
                <w:szCs w:val="24"/>
                <w:lang w:val="en-US" w:eastAsia="zh-CN" w:bidi="ar-SA"/>
              </w:rPr>
              <w:t>50</w:t>
            </w:r>
            <w:r>
              <w:rPr>
                <w:rFonts w:hint="eastAsia" w:ascii="宋体" w:hAnsi="宋体" w:eastAsia="宋体" w:cs="宋体"/>
                <w:color w:val="000000"/>
                <w:kern w:val="0"/>
                <w:sz w:val="24"/>
                <w:szCs w:val="24"/>
                <w:lang w:val="en-US" w:eastAsia="zh-CN" w:bidi="ar-SA"/>
              </w:rPr>
              <w:t>0mg/L（量程可调）</w:t>
            </w:r>
          </w:p>
        </w:tc>
        <w:tc>
          <w:tcPr>
            <w:tcW w:w="1799"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▲高光谱反射法</w:t>
            </w:r>
          </w:p>
        </w:tc>
        <w:tc>
          <w:tcPr>
            <w:tcW w:w="1551" w:type="dxa"/>
            <w:vAlign w:val="center"/>
          </w:tcPr>
          <w:p>
            <w:pPr>
              <w:widowControl w:val="0"/>
              <w:spacing w:after="0"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5%-25%</w:t>
            </w:r>
          </w:p>
        </w:tc>
      </w:tr>
    </w:tbl>
    <w:p>
      <w:pPr>
        <w:widowControl w:val="0"/>
        <w:numPr>
          <w:ilvl w:val="0"/>
          <w:numId w:val="2"/>
        </w:numPr>
        <w:spacing w:line="360" w:lineRule="auto"/>
        <w:ind w:left="1280" w:hanging="72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数量：20套</w:t>
      </w:r>
    </w:p>
    <w:p>
      <w:pPr>
        <w:widowControl w:val="0"/>
        <w:numPr>
          <w:ilvl w:val="0"/>
          <w:numId w:val="2"/>
        </w:numPr>
        <w:spacing w:line="360" w:lineRule="auto"/>
        <w:ind w:left="1280" w:hanging="72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监测指标：pH、电导率、温度、溶解氧、浊度、化学需氧量、氨氮、总磷、高锰酸盐指数</w:t>
      </w:r>
    </w:p>
    <w:p>
      <w:pPr>
        <w:widowControl w:val="0"/>
        <w:numPr>
          <w:ilvl w:val="0"/>
          <w:numId w:val="2"/>
        </w:numPr>
        <w:spacing w:line="360" w:lineRule="auto"/>
        <w:ind w:left="1280" w:hanging="72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供电方式：太阳能+蓄电池供电方式，满足可连续不断3天及以上阴雨天气的设备正常工作需求</w:t>
      </w:r>
    </w:p>
    <w:p>
      <w:pPr>
        <w:widowControl w:val="0"/>
        <w:numPr>
          <w:ilvl w:val="0"/>
          <w:numId w:val="2"/>
        </w:numPr>
        <w:spacing w:line="360" w:lineRule="auto"/>
        <w:ind w:left="1280" w:hanging="720" w:firstLineChars="0"/>
        <w:jc w:val="both"/>
        <w:rPr>
          <w:rFonts w:hint="default" w:ascii="宋体" w:hAnsi="宋体" w:cs="宋体"/>
          <w:kern w:val="2"/>
          <w:sz w:val="28"/>
          <w:szCs w:val="22"/>
          <w:lang w:val="en-US" w:eastAsia="zh-CN" w:bidi="ar-SA"/>
        </w:rPr>
      </w:pPr>
      <w:r>
        <w:rPr>
          <w:rFonts w:hint="eastAsia" w:ascii="宋体" w:hAnsi="宋体" w:cs="宋体"/>
          <w:kern w:val="2"/>
          <w:sz w:val="28"/>
          <w:szCs w:val="22"/>
          <w:lang w:val="en-US" w:eastAsia="zh-CN" w:bidi="ar-SA"/>
        </w:rPr>
        <w:t>水质比对报告：</w:t>
      </w:r>
      <w:r>
        <w:rPr>
          <w:rFonts w:hint="eastAsia" w:ascii="宋体" w:hAnsi="宋体" w:cs="宋体"/>
          <w:kern w:val="1"/>
          <w:sz w:val="28"/>
          <w:szCs w:val="22"/>
          <w:lang w:val="en-US" w:eastAsia="zh-CN" w:bidi="ar-SA"/>
        </w:rPr>
        <w:t>在设备调试稳定运行后向</w:t>
      </w:r>
      <w:r>
        <w:rPr>
          <w:rFonts w:hint="eastAsia" w:ascii="宋体" w:hAnsi="宋体" w:eastAsia="宋体" w:cs="宋体"/>
          <w:kern w:val="1"/>
          <w:sz w:val="28"/>
          <w:szCs w:val="22"/>
          <w:lang w:val="en-US" w:eastAsia="zh-CN" w:bidi="ar-SA"/>
        </w:rPr>
        <w:t>邳州</w:t>
      </w:r>
      <w:r>
        <w:rPr>
          <w:rFonts w:hint="eastAsia" w:ascii="宋体" w:hAnsi="宋体" w:cs="宋体"/>
          <w:kern w:val="1"/>
          <w:sz w:val="28"/>
          <w:szCs w:val="22"/>
          <w:lang w:val="en-US" w:eastAsia="zh-CN" w:bidi="ar-SA"/>
        </w:rPr>
        <w:t>生态环境局提交经实验室比对的CMA检测报告</w:t>
      </w:r>
    </w:p>
    <w:p>
      <w:pPr>
        <w:widowControl w:val="0"/>
        <w:numPr>
          <w:ilvl w:val="0"/>
          <w:numId w:val="2"/>
        </w:numPr>
        <w:spacing w:line="360" w:lineRule="auto"/>
        <w:ind w:left="1280" w:hanging="72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水质校核检测报告：为确保水质监测设备的稳定运行，定期对其监测的入河排污口开展水质监测，进行数据校核。水质监测按照《地表水环境质量标准(GB 3838-2002)》规定进行人工取样并进行实验室分析，并提供检测报告。</w:t>
      </w:r>
    </w:p>
    <w:p>
      <w:pPr>
        <w:keepNext/>
        <w:keepLines/>
        <w:widowControl w:val="0"/>
        <w:spacing w:before="280" w:after="290" w:line="377" w:lineRule="auto"/>
        <w:ind w:firstLine="562" w:firstLineChars="200"/>
        <w:jc w:val="both"/>
        <w:outlineLvl w:val="3"/>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 水量在线监测装置</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根据排</w:t>
      </w:r>
      <w:r>
        <w:rPr>
          <w:rFonts w:hint="eastAsia" w:ascii="宋体" w:hAnsi="宋体" w:eastAsia="宋体" w:cs="宋体"/>
          <w:kern w:val="2"/>
          <w:sz w:val="28"/>
          <w:szCs w:val="28"/>
          <w:lang w:val="en-US" w:eastAsia="zh-CN" w:bidi="ar-SA"/>
        </w:rPr>
        <w:t>污</w:t>
      </w:r>
      <w:r>
        <w:rPr>
          <w:rFonts w:hint="eastAsia" w:ascii="宋体" w:hAnsi="宋体" w:eastAsia="宋体" w:cs="宋体"/>
          <w:kern w:val="2"/>
          <w:sz w:val="28"/>
          <w:szCs w:val="22"/>
          <w:lang w:val="en-US" w:eastAsia="zh-CN" w:bidi="ar-SA"/>
        </w:rPr>
        <w:t>口和入河支流的形状特征，安装水量在线监测装置，实现实时监测流量。</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（1）数量：20套；</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（2）设备类型：流量计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（3）单套设备技术参数：</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流速测量范围：0.02~21m/s</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流速分辨率：≤</w:t>
      </w:r>
      <w:r>
        <w:rPr>
          <w:rFonts w:hint="eastAsia" w:ascii="宋体" w:hAnsi="宋体" w:eastAsia="宋体" w:cs="宋体"/>
          <w:bCs/>
          <w:kern w:val="2"/>
          <w:sz w:val="28"/>
          <w:szCs w:val="28"/>
          <w:lang w:val="en-US" w:eastAsia="zh-CN" w:bidi="ar-SA"/>
        </w:rPr>
        <w:t>±</w:t>
      </w:r>
      <w:r>
        <w:rPr>
          <w:rFonts w:hint="eastAsia" w:ascii="宋体" w:hAnsi="宋体" w:eastAsia="宋体" w:cs="宋体"/>
          <w:kern w:val="2"/>
          <w:sz w:val="28"/>
          <w:szCs w:val="22"/>
          <w:lang w:val="en-US" w:eastAsia="zh-CN" w:bidi="ar-SA"/>
        </w:rPr>
        <w:t>1mm/s</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采集间隔：5s~24h可设置</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数字接口：RS485 (标配Modbus)，适用于室外入河排</w:t>
      </w:r>
      <w:r>
        <w:rPr>
          <w:rFonts w:hint="eastAsia" w:ascii="宋体" w:hAnsi="宋体" w:eastAsia="宋体" w:cs="宋体"/>
          <w:kern w:val="2"/>
          <w:sz w:val="28"/>
          <w:szCs w:val="28"/>
          <w:lang w:val="en-US" w:eastAsia="zh-CN" w:bidi="ar-SA"/>
        </w:rPr>
        <w:t>污</w:t>
      </w:r>
      <w:r>
        <w:rPr>
          <w:rFonts w:hint="eastAsia" w:ascii="宋体" w:hAnsi="宋体" w:eastAsia="宋体" w:cs="宋体"/>
          <w:kern w:val="2"/>
          <w:sz w:val="28"/>
          <w:szCs w:val="22"/>
          <w:lang w:val="en-US" w:eastAsia="zh-CN" w:bidi="ar-SA"/>
        </w:rPr>
        <w:t>口。</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设备要求：稳定性高、受环境因素影响小，维护频次低、工作可靠性高。实时数据采用4G传输模块（含4G传输费用），实时上传至“邳州市</w:t>
      </w:r>
      <w:r>
        <w:rPr>
          <w:rFonts w:hint="eastAsia" w:ascii="宋体" w:hAnsi="宋体" w:eastAsia="宋体" w:cs="宋体"/>
          <w:kern w:val="2"/>
          <w:sz w:val="28"/>
          <w:szCs w:val="28"/>
          <w:lang w:val="en-US" w:eastAsia="zh-CN" w:bidi="ar-SA"/>
        </w:rPr>
        <w:t>入河排污口动态管理平台</w:t>
      </w:r>
      <w:r>
        <w:rPr>
          <w:rFonts w:hint="eastAsia" w:ascii="宋体" w:hAnsi="宋体" w:eastAsia="宋体" w:cs="宋体"/>
          <w:kern w:val="2"/>
          <w:sz w:val="28"/>
          <w:szCs w:val="22"/>
          <w:lang w:val="en-US" w:eastAsia="zh-CN" w:bidi="ar-SA"/>
        </w:rPr>
        <w:t>”。</w:t>
      </w:r>
    </w:p>
    <w:p>
      <w:pPr>
        <w:keepNext/>
        <w:keepLines/>
        <w:widowControl w:val="0"/>
        <w:spacing w:before="280" w:after="290" w:line="377" w:lineRule="auto"/>
        <w:ind w:firstLine="562" w:firstLineChars="200"/>
        <w:jc w:val="both"/>
        <w:outlineLvl w:val="3"/>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 视频监控装置</w:t>
      </w:r>
    </w:p>
    <w:p>
      <w:pPr>
        <w:widowControl w:val="0"/>
        <w:spacing w:line="360" w:lineRule="auto"/>
        <w:ind w:firstLine="498" w:firstLineChars="178"/>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8"/>
          <w:lang w:val="en-US" w:eastAsia="zh-CN" w:bidi="ar-SA"/>
        </w:rPr>
        <w:t>为实时全面监管入河排污口周边情况，安装视频监控装置，可通过“邳州市入河排污口动态管理平台”调取视频监控录像或实时视频监控。监控范围覆盖以入河排污口为中心周边50米半径范围，采集设备的分辨率不低于200万像素，可以进行变焦和旋转，采用太阳能供电，实现24小时全天候值守。</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数量：20套。</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录像存储功能：支持本地存储（不低于30天）和中心存储两种模式。本地存储必要时可调查取证；也可通过部署存储服务器和存储设备，满足大容量多通道的中心存储需要。</w:t>
      </w:r>
    </w:p>
    <w:p>
      <w:pPr>
        <w:widowControl w:val="0"/>
        <w:spacing w:line="360" w:lineRule="auto"/>
        <w:ind w:firstLine="560" w:firstLineChars="200"/>
        <w:jc w:val="both"/>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视频监控-球机主要技术参数如下：</w:t>
      </w:r>
    </w:p>
    <w:tbl>
      <w:tblPr>
        <w:tblStyle w:val="7"/>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最大图像尺寸</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不低于1920×1080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水平及垂直范围</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水平:360°,垂直:-15°~90°（自动翻转）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红外照射距离</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不低于50米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电源接口</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RS485控制接口</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采用半双工模式，支持自适应HIKVISION等协议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防护等级</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IP66,4000V防雷、防浪涌、防突破，符合GB/T17626.5四级标准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工作温度和湿度</w:t>
            </w:r>
          </w:p>
        </w:tc>
        <w:tc>
          <w:tcPr>
            <w:tcW w:w="6155"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-30℃-65℃，湿度小于90%</w:t>
            </w:r>
          </w:p>
        </w:tc>
      </w:tr>
    </w:tbl>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网络硬盘录像机主要技术参数：</w:t>
      </w:r>
    </w:p>
    <w:tbl>
      <w:tblPr>
        <w:tblStyle w:val="7"/>
        <w:tblW w:w="4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视音频输入</w:t>
            </w:r>
          </w:p>
        </w:tc>
        <w:tc>
          <w:tcPr>
            <w:tcW w:w="6234"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网络视频输入4路</w:t>
            </w:r>
          </w:p>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网络视频接入带宽80Mbps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硬盘驱动器</w:t>
            </w:r>
          </w:p>
        </w:tc>
        <w:tc>
          <w:tcPr>
            <w:tcW w:w="6234"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每个接口支持容量不小于6TB的硬盘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网络管理</w:t>
            </w:r>
          </w:p>
        </w:tc>
        <w:tc>
          <w:tcPr>
            <w:tcW w:w="6234"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UPnP、NTP、SADP、PPPoE、DHCP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录像模式</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手动录像、定时录像、事件录像、移动侦测录像、报警录像、动测或报警录像、动测和报警录像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回放模式</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即时回放、常规回放、事件回放、标签回放、智能回放、外部文件回放、日志回放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备份模式</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常规备份、事件备份、录像剪辑备份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录像分辨率</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8MP/6MP/5MP/4MP/3MP/1080P/UXGA/720P/VGA/4CIF/DCIF/2CIF/CIF/QCIF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同步回放</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HDMI输出</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最高支持分辨率：4K(3840x2160)/30Hz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VGA输出</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最高支持分辨率：1920x1080/60Hz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音频输出</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RCA接口（线性电平，阻抗：1KΩ）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7"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预览分割</w:t>
            </w:r>
          </w:p>
        </w:tc>
        <w:tc>
          <w:tcPr>
            <w:tcW w:w="6234" w:type="dxa"/>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1/4/6/8/9画面</w:t>
            </w:r>
          </w:p>
        </w:tc>
      </w:tr>
    </w:tbl>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太阳能供电装置</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①太阳能板技术要求</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硅电池片：转换效率20%以上</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使用寿命：≥10年</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组件边框：采用阳极氧化优质铝合金边框</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钢化玻璃：高强度高透光率的低铁钢化玻璃封装</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封装材料：EVA、TPT复合膜层压</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②蓄电池组技术要求</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符合ISO9001生产和设计质量标准，确保电池具有5年以上的浮充使用寿命；</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蓄电池可在-20℃~+50℃的环境温度下使用；</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采用铅锡多元特殊正极合金；</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采用铜芯镀银端子；</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电池底部配有防漏液、防撞击、防热失控的安全托盘。</w:t>
      </w:r>
    </w:p>
    <w:p>
      <w:pPr>
        <w:widowControl w:val="0"/>
        <w:numPr>
          <w:ilvl w:val="0"/>
          <w:numId w:val="3"/>
        </w:numPr>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可保障监测设备持续使用不小于72小时。</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5. 入河排污口周边设备护栏及平台建设</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为了防止人为破坏设备，设备外设镀锌围栏及平台，加围栏后的占地面积约为1200*1200mm，方便对设备操作运维等工作，围栏尺寸可能根据现场实际情况做相应调整。</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具体工作为自动监测装置安放基础平台建设包括场地平整、设备平台基础、设备平台（包括钢结构平台和围栏）、视频监控、太阳能板或流量计的立杆基础（或立杆安装）等施工建设、采配水管线施工建设等。（立杆基础数量根据现场采光情况确定）</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参照《钢结构安装规范》(GB 50017-2003)、《钢结构施工规范》（GB50755-2012）进行施工并搭建钢结构平台。</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（1）平台数量：20套。</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（2）平台基础面规格：不低于规格400 mm×400 mm×800mm×4个，土建材料为混凝土。</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（3）钢结构平台：不低于规格1000 mm×1000 mm×1700mm，非标加工，主材质镀锌。</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（4）太阳能或流量计立杆基础规格：不低于规格400 mm×400 mm×800mm，基础主材质为混凝土。</w:t>
      </w:r>
    </w:p>
    <w:p>
      <w:pPr>
        <w:widowControl w:val="0"/>
        <w:spacing w:line="360" w:lineRule="auto"/>
        <w:ind w:left="357" w:firstLine="0" w:firstLineChars="0"/>
        <w:jc w:val="both"/>
        <w:outlineLvl w:val="2"/>
        <w:rPr>
          <w:rFonts w:hint="default" w:ascii="宋体" w:hAnsi="宋体" w:eastAsia="宋体" w:cs="宋体"/>
          <w:b/>
          <w:bCs/>
          <w:kern w:val="2"/>
          <w:sz w:val="30"/>
          <w:szCs w:val="30"/>
          <w:lang w:val="en-US" w:eastAsia="zh-CN" w:bidi="ar-SA"/>
        </w:rPr>
      </w:pPr>
      <w:bookmarkStart w:id="9" w:name="_Toc95322062"/>
      <w:bookmarkStart w:id="10" w:name="_Toc90891655"/>
      <w:bookmarkStart w:id="11" w:name="_Toc99811214"/>
      <w:bookmarkStart w:id="12" w:name="_Toc90943509"/>
      <w:r>
        <w:rPr>
          <w:rFonts w:hint="eastAsia" w:ascii="宋体" w:hAnsi="宋体" w:eastAsia="宋体" w:cs="宋体"/>
          <w:b/>
          <w:bCs/>
          <w:kern w:val="2"/>
          <w:sz w:val="30"/>
          <w:szCs w:val="30"/>
          <w:lang w:val="en-US" w:eastAsia="zh-CN" w:bidi="ar-SA"/>
        </w:rPr>
        <w:t>1.4.5入河排污口动态管理平台</w:t>
      </w:r>
      <w:bookmarkEnd w:id="9"/>
      <w:bookmarkEnd w:id="10"/>
      <w:bookmarkEnd w:id="11"/>
      <w:bookmarkEnd w:id="12"/>
      <w:r>
        <w:rPr>
          <w:rFonts w:hint="eastAsia" w:ascii="宋体" w:hAnsi="宋体" w:cs="宋体"/>
          <w:b/>
          <w:bCs/>
          <w:kern w:val="2"/>
          <w:sz w:val="30"/>
          <w:szCs w:val="30"/>
          <w:lang w:val="en-US" w:eastAsia="zh-CN" w:bidi="ar-SA"/>
        </w:rPr>
        <w:t>建设</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为了提高全市水环境的监管能力，项目需建设一套入河排污口动态管理平台，实现对水质水量实时监控，入河排污口周边环境实时显示，监管预警“零时差”。</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 功能要求</w:t>
      </w:r>
    </w:p>
    <w:p>
      <w:pPr>
        <w:widowControl w:val="0"/>
        <w:spacing w:line="360" w:lineRule="auto"/>
        <w:ind w:firstLine="56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kern w:val="2"/>
          <w:sz w:val="28"/>
          <w:szCs w:val="22"/>
          <w:lang w:val="en-US" w:eastAsia="zh-CN" w:bidi="ar-SA"/>
        </w:rPr>
        <w:t>入河排污口动态管理平台建设过程中，应形成一套新的科学精准、自动化程度高的管理系统。</w:t>
      </w:r>
    </w:p>
    <w:p>
      <w:pPr>
        <w:widowControl w:val="0"/>
        <w:spacing w:line="360" w:lineRule="auto"/>
        <w:ind w:firstLine="56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kern w:val="2"/>
          <w:sz w:val="28"/>
          <w:szCs w:val="22"/>
          <w:lang w:val="en-US" w:eastAsia="zh-CN" w:bidi="ar-SA"/>
        </w:rPr>
        <w:t>（1）入河排污口数据可视化需求：邳州市政府、市生态环境局、市水利部门、各级河长和各乡镇相关工作负责人均需了解所负责辖区内各入河排污口的具体位置，准确的入河排污口信息可视化地图展示，可让人直观、清晰的了解和掌握各入河排污口的位置信息。</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（2）入河排污口信息分类查询需求：平台需具有分类查询功能，以满足各级负责人根据特定要求，筛选、查询各入河排污口相关信息。</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（3）入河排污口数据统计分析需求：平台应可对入河排污口数据在时间维度和空间维度进行简单的统计和分析，以辅助各级管理人员进行工作决策。</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（4）入河排污口数据后台维护管理需求：后续邳州市各入河排污口的数据都将进行定期的动态更新，这就要求本平台可在后台进行数据的维护与管理，以保证平台数据的同步更新。</w:t>
      </w:r>
    </w:p>
    <w:p>
      <w:pPr>
        <w:widowControl w:val="0"/>
        <w:spacing w:line="360" w:lineRule="auto"/>
        <w:ind w:firstLine="56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kern w:val="2"/>
          <w:sz w:val="28"/>
          <w:szCs w:val="22"/>
          <w:lang w:val="en-US" w:eastAsia="zh-CN" w:bidi="ar-SA"/>
        </w:rPr>
        <w:t>（5）平台用户管理需求：本平台用户包括市政府、市生态环境局、市水利部门、各级河长和各乡镇相关工作负责人等，平台需针对不同用户群设置对应的查询和管理权限，以有效管理各用户群。</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 功能设计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动态管理平台主要功能如下：</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（1）基础信息查询功能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平台包括的信息主要为：</w:t>
      </w:r>
      <w:r>
        <w:rPr>
          <w:rFonts w:hint="eastAsia" w:ascii="宋体" w:hAnsi="宋体" w:eastAsia="宋体" w:cs="宋体"/>
          <w:kern w:val="2"/>
          <w:sz w:val="28"/>
          <w:szCs w:val="28"/>
          <w:lang w:val="en-US" w:eastAsia="zh-CN" w:bidi="ar-SA"/>
        </w:rPr>
        <w:t>入河排污口编号、经纬度、所属乡镇、所属河道、入河排污口水质、入河排污口水量、入河排污口上游污染源类型、入河排污口类型、入河方式、整治情况等。可根据不同工作需求，按照不同方式查询入河排污口。</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（2）上游污染源信息查询</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8"/>
          <w:lang w:val="en-US" w:eastAsia="zh-CN" w:bidi="ar-SA"/>
        </w:rPr>
        <w:t>按照工业排污口、农业农村排污口、城镇污水处理厂排污口、港口码头排污口、城镇雨洪排污口、其他排口对上游污染源进行分类，并标明污染源的历史排水情况、整治信息等。</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（3）监测数据实时显示功能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8"/>
          <w:lang w:val="en-US" w:eastAsia="zh-CN" w:bidi="ar-SA"/>
        </w:rPr>
        <w:t>利用二维地图或卫星地图，按坐标将入河排污口定位在地图上，点击地图上的入河排污口位置可以显示入河排污口编号和位置等基本信息。同时可以显示该入河排污口的水质水量数据，以及周边环境情况。</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（4）数据统计分析功能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平台可以按区域、时段等条件，查看单个或多个入河排污口的日评价、周评价、月评价。也可以查看监测参数近三日的趋势图，用户可根据时间段显示该时段类的单个参数的数据变化趋势，可以通过点击参数来切换参数，图表显示数据、均值、超标限值、最值，可以放大所选区域。周报、月报、年报等水质报表以word格式生成，平台具备查询、预览、导出、打印等功能。</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（5）超标报警功能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平台具有超标报警功能，根据污染参数监测浓度值的范围设定三级报警对象：事故性超标、严重超标、轻微超标，自动选择向特定报警对象发送消息。可根据在线监测过程中产生的监测数据超标、仪器与集成系统故障、数据异常、工作提醒等情况提醒不同目标用户。</w:t>
      </w:r>
    </w:p>
    <w:p>
      <w:pPr>
        <w:widowControl w:val="0"/>
        <w:spacing w:line="360" w:lineRule="auto"/>
        <w:ind w:firstLine="562" w:firstLineChars="200"/>
        <w:jc w:val="both"/>
        <w:rPr>
          <w:rFonts w:hint="eastAsia" w:ascii="宋体" w:hAnsi="宋体" w:eastAsia="宋体" w:cs="宋体"/>
          <w:b/>
          <w:bCs/>
          <w:kern w:val="2"/>
          <w:sz w:val="28"/>
          <w:szCs w:val="22"/>
          <w:lang w:val="en-US" w:eastAsia="zh-CN" w:bidi="ar-SA"/>
        </w:rPr>
      </w:pPr>
      <w:r>
        <w:rPr>
          <w:rFonts w:hint="eastAsia" w:ascii="宋体" w:hAnsi="宋体" w:eastAsia="宋体" w:cs="宋体"/>
          <w:b/>
          <w:bCs/>
          <w:kern w:val="2"/>
          <w:sz w:val="28"/>
          <w:szCs w:val="22"/>
          <w:lang w:val="en-US" w:eastAsia="zh-CN" w:bidi="ar-SA"/>
        </w:rPr>
        <w:t>（6）移动端APP和二维码功能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平台包括入河排污口管理业务的移动终端APP和面向公众的入河排污口指示牌二维码。管理业务的移动终端APP主要面向内部人员建设，功能包括水质预警预报、监测数据分析、现场监察等。</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入河排污口指示牌右上角设置二维码，主要面向公众，可以通过扫描二维码查询入河排污口的上游污染源、水质目标等信息，提高全民的水环境监管意识。</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bookmarkStart w:id="13" w:name="_Toc11671"/>
      <w:r>
        <w:rPr>
          <w:rFonts w:hint="eastAsia" w:ascii="宋体" w:hAnsi="宋体" w:eastAsia="宋体" w:cs="宋体"/>
          <w:b/>
          <w:bCs/>
          <w:kern w:val="2"/>
          <w:sz w:val="28"/>
          <w:szCs w:val="28"/>
          <w:lang w:val="en-US" w:eastAsia="zh-CN" w:bidi="ar-SA"/>
        </w:rPr>
        <w:t>3. 入河排污口动态管理平台建设方案</w:t>
      </w:r>
      <w:bookmarkEnd w:id="13"/>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根据平台需求分析及平台建设需求，平台构架可分为5个主要层次。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（1）基础设施层。包括中心机房、网络设施、存储设备、系统软件等为保证平台运行所必需的软硬件设施。</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（2）数据处理层。通过数据服务器对各入河排污口数据进行数据获取、数据整理、数据分析和数据建模等处理过程，形成邳州市入河排污口数据库。</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应用支撑层。运用应用集成、组件、流程管理和数据监控等开发技术搭建运维管理、数据管理、流程管理、安全管理和开发应等功能模块，为平台运行维护、数据处理、流程处理、业务流程设置、安全运行监控等提供基础服务，该层向上链接业务管理层，支持平台开展具体业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（4）业务管理层。围绕政府业务需求，提供入河排污口数据查询、数据分析、部门协调和信息反馈等服务。</w:t>
      </w:r>
    </w:p>
    <w:p>
      <w:pPr>
        <w:widowControl w:val="0"/>
        <w:spacing w:line="360" w:lineRule="auto"/>
        <w:ind w:firstLine="560" w:firstLineChars="200"/>
        <w:jc w:val="both"/>
        <w:rPr>
          <w:rFonts w:hint="eastAsia" w:ascii="宋体" w:hAnsi="宋体" w:eastAsia="宋体" w:cs="宋体"/>
          <w:bCs/>
          <w:kern w:val="2"/>
          <w:sz w:val="28"/>
          <w:szCs w:val="22"/>
          <w:lang w:val="en-US" w:eastAsia="zh-CN" w:bidi="ar-SA"/>
        </w:rPr>
      </w:pPr>
      <w:r>
        <w:rPr>
          <w:rFonts w:hint="eastAsia" w:ascii="宋体" w:hAnsi="宋体" w:eastAsia="宋体" w:cs="宋体"/>
          <w:kern w:val="2"/>
          <w:sz w:val="28"/>
          <w:szCs w:val="22"/>
          <w:lang w:val="en-US" w:eastAsia="zh-CN" w:bidi="ar-SA"/>
        </w:rPr>
        <w:t>（5）公众门户层。在互联网上架设“邳州市入河排污口信息查询”网站，为其他部门工作需要提供信息查询入口。</w:t>
      </w:r>
    </w:p>
    <w:p>
      <w:pPr>
        <w:keepNext/>
        <w:keepLines/>
        <w:widowControl w:val="0"/>
        <w:spacing w:before="280" w:after="290" w:line="377" w:lineRule="auto"/>
        <w:ind w:firstLine="562" w:firstLineChars="200"/>
        <w:jc w:val="both"/>
        <w:outlineLvl w:val="3"/>
        <w:rPr>
          <w:rFonts w:hint="eastAsia" w:ascii="宋体" w:hAnsi="宋体" w:eastAsia="宋体" w:cs="宋体"/>
          <w:b/>
          <w:bCs/>
          <w:kern w:val="2"/>
          <w:sz w:val="28"/>
          <w:szCs w:val="28"/>
          <w:lang w:val="en-US" w:eastAsia="zh-CN" w:bidi="ar-SA"/>
        </w:rPr>
      </w:pPr>
      <w:bookmarkStart w:id="14" w:name="_Toc28699"/>
      <w:r>
        <w:rPr>
          <w:rFonts w:hint="eastAsia" w:ascii="宋体" w:hAnsi="宋体" w:eastAsia="宋体" w:cs="宋体"/>
          <w:b/>
          <w:bCs/>
          <w:kern w:val="2"/>
          <w:sz w:val="28"/>
          <w:szCs w:val="28"/>
          <w:lang w:val="en-US" w:eastAsia="zh-CN" w:bidi="ar-SA"/>
        </w:rPr>
        <w:t>4. 软硬件要求</w:t>
      </w:r>
      <w:bookmarkEnd w:id="14"/>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平台所需的基础设施里的中心机房、网络设施、均可利用徐州市邳州生态环境局已有机房的相关条件。所以在平台建设过程中主要需采购选型的硬件设备为数据服务器和存储设备。</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（1）数据储存装置选型说明</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本项目所搭建的入河排污口管理平台，为政府部门所用，需储存和计算大量的数据信息。为保证服务器有较高的处理能力、稳定性、可靠性、安全性、可扩展性和可管理性。需对服务器的CPU、内存、硬盘和网卡等组件有较高的配置要求。</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（2）存储系统设备选型说明</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对于磁盘阵列柜配置的硬盘，8块SATAII1TB硬盘做RAID5，其中一块做热备份硬盘，当保存数据的7块硬盘中，任意一块出现故障时，热备份硬盘会自动接管故障硬盘的工作，同时磁盘阵列柜会发出告警，提示管理员更换硬盘。</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（3）数据存储装置硬件及系统软件采购</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为搭建数据存储装置硬件需采购数据存储装置1台、磁盘阵列存储设备1套、成品跳线20套、专业级服务器软件1套、专业级GIS软件1套。</w:t>
      </w:r>
    </w:p>
    <w:p>
      <w:pPr>
        <w:widowControl w:val="0"/>
        <w:adjustRightInd w:val="0"/>
        <w:snapToGrid w:val="0"/>
        <w:spacing w:before="156" w:beforeLines="50" w:line="360" w:lineRule="auto"/>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数据存储装置主要技术指标</w:t>
      </w:r>
    </w:p>
    <w:tbl>
      <w:tblPr>
        <w:tblStyle w:val="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类型</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结构</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CPU</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主频&gt;=2.3GHz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内存需求</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满足数据存储6年，视频监控存储6个月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71" w:type="dxa"/>
            <w:vMerge w:val="restart"/>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硬盘需求</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接口类型：SAS/SSD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71" w:type="dxa"/>
            <w:vMerge w:val="continue"/>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支持可选的的OCP3.0拓展模块、支持热插拔和冗余特性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风扇设计</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支持N+1转子冗余，低噪声设计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671"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环境温度</w:t>
            </w:r>
          </w:p>
        </w:tc>
        <w:tc>
          <w:tcPr>
            <w:tcW w:w="6428" w:type="dxa"/>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温度：连续工作5℃至45℃</w:t>
            </w:r>
          </w:p>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湿度：连续工作5%至90%R.H</w:t>
            </w:r>
          </w:p>
        </w:tc>
      </w:tr>
    </w:tbl>
    <w:p>
      <w:pPr>
        <w:widowControl w:val="0"/>
        <w:adjustRightInd w:val="0"/>
        <w:snapToGrid w:val="0"/>
        <w:spacing w:before="156" w:beforeLines="50" w:line="360" w:lineRule="auto"/>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磁盘阵列主要技术指标</w:t>
      </w:r>
    </w:p>
    <w:tbl>
      <w:tblPr>
        <w:tblStyle w:val="7"/>
        <w:tblW w:w="9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1"/>
        <w:gridCol w:w="65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高速缓存</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不低于16GB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支持的存储协议</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FC、FCoE、iSCSI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内置硬盘接口</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SSD、SAS、NL-SAS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RAID级别</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0、1、5、6、10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硬盘</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不低于4块4TB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2691" w:type="dxa"/>
            <w:tcBorders>
              <w:top w:val="single" w:color="auto" w:sz="6" w:space="0"/>
              <w:left w:val="single" w:color="auto" w:sz="4" w:space="0"/>
              <w:bottom w:val="single" w:color="auto" w:sz="6" w:space="0"/>
              <w:right w:val="single" w:color="auto" w:sz="6"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支持操作系统</w:t>
            </w:r>
          </w:p>
        </w:tc>
        <w:tc>
          <w:tcPr>
            <w:tcW w:w="6568"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Windows Server 2012、IBM AIX、Solaris、HP-UX、Linux等</w:t>
            </w:r>
          </w:p>
        </w:tc>
      </w:tr>
    </w:tbl>
    <w:p>
      <w:pPr>
        <w:widowControl w:val="0"/>
        <w:spacing w:line="360" w:lineRule="auto"/>
        <w:ind w:left="357" w:firstLine="0" w:firstLineChars="0"/>
        <w:jc w:val="both"/>
        <w:outlineLvl w:val="2"/>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1.4.6入河排污口检查维护</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为了便于规范化管理，</w:t>
      </w:r>
      <w:r>
        <w:rPr>
          <w:rFonts w:hint="eastAsia" w:ascii="宋体" w:hAnsi="宋体" w:cs="宋体"/>
          <w:kern w:val="2"/>
          <w:sz w:val="28"/>
          <w:szCs w:val="22"/>
          <w:lang w:val="en-US" w:eastAsia="zh-CN" w:bidi="ar-SA"/>
        </w:rPr>
        <w:t>以入河排污口查测溯后的台账信息为基础，</w:t>
      </w:r>
      <w:r>
        <w:rPr>
          <w:rFonts w:hint="eastAsia" w:ascii="宋体" w:hAnsi="宋体" w:eastAsia="宋体" w:cs="宋体"/>
          <w:kern w:val="2"/>
          <w:sz w:val="28"/>
          <w:szCs w:val="22"/>
          <w:lang w:val="en-US" w:eastAsia="zh-CN" w:bidi="ar-SA"/>
        </w:rPr>
        <w:t>对存在检修维护困难等问题的入河排污口，有针对性的设置必要的采样平台，采样平台对应的入河排</w:t>
      </w:r>
      <w:r>
        <w:rPr>
          <w:rFonts w:hint="eastAsia" w:ascii="宋体" w:hAnsi="宋体" w:eastAsia="宋体" w:cs="宋体"/>
          <w:kern w:val="2"/>
          <w:sz w:val="28"/>
          <w:szCs w:val="28"/>
          <w:lang w:val="en-US" w:eastAsia="zh-CN" w:bidi="ar-SA"/>
        </w:rPr>
        <w:t>污</w:t>
      </w:r>
      <w:r>
        <w:rPr>
          <w:rFonts w:hint="eastAsia" w:ascii="宋体" w:hAnsi="宋体" w:eastAsia="宋体" w:cs="宋体"/>
          <w:kern w:val="2"/>
          <w:sz w:val="28"/>
          <w:szCs w:val="22"/>
          <w:lang w:val="en-US" w:eastAsia="zh-CN" w:bidi="ar-SA"/>
        </w:rPr>
        <w:t>口如果存在设施老化破损、排水不畅等问题，需要采取更新维护等措施进行规范化建设。</w:t>
      </w:r>
    </w:p>
    <w:p>
      <w:pPr>
        <w:keepNext/>
        <w:keepLines/>
        <w:widowControl w:val="0"/>
        <w:spacing w:before="280" w:after="290" w:line="377" w:lineRule="auto"/>
        <w:ind w:firstLine="562" w:firstLineChars="200"/>
        <w:jc w:val="both"/>
        <w:outlineLvl w:val="3"/>
        <w:rPr>
          <w:rFonts w:hint="eastAsia" w:ascii="宋体" w:hAnsi="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 入</w:t>
      </w:r>
      <w:r>
        <w:rPr>
          <w:rFonts w:hint="eastAsia" w:ascii="宋体" w:hAnsi="宋体" w:cs="宋体"/>
          <w:b/>
          <w:bCs/>
          <w:kern w:val="2"/>
          <w:sz w:val="28"/>
          <w:szCs w:val="28"/>
          <w:lang w:val="en-US" w:eastAsia="zh-CN" w:bidi="ar-SA"/>
        </w:rPr>
        <w:t>河排污口采样平台建设</w:t>
      </w:r>
    </w:p>
    <w:p>
      <w:pPr>
        <w:widowControl w:val="0"/>
        <w:numPr>
          <w:ilvl w:val="0"/>
          <w:numId w:val="4"/>
        </w:numPr>
        <w:spacing w:line="360" w:lineRule="auto"/>
        <w:ind w:left="1520" w:hanging="72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数量：20个</w:t>
      </w:r>
    </w:p>
    <w:p>
      <w:pPr>
        <w:widowControl w:val="0"/>
        <w:numPr>
          <w:ilvl w:val="0"/>
          <w:numId w:val="4"/>
        </w:numPr>
        <w:spacing w:line="360" w:lineRule="auto"/>
        <w:ind w:left="1520" w:hanging="720" w:firstLineChars="0"/>
        <w:jc w:val="both"/>
        <w:rPr>
          <w:rFonts w:hint="eastAsia" w:ascii="宋体" w:hAnsi="宋体" w:eastAsia="宋体" w:cs="宋体"/>
          <w:kern w:val="2"/>
          <w:sz w:val="28"/>
          <w:szCs w:val="22"/>
          <w:lang w:val="en-US" w:eastAsia="zh-CN" w:bidi="ar-SA"/>
        </w:rPr>
      </w:pPr>
      <w:r>
        <w:rPr>
          <w:rFonts w:hint="eastAsia" w:ascii="宋体" w:hAnsi="宋体" w:cs="宋体"/>
          <w:kern w:val="2"/>
          <w:sz w:val="28"/>
          <w:szCs w:val="22"/>
          <w:lang w:val="en-US" w:eastAsia="zh-CN" w:bidi="ar-SA"/>
        </w:rPr>
        <w:t>采样平台</w:t>
      </w:r>
      <w:r>
        <w:rPr>
          <w:rFonts w:hint="eastAsia" w:ascii="宋体" w:hAnsi="宋体" w:eastAsia="宋体" w:cs="宋体"/>
          <w:kern w:val="2"/>
          <w:sz w:val="28"/>
          <w:szCs w:val="22"/>
          <w:lang w:val="en-US" w:eastAsia="zh-CN" w:bidi="ar-SA"/>
        </w:rPr>
        <w:t>要求：</w:t>
      </w:r>
    </w:p>
    <w:p>
      <w:pPr>
        <w:widowControl w:val="0"/>
        <w:numPr>
          <w:ilvl w:val="-1"/>
          <w:numId w:val="0"/>
        </w:numPr>
        <w:spacing w:line="360" w:lineRule="auto"/>
        <w:ind w:left="800" w:firstLine="0" w:firstLineChars="0"/>
        <w:jc w:val="both"/>
        <w:rPr>
          <w:rFonts w:hint="default"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采样平台基础规格：1600x1200x600mm，主材质：混凝土+砖混结构。</w:t>
      </w:r>
    </w:p>
    <w:p>
      <w:pPr>
        <w:widowControl w:val="0"/>
        <w:numPr>
          <w:ilvl w:val="-1"/>
          <w:numId w:val="0"/>
        </w:numPr>
        <w:spacing w:line="360" w:lineRule="auto"/>
        <w:ind w:left="800" w:firstLine="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采样平台护栏规格：材质为不锈钢304方管，高度不低于1000mm.</w:t>
      </w:r>
    </w:p>
    <w:p>
      <w:pPr>
        <w:widowControl w:val="0"/>
        <w:numPr>
          <w:ilvl w:val="-1"/>
          <w:numId w:val="0"/>
        </w:numPr>
        <w:spacing w:line="360" w:lineRule="auto"/>
        <w:ind w:left="800" w:firstLine="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采样平台功能：能够满足日常人工采样时放置设备及保证采样人员、巡查人员站立安全要求，外观与环境条件相符。</w:t>
      </w:r>
    </w:p>
    <w:p>
      <w:pPr>
        <w:pStyle w:val="3"/>
        <w:ind w:firstLine="562"/>
        <w:outlineLvl w:val="3"/>
        <w:rPr>
          <w:rFonts w:hint="eastAsia" w:ascii="Arial" w:hAnsi="Arial"/>
          <w:b w:val="0"/>
          <w:bCs w:val="0"/>
          <w:lang w:val="en-US" w:eastAsia="zh-CN" w:bidi="ar-SA"/>
        </w:rPr>
      </w:pPr>
      <w:r>
        <w:rPr>
          <w:rFonts w:hint="eastAsia"/>
          <w:lang w:val="en-US" w:eastAsia="zh-CN"/>
        </w:rPr>
        <w:t xml:space="preserve">2. </w:t>
      </w:r>
      <w:r>
        <w:rPr>
          <w:rFonts w:hint="default" w:ascii="Arial" w:hAnsi="Arial"/>
          <w:b w:val="0"/>
          <w:bCs w:val="0"/>
          <w:lang w:val="en-US" w:eastAsia="zh-CN" w:bidi="ar-SA"/>
        </w:rPr>
        <w:t>入河排污口更新维护</w:t>
      </w:r>
    </w:p>
    <w:p>
      <w:pPr>
        <w:widowControl w:val="0"/>
        <w:numPr>
          <w:ilvl w:val="0"/>
          <w:numId w:val="5"/>
        </w:numPr>
        <w:spacing w:line="360" w:lineRule="auto"/>
        <w:ind w:left="800" w:firstLine="0" w:firstLineChars="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数量：</w:t>
      </w:r>
      <w:r>
        <w:rPr>
          <w:rFonts w:hint="eastAsia" w:ascii="宋体" w:hAnsi="宋体" w:cs="宋体"/>
          <w:kern w:val="2"/>
          <w:sz w:val="28"/>
          <w:szCs w:val="22"/>
          <w:lang w:val="en-US" w:eastAsia="zh-CN" w:bidi="ar-SA"/>
        </w:rPr>
        <w:t>5</w:t>
      </w:r>
      <w:r>
        <w:rPr>
          <w:rFonts w:hint="eastAsia" w:ascii="宋体" w:hAnsi="宋体" w:eastAsia="宋体" w:cs="宋体"/>
          <w:kern w:val="2"/>
          <w:sz w:val="28"/>
          <w:szCs w:val="22"/>
          <w:lang w:val="en-US" w:eastAsia="zh-CN" w:bidi="ar-SA"/>
        </w:rPr>
        <w:t>个</w:t>
      </w:r>
    </w:p>
    <w:p>
      <w:pPr>
        <w:widowControl w:val="0"/>
        <w:numPr>
          <w:ilvl w:val="0"/>
          <w:numId w:val="5"/>
        </w:numPr>
        <w:spacing w:line="360" w:lineRule="auto"/>
        <w:ind w:left="800" w:firstLine="0" w:firstLineChars="0"/>
        <w:jc w:val="both"/>
        <w:rPr>
          <w:rFonts w:hint="default" w:ascii="宋体" w:hAnsi="宋体" w:cs="宋体"/>
          <w:kern w:val="2"/>
          <w:sz w:val="28"/>
          <w:szCs w:val="22"/>
          <w:lang w:val="en-US" w:eastAsia="zh-CN" w:bidi="ar-SA"/>
        </w:rPr>
      </w:pPr>
      <w:r>
        <w:rPr>
          <w:rFonts w:hint="eastAsia" w:ascii="宋体" w:hAnsi="宋体" w:cs="宋体"/>
          <w:kern w:val="2"/>
          <w:sz w:val="28"/>
          <w:szCs w:val="22"/>
          <w:lang w:val="en-US" w:eastAsia="zh-CN" w:bidi="ar-SA"/>
        </w:rPr>
        <w:t>入河排污口更新维护要求：</w:t>
      </w:r>
      <w:r>
        <w:rPr>
          <w:rFonts w:hint="eastAsia" w:ascii="宋体" w:hAnsi="宋体" w:eastAsia="宋体" w:cs="宋体"/>
          <w:kern w:val="2"/>
          <w:sz w:val="28"/>
          <w:szCs w:val="22"/>
          <w:lang w:val="en-US" w:eastAsia="zh-CN" w:bidi="ar-SA"/>
        </w:rPr>
        <w:t>对存在设施老化破损、排水不畅等问题的入河排污口，出具维护方案后进行更新维护，需满足与周边环境的相符性。</w:t>
      </w:r>
    </w:p>
    <w:p>
      <w:pPr>
        <w:keepNext/>
        <w:keepLines/>
        <w:widowControl w:val="0"/>
        <w:spacing w:before="260" w:after="260" w:line="416" w:lineRule="auto"/>
        <w:ind w:firstLine="643" w:firstLineChars="200"/>
        <w:jc w:val="both"/>
        <w:outlineLvl w:val="2"/>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1.4.7质保和</w:t>
      </w:r>
      <w:r>
        <w:rPr>
          <w:rFonts w:hint="eastAsia" w:ascii="宋体" w:hAnsi="宋体" w:cs="宋体"/>
          <w:b/>
          <w:bCs/>
          <w:kern w:val="2"/>
          <w:sz w:val="32"/>
          <w:szCs w:val="32"/>
          <w:lang w:val="en-US" w:eastAsia="zh-CN" w:bidi="ar-SA"/>
        </w:rPr>
        <w:t>运维</w:t>
      </w:r>
      <w:r>
        <w:rPr>
          <w:rFonts w:hint="eastAsia" w:ascii="宋体" w:hAnsi="宋体" w:eastAsia="宋体" w:cs="宋体"/>
          <w:b/>
          <w:bCs/>
          <w:kern w:val="2"/>
          <w:sz w:val="32"/>
          <w:szCs w:val="32"/>
          <w:lang w:val="en-US" w:eastAsia="zh-CN" w:bidi="ar-SA"/>
        </w:rPr>
        <w:t>服务</w:t>
      </w:r>
      <w:r>
        <w:rPr>
          <w:rFonts w:hint="eastAsia" w:ascii="宋体" w:hAnsi="宋体" w:cs="宋体"/>
          <w:b/>
          <w:bCs/>
          <w:kern w:val="2"/>
          <w:sz w:val="32"/>
          <w:szCs w:val="32"/>
          <w:lang w:val="en-US" w:eastAsia="zh-CN" w:bidi="ar-SA"/>
        </w:rPr>
        <w:t>要求</w:t>
      </w:r>
    </w:p>
    <w:p>
      <w:pPr>
        <w:keepNext/>
        <w:keepLines/>
        <w:widowControl w:val="0"/>
        <w:numPr>
          <w:ilvl w:val="0"/>
          <w:numId w:val="6"/>
        </w:numPr>
        <w:spacing w:before="280" w:after="290" w:line="377" w:lineRule="auto"/>
        <w:ind w:left="38" w:firstLine="562" w:firstLineChars="0"/>
        <w:jc w:val="both"/>
        <w:outlineLvl w:val="3"/>
        <w:rPr>
          <w:rFonts w:hint="default" w:ascii="宋体" w:hAnsi="宋体" w:eastAsia="宋体" w:cs="宋体"/>
          <w:b/>
          <w:bCs/>
          <w:kern w:val="1"/>
          <w:sz w:val="28"/>
          <w:szCs w:val="22"/>
          <w:lang w:val="en-US" w:eastAsia="zh-CN" w:bidi="ar-SA"/>
        </w:rPr>
      </w:pPr>
      <w:r>
        <w:rPr>
          <w:rFonts w:hint="eastAsia" w:ascii="宋体" w:hAnsi="宋体" w:cs="宋体"/>
          <w:b/>
          <w:bCs/>
          <w:kern w:val="1"/>
          <w:sz w:val="28"/>
          <w:szCs w:val="22"/>
          <w:lang w:val="en-US" w:eastAsia="zh-CN" w:bidi="ar-SA"/>
        </w:rPr>
        <w:t>质保要求</w:t>
      </w:r>
    </w:p>
    <w:p>
      <w:pPr>
        <w:widowControl w:val="0"/>
        <w:spacing w:line="360" w:lineRule="auto"/>
        <w:ind w:firstLine="560" w:firstLineChars="200"/>
        <w:jc w:val="both"/>
        <w:rPr>
          <w:rFonts w:hint="eastAsia" w:ascii="宋体" w:hAnsi="宋体" w:eastAsia="宋体" w:cs="宋体"/>
          <w:kern w:val="1"/>
          <w:sz w:val="28"/>
          <w:szCs w:val="22"/>
          <w:lang w:val="en-US" w:eastAsia="zh-CN" w:bidi="ar-SA"/>
        </w:rPr>
      </w:pPr>
      <w:r>
        <w:rPr>
          <w:rFonts w:hint="eastAsia" w:ascii="宋体" w:hAnsi="宋体" w:eastAsia="宋体" w:cs="宋体"/>
          <w:kern w:val="1"/>
          <w:sz w:val="28"/>
          <w:szCs w:val="22"/>
          <w:lang w:val="en-US" w:eastAsia="zh-CN" w:bidi="ar-SA"/>
        </w:rPr>
        <w:t>设备到货后项目中标人向邳州市生态环境局提供设备到货接收单，并双方查验后签字盖章，所有设备需提供质保期1年。时间自设备到货接收单双方签字盖章时间</w:t>
      </w:r>
      <w:r>
        <w:rPr>
          <w:rFonts w:hint="eastAsia" w:ascii="宋体" w:hAnsi="宋体" w:eastAsia="宋体" w:cs="宋体"/>
          <w:kern w:val="2"/>
          <w:sz w:val="28"/>
          <w:szCs w:val="21"/>
          <w:lang w:val="en-US" w:eastAsia="zh-CN" w:bidi="ar-SA"/>
        </w:rPr>
        <w:t>起开始计算</w:t>
      </w:r>
      <w:r>
        <w:rPr>
          <w:rFonts w:hint="eastAsia" w:ascii="宋体" w:hAnsi="宋体" w:eastAsia="宋体" w:cs="宋体"/>
          <w:kern w:val="1"/>
          <w:sz w:val="28"/>
          <w:szCs w:val="22"/>
          <w:lang w:val="en-US" w:eastAsia="zh-CN" w:bidi="ar-SA"/>
        </w:rPr>
        <w:t>。质保期内产品或仪器因质量问题，供货商需免费更换相应部件或配件，质保期外供应商需免费提供远程技术指导服务，质保期外供应商还应保证备品备件的有偿充足供应。</w:t>
      </w:r>
    </w:p>
    <w:p>
      <w:pPr>
        <w:widowControl w:val="0"/>
        <w:numPr>
          <w:ilvl w:val="0"/>
          <w:numId w:val="6"/>
        </w:numPr>
        <w:spacing w:before="280" w:after="290" w:line="377" w:lineRule="auto"/>
        <w:ind w:left="38" w:firstLine="562" w:firstLineChars="0"/>
        <w:jc w:val="both"/>
        <w:outlineLvl w:val="3"/>
        <w:rPr>
          <w:rFonts w:hint="default" w:ascii="宋体" w:hAnsi="宋体" w:cs="宋体"/>
          <w:b/>
          <w:bCs/>
          <w:kern w:val="1"/>
          <w:sz w:val="28"/>
          <w:szCs w:val="28"/>
          <w:lang w:val="en-US" w:eastAsia="zh-CN" w:bidi="ar-SA"/>
        </w:rPr>
      </w:pPr>
      <w:r>
        <w:rPr>
          <w:rFonts w:hint="eastAsia" w:ascii="宋体" w:hAnsi="宋体" w:cs="宋体"/>
          <w:b/>
          <w:bCs/>
          <w:kern w:val="2"/>
          <w:sz w:val="28"/>
          <w:szCs w:val="28"/>
          <w:lang w:val="en-US" w:eastAsia="zh-CN" w:bidi="ar-SA"/>
        </w:rPr>
        <w:t>运维</w:t>
      </w:r>
      <w:r>
        <w:rPr>
          <w:rFonts w:hint="eastAsia" w:ascii="宋体" w:hAnsi="宋体" w:eastAsia="宋体" w:cs="宋体"/>
          <w:b/>
          <w:bCs/>
          <w:kern w:val="2"/>
          <w:sz w:val="28"/>
          <w:szCs w:val="28"/>
          <w:lang w:val="en-US" w:eastAsia="zh-CN" w:bidi="ar-SA"/>
        </w:rPr>
        <w:t>服务</w:t>
      </w:r>
      <w:r>
        <w:rPr>
          <w:rFonts w:hint="eastAsia" w:ascii="宋体" w:hAnsi="宋体" w:cs="宋体"/>
          <w:b/>
          <w:bCs/>
          <w:kern w:val="2"/>
          <w:sz w:val="28"/>
          <w:szCs w:val="28"/>
          <w:lang w:val="en-US" w:eastAsia="zh-CN" w:bidi="ar-SA"/>
        </w:rPr>
        <w:t>要求</w:t>
      </w:r>
    </w:p>
    <w:p>
      <w:pPr>
        <w:widowControl w:val="0"/>
        <w:spacing w:line="360" w:lineRule="auto"/>
        <w:ind w:firstLine="560" w:firstLineChars="200"/>
        <w:jc w:val="both"/>
        <w:rPr>
          <w:rFonts w:hint="eastAsia" w:ascii="宋体" w:hAnsi="宋体" w:cs="宋体"/>
          <w:kern w:val="1"/>
          <w:sz w:val="28"/>
          <w:szCs w:val="22"/>
          <w:lang w:val="en-US" w:eastAsia="zh-CN" w:bidi="ar-SA"/>
        </w:rPr>
      </w:pPr>
      <w:r>
        <w:rPr>
          <w:rFonts w:hint="eastAsia" w:ascii="宋体" w:hAnsi="宋体" w:eastAsia="宋体" w:cs="宋体"/>
          <w:kern w:val="1"/>
          <w:sz w:val="28"/>
          <w:szCs w:val="22"/>
          <w:lang w:val="en-US" w:eastAsia="zh-CN" w:bidi="ar-SA"/>
        </w:rPr>
        <w:t>为</w:t>
      </w:r>
      <w:r>
        <w:rPr>
          <w:rFonts w:hint="eastAsia" w:ascii="宋体" w:hAnsi="宋体" w:cs="宋体"/>
          <w:kern w:val="1"/>
          <w:sz w:val="28"/>
          <w:szCs w:val="22"/>
          <w:lang w:val="en-US" w:eastAsia="zh-CN" w:bidi="ar-SA"/>
        </w:rPr>
        <w:t>保证微型自动监测站数据的应用</w:t>
      </w:r>
      <w:r>
        <w:rPr>
          <w:rFonts w:hint="eastAsia" w:ascii="宋体" w:hAnsi="宋体" w:eastAsia="宋体" w:cs="宋体"/>
          <w:kern w:val="1"/>
          <w:sz w:val="28"/>
          <w:szCs w:val="22"/>
          <w:lang w:val="en-US" w:eastAsia="zh-CN" w:bidi="ar-SA"/>
        </w:rPr>
        <w:t>，项目中标人</w:t>
      </w:r>
      <w:r>
        <w:rPr>
          <w:rFonts w:hint="eastAsia" w:ascii="宋体" w:hAnsi="宋体" w:cs="宋体"/>
          <w:kern w:val="1"/>
          <w:sz w:val="28"/>
          <w:szCs w:val="22"/>
          <w:lang w:val="en-US" w:eastAsia="zh-CN" w:bidi="ar-SA"/>
        </w:rPr>
        <w:t>负责3年的项目运维服务，服务开始时间以CMA比对报告出具的检测日期为准。</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运维服务内容</w:t>
      </w:r>
      <w:r>
        <w:rPr>
          <w:rFonts w:hint="eastAsia" w:ascii="宋体" w:hAnsi="宋体" w:cs="宋体"/>
          <w:kern w:val="1"/>
          <w:sz w:val="28"/>
          <w:szCs w:val="22"/>
          <w:lang w:val="en-US" w:eastAsia="zh-CN" w:bidi="ar-SA"/>
        </w:rPr>
        <w:t>包括定期对设备及系统进行技术服务，</w:t>
      </w:r>
      <w:r>
        <w:rPr>
          <w:rFonts w:hint="eastAsia" w:cs="宋体"/>
          <w:kern w:val="1"/>
          <w:sz w:val="28"/>
          <w:szCs w:val="22"/>
          <w:lang w:val="en-US" w:eastAsia="zh-CN" w:bidi="ar-SA"/>
        </w:rPr>
        <w:t>并</w:t>
      </w:r>
      <w:r>
        <w:rPr>
          <w:rFonts w:hint="eastAsia" w:ascii="宋体" w:hAnsi="宋体" w:cs="宋体"/>
          <w:kern w:val="1"/>
          <w:sz w:val="28"/>
          <w:szCs w:val="22"/>
          <w:lang w:val="en-US" w:eastAsia="zh-CN" w:bidi="ar-SA"/>
        </w:rPr>
        <w:t>提供服务承诺。</w:t>
      </w:r>
    </w:p>
    <w:p>
      <w:pPr>
        <w:pStyle w:val="10"/>
        <w:ind w:firstLine="420"/>
        <w:rPr>
          <w:rFonts w:hint="eastAsia" w:ascii="宋体" w:hAnsi="宋体" w:cs="宋体"/>
          <w:kern w:val="1"/>
          <w:sz w:val="28"/>
          <w:szCs w:val="22"/>
          <w:lang w:val="en-US" w:eastAsia="zh-CN" w:bidi="ar-SA"/>
        </w:rPr>
      </w:pPr>
      <w:r>
        <w:rPr>
          <w:rFonts w:hint="eastAsia" w:ascii="宋体" w:hAnsi="宋体" w:cs="宋体"/>
          <w:kern w:val="1"/>
          <w:sz w:val="28"/>
          <w:szCs w:val="22"/>
          <w:lang w:val="en-US" w:eastAsia="zh-CN" w:bidi="ar-SA"/>
        </w:rPr>
        <w:t>技术服务内容：按照日常服务、紧急服务（设备故障、系统异常等）对应制定规章制度，包括设备定期回访、中心平台的所有设备、网络以及为保证整个系统正常升级等内容，做好服务记录，确认系统的运行状况和数据的备份情况。</w:t>
      </w:r>
    </w:p>
    <w:p>
      <w:pPr>
        <w:pStyle w:val="10"/>
        <w:ind w:firstLine="420"/>
        <w:rPr>
          <w:rFonts w:hint="eastAsia" w:ascii="宋体" w:hAnsi="宋体" w:cs="宋体"/>
          <w:kern w:val="1"/>
          <w:sz w:val="28"/>
          <w:szCs w:val="22"/>
          <w:lang w:val="en-US" w:eastAsia="zh-CN" w:bidi="ar-SA"/>
        </w:rPr>
      </w:pPr>
      <w:r>
        <w:rPr>
          <w:rFonts w:hint="eastAsia" w:ascii="宋体" w:hAnsi="宋体" w:cs="宋体"/>
          <w:kern w:val="1"/>
          <w:sz w:val="28"/>
          <w:szCs w:val="22"/>
          <w:lang w:val="en-US" w:eastAsia="zh-CN" w:bidi="ar-SA"/>
        </w:rPr>
        <w:t>技术服务单位必须保障有专人服务现场设备、平台的运行，并保证24小时通信工具畅通。</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w:t>
      </w:r>
      <w:r>
        <w:rPr>
          <w:rFonts w:hint="eastAsia" w:ascii="宋体" w:hAnsi="宋体" w:cs="宋体"/>
          <w:kern w:val="1"/>
          <w:sz w:val="28"/>
          <w:szCs w:val="22"/>
          <w:lang w:val="en-US" w:eastAsia="zh-CN" w:bidi="ar-SA"/>
        </w:rPr>
        <w:t>一</w:t>
      </w:r>
      <w:r>
        <w:rPr>
          <w:rFonts w:hint="eastAsia" w:cs="宋体"/>
          <w:kern w:val="1"/>
          <w:sz w:val="28"/>
          <w:szCs w:val="22"/>
          <w:lang w:val="en-US" w:eastAsia="zh-CN" w:bidi="ar-SA"/>
        </w:rPr>
        <w:t>）</w:t>
      </w:r>
      <w:r>
        <w:rPr>
          <w:rFonts w:hint="eastAsia" w:ascii="宋体" w:hAnsi="宋体" w:cs="宋体"/>
          <w:kern w:val="1"/>
          <w:sz w:val="28"/>
          <w:szCs w:val="22"/>
          <w:lang w:val="en-US" w:eastAsia="zh-CN" w:bidi="ar-SA"/>
        </w:rPr>
        <w:t>、日常技术服务要求：</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①</w:t>
      </w:r>
      <w:r>
        <w:rPr>
          <w:rFonts w:hint="eastAsia" w:ascii="宋体" w:hAnsi="宋体" w:cs="宋体"/>
          <w:kern w:val="1"/>
          <w:sz w:val="28"/>
          <w:szCs w:val="22"/>
          <w:lang w:val="en-US" w:eastAsia="zh-CN" w:bidi="ar-SA"/>
        </w:rPr>
        <w:t>、负责所有设备的日常技术支持，包括远程指导、现场查看；</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②</w:t>
      </w:r>
      <w:r>
        <w:rPr>
          <w:rFonts w:hint="eastAsia" w:ascii="宋体" w:hAnsi="宋体" w:cs="宋体"/>
          <w:kern w:val="1"/>
          <w:sz w:val="28"/>
          <w:szCs w:val="22"/>
          <w:lang w:val="en-US" w:eastAsia="zh-CN" w:bidi="ar-SA"/>
        </w:rPr>
        <w:t>、技术人员按照要求远程查看设备，主动发现设备故障，将故障记录在案，并在规定时间内指导修复完成，及时向生态环境局反馈情况；</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③</w:t>
      </w:r>
      <w:r>
        <w:rPr>
          <w:rFonts w:hint="eastAsia" w:ascii="宋体" w:hAnsi="宋体" w:cs="宋体"/>
          <w:kern w:val="1"/>
          <w:sz w:val="28"/>
          <w:szCs w:val="22"/>
          <w:lang w:val="en-US" w:eastAsia="zh-CN" w:bidi="ar-SA"/>
        </w:rPr>
        <w:t>、远程技术服务无法解决，必要时需提供现场服务，应在</w:t>
      </w:r>
      <w:r>
        <w:rPr>
          <w:rFonts w:hint="eastAsia" w:cs="宋体"/>
          <w:kern w:val="1"/>
          <w:sz w:val="28"/>
          <w:szCs w:val="22"/>
          <w:lang w:val="en-US" w:eastAsia="zh-CN" w:bidi="ar-SA"/>
        </w:rPr>
        <w:t>8</w:t>
      </w:r>
      <w:r>
        <w:rPr>
          <w:rFonts w:hint="eastAsia" w:ascii="宋体" w:hAnsi="宋体" w:cs="宋体"/>
          <w:kern w:val="1"/>
          <w:sz w:val="28"/>
          <w:szCs w:val="22"/>
          <w:lang w:val="en-US" w:eastAsia="zh-CN" w:bidi="ar-SA"/>
        </w:rPr>
        <w:t>个小时内响应并及时处理，24小时负责修复。如因现场故障的特殊情况暂时无法修复时，需向买方提出</w:t>
      </w:r>
      <w:r>
        <w:rPr>
          <w:rFonts w:hint="eastAsia" w:cs="宋体"/>
          <w:kern w:val="1"/>
          <w:sz w:val="28"/>
          <w:szCs w:val="22"/>
          <w:lang w:val="en-US" w:eastAsia="zh-CN" w:bidi="ar-SA"/>
        </w:rPr>
        <w:t>维修</w:t>
      </w:r>
      <w:r>
        <w:rPr>
          <w:rFonts w:hint="eastAsia" w:ascii="宋体" w:hAnsi="宋体" w:cs="宋体"/>
          <w:kern w:val="1"/>
          <w:sz w:val="28"/>
          <w:szCs w:val="22"/>
          <w:lang w:val="en-US" w:eastAsia="zh-CN" w:bidi="ar-SA"/>
        </w:rPr>
        <w:t>申请，经买方核实后明确延期时间。</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w:t>
      </w:r>
      <w:r>
        <w:rPr>
          <w:rFonts w:hint="eastAsia" w:ascii="宋体" w:hAnsi="宋体" w:cs="宋体"/>
          <w:kern w:val="1"/>
          <w:sz w:val="28"/>
          <w:szCs w:val="22"/>
          <w:lang w:val="en-US" w:eastAsia="zh-CN" w:bidi="ar-SA"/>
        </w:rPr>
        <w:t>二</w:t>
      </w:r>
      <w:r>
        <w:rPr>
          <w:rFonts w:hint="eastAsia" w:cs="宋体"/>
          <w:kern w:val="1"/>
          <w:sz w:val="28"/>
          <w:szCs w:val="22"/>
          <w:lang w:val="en-US" w:eastAsia="zh-CN" w:bidi="ar-SA"/>
        </w:rPr>
        <w:t>）</w:t>
      </w:r>
      <w:r>
        <w:rPr>
          <w:rFonts w:hint="eastAsia" w:ascii="宋体" w:hAnsi="宋体" w:cs="宋体"/>
          <w:kern w:val="1"/>
          <w:sz w:val="28"/>
          <w:szCs w:val="22"/>
          <w:lang w:val="en-US" w:eastAsia="zh-CN" w:bidi="ar-SA"/>
        </w:rPr>
        <w:t>、紧急技术支持</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①</w:t>
      </w:r>
      <w:r>
        <w:rPr>
          <w:rFonts w:hint="eastAsia" w:ascii="宋体" w:hAnsi="宋体" w:cs="宋体"/>
          <w:kern w:val="1"/>
          <w:sz w:val="28"/>
          <w:szCs w:val="22"/>
          <w:lang w:val="en-US" w:eastAsia="zh-CN" w:bidi="ar-SA"/>
        </w:rPr>
        <w:t>、设备部分</w:t>
      </w:r>
    </w:p>
    <w:p>
      <w:pPr>
        <w:pStyle w:val="10"/>
        <w:ind w:firstLine="420"/>
        <w:rPr>
          <w:rFonts w:hint="eastAsia" w:ascii="宋体" w:hAnsi="宋体" w:cs="宋体"/>
          <w:kern w:val="1"/>
          <w:sz w:val="28"/>
          <w:szCs w:val="22"/>
          <w:lang w:val="en-US" w:eastAsia="zh-CN" w:bidi="ar-SA"/>
        </w:rPr>
      </w:pPr>
      <w:r>
        <w:rPr>
          <w:rFonts w:hint="eastAsia" w:ascii="宋体" w:hAnsi="宋体" w:cs="宋体"/>
          <w:kern w:val="1"/>
          <w:sz w:val="28"/>
          <w:szCs w:val="22"/>
          <w:lang w:val="en-US" w:eastAsia="zh-CN" w:bidi="ar-SA"/>
        </w:rPr>
        <w:t>技术服务单位安排专人每天工作时间负责对平台系统的设备实时数据、设备状态、实时视频和录像存储等工作进行查看，如有故障负责管控故障修复时限并指导修复；对无法按时解决的需及时反馈生态环境局，并给出修复时限。</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②</w:t>
      </w:r>
      <w:r>
        <w:rPr>
          <w:rFonts w:hint="eastAsia" w:ascii="宋体" w:hAnsi="宋体" w:cs="宋体"/>
          <w:kern w:val="1"/>
          <w:sz w:val="28"/>
          <w:szCs w:val="22"/>
          <w:lang w:val="en-US" w:eastAsia="zh-CN" w:bidi="ar-SA"/>
        </w:rPr>
        <w:t>、线路部分</w:t>
      </w:r>
    </w:p>
    <w:p>
      <w:pPr>
        <w:pStyle w:val="10"/>
        <w:ind w:firstLine="420"/>
        <w:rPr>
          <w:rFonts w:hint="eastAsia" w:ascii="宋体" w:hAnsi="宋体" w:cs="宋体"/>
          <w:kern w:val="1"/>
          <w:sz w:val="28"/>
          <w:szCs w:val="22"/>
          <w:lang w:val="en-US" w:eastAsia="zh-CN" w:bidi="ar-SA"/>
        </w:rPr>
      </w:pPr>
      <w:r>
        <w:rPr>
          <w:rFonts w:hint="eastAsia" w:ascii="宋体" w:hAnsi="宋体" w:cs="宋体"/>
          <w:kern w:val="1"/>
          <w:sz w:val="28"/>
          <w:szCs w:val="22"/>
          <w:lang w:val="en-US" w:eastAsia="zh-CN" w:bidi="ar-SA"/>
        </w:rPr>
        <w:t>经技术人员排查后，确定故障节点是线路问题，需及时通知通讯运营商联系人员，由通讯运营商线路运维部门人员协同查修线路故障。</w:t>
      </w:r>
    </w:p>
    <w:p>
      <w:pPr>
        <w:pStyle w:val="10"/>
        <w:ind w:firstLine="420"/>
        <w:rPr>
          <w:rFonts w:hint="eastAsia" w:ascii="宋体" w:hAnsi="宋体" w:cs="宋体"/>
          <w:kern w:val="1"/>
          <w:sz w:val="28"/>
          <w:szCs w:val="22"/>
          <w:lang w:val="en-US" w:eastAsia="zh-CN" w:bidi="ar-SA"/>
        </w:rPr>
      </w:pPr>
      <w:r>
        <w:rPr>
          <w:rFonts w:hint="eastAsia" w:cs="宋体"/>
          <w:kern w:val="1"/>
          <w:sz w:val="28"/>
          <w:szCs w:val="22"/>
          <w:lang w:val="en-US" w:eastAsia="zh-CN" w:bidi="ar-SA"/>
        </w:rPr>
        <w:t>③</w:t>
      </w:r>
      <w:r>
        <w:rPr>
          <w:rFonts w:hint="eastAsia" w:ascii="宋体" w:hAnsi="宋体" w:cs="宋体"/>
          <w:kern w:val="1"/>
          <w:sz w:val="28"/>
          <w:szCs w:val="22"/>
          <w:lang w:val="en-US" w:eastAsia="zh-CN" w:bidi="ar-SA"/>
        </w:rPr>
        <w:t>、供电部分</w:t>
      </w:r>
    </w:p>
    <w:p>
      <w:pPr>
        <w:pStyle w:val="10"/>
        <w:widowControl w:val="0"/>
        <w:spacing w:line="360" w:lineRule="auto"/>
        <w:ind w:firstLine="560" w:firstLineChars="200"/>
        <w:jc w:val="both"/>
        <w:rPr>
          <w:rFonts w:hint="eastAsia" w:ascii="宋体" w:hAnsi="宋体" w:eastAsia="宋体" w:cs="宋体"/>
          <w:kern w:val="1"/>
          <w:sz w:val="28"/>
          <w:szCs w:val="22"/>
          <w:lang w:val="en-US" w:eastAsia="zh-CN" w:bidi="ar-SA"/>
        </w:rPr>
      </w:pPr>
      <w:r>
        <w:rPr>
          <w:rFonts w:hint="eastAsia" w:ascii="宋体" w:hAnsi="宋体" w:cs="宋体"/>
          <w:kern w:val="1"/>
          <w:sz w:val="28"/>
          <w:szCs w:val="22"/>
          <w:lang w:val="en-US" w:eastAsia="zh-CN" w:bidi="ar-SA"/>
        </w:rPr>
        <w:t>经技术人员排查后，确定故障节点是监控点供电问题，需及时通知供电单位联系人员，并由供电单位协同处理接电问题。</w:t>
      </w:r>
    </w:p>
    <w:p>
      <w:pPr>
        <w:widowControl w:val="0"/>
        <w:spacing w:line="360" w:lineRule="auto"/>
        <w:ind w:firstLine="560" w:firstLineChars="200"/>
        <w:jc w:val="both"/>
        <w:rPr>
          <w:rFonts w:hint="eastAsia" w:ascii="宋体" w:hAnsi="宋体" w:eastAsia="宋体" w:cs="宋体"/>
          <w:kern w:val="1"/>
          <w:sz w:val="28"/>
          <w:szCs w:val="22"/>
          <w:lang w:val="en-US" w:eastAsia="zh-CN" w:bidi="ar-SA"/>
        </w:rPr>
      </w:pPr>
      <w:r>
        <w:rPr>
          <w:rFonts w:hint="eastAsia" w:ascii="宋体" w:hAnsi="宋体" w:eastAsia="宋体" w:cs="宋体"/>
          <w:kern w:val="1"/>
          <w:sz w:val="28"/>
          <w:szCs w:val="22"/>
          <w:lang w:val="en-US" w:eastAsia="zh-CN" w:bidi="ar-SA"/>
        </w:rPr>
        <w:t>为实现项目的长效管理，项目</w:t>
      </w:r>
      <w:r>
        <w:rPr>
          <w:rFonts w:hint="eastAsia" w:ascii="宋体" w:hAnsi="宋体" w:cs="宋体"/>
          <w:kern w:val="1"/>
          <w:sz w:val="28"/>
          <w:szCs w:val="22"/>
          <w:lang w:val="en-US" w:eastAsia="zh-CN" w:bidi="ar-SA"/>
        </w:rPr>
        <w:t>结束后</w:t>
      </w:r>
      <w:r>
        <w:rPr>
          <w:rFonts w:hint="eastAsia" w:ascii="宋体" w:hAnsi="宋体" w:eastAsia="宋体" w:cs="宋体"/>
          <w:kern w:val="1"/>
          <w:sz w:val="28"/>
          <w:szCs w:val="22"/>
          <w:lang w:val="en-US" w:eastAsia="zh-CN" w:bidi="ar-SA"/>
        </w:rPr>
        <w:t>中标人</w:t>
      </w:r>
      <w:r>
        <w:rPr>
          <w:rFonts w:hint="eastAsia" w:ascii="宋体" w:hAnsi="宋体" w:cs="宋体"/>
          <w:kern w:val="1"/>
          <w:sz w:val="28"/>
          <w:szCs w:val="22"/>
          <w:lang w:val="en-US" w:eastAsia="zh-CN" w:bidi="ar-SA"/>
        </w:rPr>
        <w:t>还</w:t>
      </w:r>
      <w:r>
        <w:rPr>
          <w:rFonts w:hint="eastAsia" w:ascii="宋体" w:hAnsi="宋体" w:eastAsia="宋体" w:cs="宋体"/>
          <w:kern w:val="1"/>
          <w:sz w:val="28"/>
          <w:szCs w:val="22"/>
          <w:lang w:val="en-US" w:eastAsia="zh-CN" w:bidi="ar-SA"/>
        </w:rPr>
        <w:t>需要提交项目运维方案，包括水质</w:t>
      </w:r>
      <w:r>
        <w:rPr>
          <w:rFonts w:hint="eastAsia" w:ascii="宋体" w:hAnsi="宋体" w:cs="宋体"/>
          <w:kern w:val="1"/>
          <w:sz w:val="28"/>
          <w:szCs w:val="22"/>
          <w:lang w:val="en-US" w:eastAsia="zh-CN" w:bidi="ar-SA"/>
        </w:rPr>
        <w:t>水量</w:t>
      </w:r>
      <w:r>
        <w:rPr>
          <w:rFonts w:hint="eastAsia" w:ascii="宋体" w:hAnsi="宋体" w:eastAsia="宋体" w:cs="宋体"/>
          <w:kern w:val="1"/>
          <w:sz w:val="28"/>
          <w:szCs w:val="22"/>
          <w:lang w:val="en-US" w:eastAsia="zh-CN" w:bidi="ar-SA"/>
        </w:rPr>
        <w:t>微型预警站运维说明及动态管理平台使用说明书等内容，便于运维人员的快速了解项目运维内容及常见问题解决方案，必要时向运维人员提供培训。</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项目建设周期</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项目建设周期自合同签订至2023年10月。</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验收标准</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项目结束时，中标人通过采购人组织的验收。</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货物包装及运输要求</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任何货物发出前必须充分保护、包装和进行专门处理，以保证其抵达工程现场时没有损伤。并根据性质选择采用包装箱、板条箱或仅部分保护的运输形式，包括防腐、防菌、防止害虫、曝晒、雨淋、霜冻、高温、潮湿、盐份、海水、野蛮装卸等造成的损害。所有设备的包装经得起陆上的运输、搬运和码头的露天存放，使其到达目的地后完整无缺。</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对设备运至现场的整个过程负责，包括搬运、仓储保管和安全措施。运输期间，设备和部件包装完好以免损坏或泄漏。包装箱外面标明净重、内容，装箱及卸载的正常步骤。</w:t>
      </w:r>
    </w:p>
    <w:p>
      <w:pPr>
        <w:keepNext/>
        <w:widowControl w:val="0"/>
        <w:numPr>
          <w:ilvl w:val="1"/>
          <w:numId w:val="1"/>
        </w:numPr>
        <w:spacing w:before="156" w:beforeLines="50" w:after="156" w:afterLines="50" w:line="360" w:lineRule="auto"/>
        <w:ind w:left="567" w:hanging="567" w:firstLineChars="0"/>
        <w:jc w:val="both"/>
        <w:outlineLvl w:val="1"/>
        <w:rPr>
          <w:rFonts w:hint="eastAsia" w:ascii="宋体" w:hAnsi="宋体" w:eastAsia="宋体" w:cs="宋体"/>
          <w:b/>
          <w:bCs/>
          <w:kern w:val="2"/>
          <w:sz w:val="30"/>
          <w:szCs w:val="28"/>
          <w:lang w:val="en-US" w:eastAsia="zh-CN" w:bidi="ar-SA"/>
        </w:rPr>
      </w:pPr>
      <w:r>
        <w:rPr>
          <w:rFonts w:hint="eastAsia" w:ascii="宋体" w:hAnsi="宋体" w:eastAsia="宋体" w:cs="宋体"/>
          <w:b/>
          <w:bCs/>
          <w:kern w:val="2"/>
          <w:sz w:val="30"/>
          <w:szCs w:val="28"/>
          <w:lang w:val="en-US" w:eastAsia="zh-CN" w:bidi="ar-SA"/>
        </w:rPr>
        <w:t>售后服务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供应方需对设备提供为期1年的质量保证。同时承诺：（1）质保期内对所采购的软硬件产品质提供免费维保升级服务；</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（2）质保期外，供应商应保证备品备件的有偿充足的供应；</w:t>
      </w:r>
    </w:p>
    <w:p>
      <w:pPr>
        <w:widowControl w:val="0"/>
        <w:spacing w:line="360" w:lineRule="auto"/>
        <w:ind w:firstLine="560" w:firstLineChars="200"/>
        <w:jc w:val="both"/>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（3）质保期外，提供免费电话咨询技术支持服务，接到运维问题报告后24小时内响应处理，远程指导运维人员修护，如有必要协调技术人员现场有偿技术指导。</w:t>
      </w:r>
    </w:p>
    <w:p>
      <w:pPr>
        <w:pStyle w:val="11"/>
        <w:numPr>
          <w:ilvl w:val="0"/>
          <w:numId w:val="0"/>
        </w:numPr>
        <w:rPr>
          <w:rFonts w:hint="eastAsia" w:ascii="宋体" w:hAnsi="宋体" w:eastAsia="宋体" w:cs="宋体"/>
        </w:rPr>
      </w:pPr>
    </w:p>
    <w:p>
      <w:pPr>
        <w:spacing w:line="288"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1.9</w:t>
      </w:r>
      <w:r>
        <w:rPr>
          <w:rFonts w:hint="eastAsia" w:ascii="宋体" w:hAnsi="宋体" w:eastAsia="宋体" w:cs="宋体"/>
          <w:b/>
          <w:color w:val="auto"/>
          <w:sz w:val="28"/>
          <w:szCs w:val="28"/>
          <w:highlight w:val="none"/>
        </w:rPr>
        <w:t>、其他要求：见招标文件第五章《拟签订的合同文本》。</w:t>
      </w:r>
    </w:p>
    <w:p/>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240" w:lineRule="auto"/>
      <w:ind w:firstLine="0" w:firstLineChars="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360" w:lineRule="auto"/>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360" w:lineRule="auto"/>
      <w:ind w:firstLine="360" w:firstLineChars="200"/>
      <w:jc w:val="center"/>
      <w:rPr>
        <w:rFonts w:ascii="Times New Roman" w:hAnsi="Times New Roman" w:eastAsia="仿宋_GB2312"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240" w:lineRule="auto"/>
      <w:ind w:firstLine="0" w:firstLineChars="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AD6A0"/>
    <w:multiLevelType w:val="multilevel"/>
    <w:tmpl w:val="BEAAD6A0"/>
    <w:lvl w:ilvl="0" w:tentative="0">
      <w:start w:val="1"/>
      <w:numFmt w:val="chineseCounting"/>
      <w:suff w:val="nothing"/>
      <w:lvlText w:val="第%1章 "/>
      <w:lvlJc w:val="left"/>
      <w:pPr>
        <w:ind w:left="425" w:hanging="425"/>
      </w:pPr>
    </w:lvl>
    <w:lvl w:ilvl="1" w:tentative="0">
      <w:start w:val="1"/>
      <w:numFmt w:val="decimal"/>
      <w:isLgl/>
      <w:lvlText w:val="%1.%2."/>
      <w:lvlJc w:val="left"/>
      <w:pPr>
        <w:ind w:left="567" w:hanging="567"/>
      </w:pPr>
    </w:lvl>
    <w:lvl w:ilvl="2" w:tentative="0">
      <w:start w:val="1"/>
      <w:numFmt w:val="decimal"/>
      <w:isLgl/>
      <w:lvlText w:val="%1.%2.%3."/>
      <w:lvlJc w:val="left"/>
      <w:pPr>
        <w:ind w:left="709" w:hanging="709"/>
      </w:pPr>
    </w:lvl>
    <w:lvl w:ilvl="3" w:tentative="0">
      <w:start w:val="1"/>
      <w:numFmt w:val="decimal"/>
      <w:isLgl/>
      <w:lvlText w:val="%1.%2.%3.%4."/>
      <w:lvlJc w:val="left"/>
      <w:pPr>
        <w:ind w:left="850" w:hanging="850"/>
      </w:pPr>
    </w:lvl>
    <w:lvl w:ilvl="4" w:tentative="0">
      <w:start w:val="1"/>
      <w:numFmt w:val="decimal"/>
      <w:isLgl/>
      <w:lvlText w:val="%1.%2.%3.%4.%5."/>
      <w:lvlJc w:val="left"/>
      <w:pPr>
        <w:ind w:left="991" w:hanging="991"/>
      </w:pPr>
    </w:lvl>
    <w:lvl w:ilvl="5" w:tentative="0">
      <w:start w:val="1"/>
      <w:numFmt w:val="decimal"/>
      <w:isLgl/>
      <w:lvlText w:val="%1.%2.%3.%4.%5.%6."/>
      <w:lvlJc w:val="left"/>
      <w:pPr>
        <w:ind w:left="1134" w:hanging="1134"/>
      </w:pPr>
    </w:lvl>
    <w:lvl w:ilvl="6" w:tentative="0">
      <w:start w:val="1"/>
      <w:numFmt w:val="decimal"/>
      <w:isLgl/>
      <w:lvlText w:val="%1.%2.%3.%4.%5.%6.%7."/>
      <w:lvlJc w:val="left"/>
      <w:pPr>
        <w:ind w:left="1275" w:hanging="1275"/>
      </w:pPr>
    </w:lvl>
    <w:lvl w:ilvl="7" w:tentative="0">
      <w:start w:val="1"/>
      <w:numFmt w:val="decimal"/>
      <w:isLgl/>
      <w:lvlText w:val="%1.%2.%3.%4.%5.%6.%7.%8."/>
      <w:lvlJc w:val="left"/>
      <w:pPr>
        <w:ind w:left="1418" w:hanging="1418"/>
      </w:pPr>
    </w:lvl>
    <w:lvl w:ilvl="8" w:tentative="0">
      <w:start w:val="1"/>
      <w:numFmt w:val="decimal"/>
      <w:isLgl/>
      <w:lvlText w:val="%1.%2.%3.%4.%5.%6.%7.%8.%9."/>
      <w:lvlJc w:val="left"/>
      <w:pPr>
        <w:ind w:left="1558" w:hanging="1558"/>
      </w:pPr>
    </w:lvl>
  </w:abstractNum>
  <w:abstractNum w:abstractNumId="1">
    <w:nsid w:val="C6BEB5F6"/>
    <w:multiLevelType w:val="singleLevel"/>
    <w:tmpl w:val="C6BEB5F6"/>
    <w:lvl w:ilvl="0" w:tentative="0">
      <w:start w:val="1"/>
      <w:numFmt w:val="bullet"/>
      <w:lvlText w:val=""/>
      <w:lvlJc w:val="left"/>
      <w:pPr>
        <w:ind w:left="420" w:hanging="420"/>
      </w:pPr>
      <w:rPr>
        <w:rFonts w:hint="default" w:ascii="Wingdings" w:hAnsi="Wingdings"/>
      </w:rPr>
    </w:lvl>
  </w:abstractNum>
  <w:abstractNum w:abstractNumId="2">
    <w:nsid w:val="FD94FB8D"/>
    <w:multiLevelType w:val="singleLevel"/>
    <w:tmpl w:val="FD94FB8D"/>
    <w:lvl w:ilvl="0" w:tentative="0">
      <w:start w:val="1"/>
      <w:numFmt w:val="decimal"/>
      <w:suff w:val="space"/>
      <w:lvlText w:val="%1."/>
      <w:lvlJc w:val="left"/>
      <w:pPr>
        <w:ind w:left="38"/>
      </w:pPr>
      <w:rPr>
        <w:rFonts w:hint="default"/>
        <w:sz w:val="28"/>
        <w:szCs w:val="28"/>
      </w:rPr>
    </w:lvl>
  </w:abstractNum>
  <w:abstractNum w:abstractNumId="3">
    <w:nsid w:val="0C1E1BE0"/>
    <w:multiLevelType w:val="multilevel"/>
    <w:tmpl w:val="0C1E1BE0"/>
    <w:lvl w:ilvl="0" w:tentative="0">
      <w:start w:val="1"/>
      <w:numFmt w:val="decimal"/>
      <w:lvlText w:val="（%1）"/>
      <w:lvlJc w:val="left"/>
      <w:pPr>
        <w:ind w:left="15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326100A4"/>
    <w:multiLevelType w:val="multilevel"/>
    <w:tmpl w:val="326100A4"/>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2B0A9F4"/>
    <w:multiLevelType w:val="singleLevel"/>
    <w:tmpl w:val="52B0A9F4"/>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jk4YzAyNzVkNmEzYjNiMjc5NTlhZmM5OWU3NGMifQ=="/>
  </w:docVars>
  <w:rsids>
    <w:rsidRoot w:val="02E6675E"/>
    <w:rsid w:val="02E6675E"/>
    <w:rsid w:val="0E01540F"/>
    <w:rsid w:val="181450C8"/>
    <w:rsid w:val="58CF0C82"/>
    <w:rsid w:val="7A63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320" w:after="200"/>
      <w:outlineLvl w:val="2"/>
    </w:pPr>
    <w:rPr>
      <w:rFonts w:hint="default" w:ascii="Arial" w:hAnsi="Arial" w:eastAsia="Arial" w:cs="Arial"/>
      <w:sz w:val="30"/>
      <w:szCs w:val="30"/>
    </w:rPr>
  </w:style>
  <w:style w:type="paragraph" w:styleId="3">
    <w:name w:val="heading 4"/>
    <w:next w:val="1"/>
    <w:unhideWhenUsed/>
    <w:qFormat/>
    <w:uiPriority w:val="9"/>
    <w:pPr>
      <w:keepNext/>
      <w:keepLines/>
      <w:spacing w:before="320" w:after="200"/>
      <w:ind w:firstLine="640" w:firstLineChars="200"/>
      <w:outlineLvl w:val="3"/>
    </w:pPr>
    <w:rPr>
      <w:rFonts w:hint="default" w:ascii="Times New Roman" w:hAnsi="Times New Roman" w:eastAsia="宋体" w:cs="Arial"/>
      <w:b/>
      <w:bCs/>
      <w:sz w:val="28"/>
      <w:szCs w:val="2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table" w:styleId="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
    <w:basedOn w:val="1"/>
    <w:qFormat/>
    <w:uiPriority w:val="0"/>
    <w:pPr>
      <w:spacing w:line="360" w:lineRule="auto"/>
      <w:ind w:firstLine="200" w:firstLineChars="200"/>
    </w:pPr>
    <w:rPr>
      <w:rFonts w:ascii="宋体" w:hAnsi="宋体"/>
      <w:sz w:val="22"/>
    </w:rPr>
  </w:style>
  <w:style w:type="paragraph" w:customStyle="1" w:styleId="11">
    <w:name w:val="正文11"/>
    <w:next w:val="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脚注文本11"/>
    <w:basedOn w:val="11"/>
    <w:next w:val="13"/>
    <w:qFormat/>
    <w:uiPriority w:val="0"/>
    <w:pPr>
      <w:jc w:val="left"/>
    </w:pPr>
    <w:rPr>
      <w:rFonts w:ascii="宋体" w:eastAsia="Times New Roman"/>
      <w:sz w:val="18"/>
      <w:szCs w:val="18"/>
    </w:rPr>
  </w:style>
  <w:style w:type="paragraph" w:customStyle="1" w:styleId="13">
    <w:name w:val="索引 511"/>
    <w:basedOn w:val="11"/>
    <w:next w:val="14"/>
    <w:qFormat/>
    <w:uiPriority w:val="0"/>
    <w:pPr>
      <w:ind w:left="798"/>
      <w:jc w:val="left"/>
    </w:pPr>
    <w:rPr>
      <w:rFonts w:ascii="Calibri" w:hAnsi="Calibri"/>
    </w:rPr>
  </w:style>
  <w:style w:type="paragraph" w:customStyle="1" w:styleId="14">
    <w:name w:val="正文112"/>
    <w:next w:val="1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5">
    <w:name w:val="正文首行缩进 21"/>
    <w:basedOn w:val="16"/>
    <w:qFormat/>
    <w:uiPriority w:val="0"/>
    <w:pPr>
      <w:ind w:firstLine="420"/>
    </w:pPr>
    <w:rPr>
      <w:rFonts w:ascii="Times New Roman" w:hAnsi="Times New Roman"/>
    </w:rPr>
  </w:style>
  <w:style w:type="paragraph" w:customStyle="1" w:styleId="16">
    <w:name w:val="正文文本缩进1"/>
    <w:basedOn w:val="11"/>
    <w:next w:val="17"/>
    <w:qFormat/>
    <w:uiPriority w:val="0"/>
    <w:pPr>
      <w:spacing w:after="120"/>
      <w:ind w:left="420"/>
    </w:pPr>
    <w:rPr>
      <w:rFonts w:ascii="Calibri" w:hAnsi="Calibri"/>
    </w:rPr>
  </w:style>
  <w:style w:type="paragraph" w:customStyle="1" w:styleId="17">
    <w:name w:val="寄信人地址1"/>
    <w:basedOn w:val="11"/>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8128</Words>
  <Characters>8857</Characters>
  <Lines>0</Lines>
  <Paragraphs>0</Paragraphs>
  <TotalTime>0</TotalTime>
  <ScaleCrop>false</ScaleCrop>
  <LinksUpToDate>false</LinksUpToDate>
  <CharactersWithSpaces>8882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2022-12-06T02:07:00Z</dcterms:created>
  <dc:creator>宋雅</dc:creator>
  <cp:lastModifiedBy>Admin</cp:lastModifiedBy>
  <dcterms:modified xsi:type="dcterms:W3CDTF">2022-12-16T07:19:56Z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D1AA76107BF84026987F9CF9C7FBB8B3</vt:lpwstr>
  </property>
</Properties>
</file>