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pacing w:val="76"/>
          <w:sz w:val="24"/>
        </w:rPr>
      </w:pPr>
    </w:p>
    <w:p>
      <w:pPr>
        <w:rPr>
          <w:rFonts w:hint="eastAsia" w:ascii="宋体" w:hAnsi="宋体" w:eastAsia="宋体" w:cs="宋体"/>
          <w:b/>
          <w:spacing w:val="76"/>
          <w:sz w:val="24"/>
        </w:rPr>
      </w:pPr>
    </w:p>
    <w:p>
      <w:pPr>
        <w:jc w:val="center"/>
        <w:rPr>
          <w:rFonts w:hint="eastAsia" w:ascii="宋体" w:hAnsi="宋体" w:eastAsia="宋体" w:cs="宋体"/>
          <w:b/>
          <w:spacing w:val="76"/>
          <w:sz w:val="24"/>
        </w:rPr>
      </w:pPr>
    </w:p>
    <w:p>
      <w:pPr>
        <w:jc w:val="center"/>
        <w:rPr>
          <w:rFonts w:hint="eastAsia" w:ascii="宋体" w:hAnsi="宋体" w:eastAsia="宋体" w:cs="宋体"/>
          <w:b/>
          <w:spacing w:val="76"/>
          <w:sz w:val="24"/>
        </w:rPr>
      </w:pPr>
    </w:p>
    <w:p>
      <w:pPr>
        <w:jc w:val="center"/>
        <w:rPr>
          <w:rFonts w:hint="eastAsia" w:ascii="宋体" w:hAnsi="宋体" w:eastAsia="宋体" w:cs="宋体"/>
          <w:b/>
          <w:spacing w:val="76"/>
          <w:sz w:val="52"/>
          <w:szCs w:val="52"/>
        </w:rPr>
      </w:pPr>
    </w:p>
    <w:p>
      <w:pPr>
        <w:rPr>
          <w:rFonts w:hint="eastAsia" w:ascii="宋体" w:hAnsi="宋体" w:eastAsia="宋体" w:cs="宋体"/>
        </w:rPr>
      </w:pPr>
    </w:p>
    <w:p>
      <w:pPr>
        <w:jc w:val="center"/>
        <w:rPr>
          <w:rFonts w:hint="eastAsia" w:ascii="宋体" w:hAnsi="宋体" w:eastAsia="宋体" w:cs="宋体"/>
          <w:b/>
          <w:spacing w:val="76"/>
          <w:sz w:val="96"/>
          <w:szCs w:val="96"/>
        </w:rPr>
      </w:pPr>
      <w:r>
        <w:rPr>
          <w:rFonts w:hint="eastAsia" w:ascii="宋体" w:hAnsi="宋体" w:eastAsia="宋体" w:cs="宋体"/>
          <w:b/>
          <w:spacing w:val="76"/>
          <w:sz w:val="96"/>
          <w:szCs w:val="96"/>
        </w:rPr>
        <w:t>招标文件</w:t>
      </w:r>
    </w:p>
    <w:p>
      <w:pPr>
        <w:rPr>
          <w:rFonts w:hint="eastAsia" w:ascii="宋体" w:hAnsi="宋体" w:eastAsia="宋体" w:cs="宋体"/>
          <w:b/>
          <w:sz w:val="24"/>
        </w:rPr>
      </w:pPr>
    </w:p>
    <w:p>
      <w:pPr>
        <w:pStyle w:val="18"/>
        <w:rPr>
          <w:rFonts w:hint="eastAsia" w:ascii="宋体" w:hAnsi="宋体" w:eastAsia="宋体" w:cs="宋体"/>
          <w:sz w:val="32"/>
        </w:rPr>
      </w:pPr>
    </w:p>
    <w:p>
      <w:pPr>
        <w:rPr>
          <w:rFonts w:hint="eastAsia" w:ascii="宋体" w:hAnsi="宋体" w:eastAsia="宋体" w:cs="宋体"/>
        </w:rPr>
      </w:pPr>
    </w:p>
    <w:p>
      <w:pPr>
        <w:pStyle w:val="2"/>
        <w:rPr>
          <w:rFonts w:hint="eastAsia" w:ascii="宋体" w:hAnsi="宋体" w:eastAsia="宋体" w:cs="宋体"/>
        </w:rPr>
      </w:pPr>
    </w:p>
    <w:p>
      <w:pPr>
        <w:pStyle w:val="3"/>
        <w:rPr>
          <w:rFonts w:hint="eastAsia"/>
        </w:rPr>
      </w:pPr>
    </w:p>
    <w:p>
      <w:pPr>
        <w:spacing w:line="360" w:lineRule="auto"/>
        <w:ind w:firstLine="640" w:firstLineChars="200"/>
        <w:rPr>
          <w:rFonts w:hint="eastAsia" w:ascii="宋体" w:hAnsi="宋体" w:eastAsia="宋体" w:cs="宋体"/>
          <w:sz w:val="32"/>
        </w:rPr>
      </w:pPr>
    </w:p>
    <w:p>
      <w:pPr>
        <w:pStyle w:val="2"/>
        <w:rPr>
          <w:rFonts w:hint="eastAsia" w:ascii="宋体" w:hAnsi="宋体" w:eastAsia="宋体" w:cs="宋体"/>
          <w:sz w:val="32"/>
        </w:rPr>
      </w:pPr>
    </w:p>
    <w:p>
      <w:pPr>
        <w:pStyle w:val="3"/>
        <w:rPr>
          <w:rFonts w:hint="eastAsia"/>
        </w:rPr>
      </w:pPr>
    </w:p>
    <w:p>
      <w:pPr>
        <w:spacing w:line="360" w:lineRule="auto"/>
        <w:ind w:firstLine="640" w:firstLineChars="200"/>
        <w:rPr>
          <w:rFonts w:hint="eastAsia" w:ascii="宋体" w:hAnsi="宋体" w:eastAsia="宋体" w:cs="宋体"/>
          <w:sz w:val="32"/>
        </w:rPr>
      </w:pPr>
    </w:p>
    <w:p>
      <w:pPr>
        <w:spacing w:line="360" w:lineRule="auto"/>
        <w:ind w:leftChars="300" w:firstLine="640" w:firstLineChars="200"/>
        <w:rPr>
          <w:rFonts w:hint="eastAsia" w:ascii="宋体" w:hAnsi="宋体" w:eastAsia="宋体" w:cs="宋体"/>
          <w:sz w:val="32"/>
          <w:lang w:eastAsia="zh-CN"/>
        </w:rPr>
      </w:pPr>
      <w:r>
        <w:rPr>
          <w:rFonts w:hint="eastAsia" w:ascii="宋体" w:hAnsi="宋体" w:eastAsia="宋体" w:cs="宋体"/>
          <w:sz w:val="32"/>
        </w:rPr>
        <w:t>项目编号：</w:t>
      </w:r>
      <w:r>
        <w:rPr>
          <w:rFonts w:hint="eastAsia" w:ascii="宋体" w:hAnsi="宋体" w:cs="宋体"/>
          <w:sz w:val="32"/>
          <w:lang w:eastAsia="zh-CN"/>
        </w:rPr>
        <w:t>JSZC-320324-RXGL-G2022-0008</w:t>
      </w:r>
    </w:p>
    <w:p>
      <w:pPr>
        <w:spacing w:line="360" w:lineRule="auto"/>
        <w:ind w:leftChars="300" w:firstLine="640" w:firstLineChars="200"/>
        <w:rPr>
          <w:rFonts w:hint="eastAsia" w:ascii="宋体" w:hAnsi="宋体" w:eastAsia="宋体" w:cs="宋体"/>
          <w:sz w:val="32"/>
        </w:rPr>
      </w:pPr>
      <w:r>
        <w:rPr>
          <w:rFonts w:hint="eastAsia" w:ascii="宋体" w:hAnsi="宋体" w:eastAsia="宋体" w:cs="宋体"/>
          <w:sz w:val="32"/>
        </w:rPr>
        <w:t>项目名称：睢宁县2022年学校教室照明改造提升项目</w:t>
      </w:r>
    </w:p>
    <w:p>
      <w:pPr>
        <w:spacing w:line="360" w:lineRule="auto"/>
        <w:ind w:leftChars="300" w:firstLine="640" w:firstLineChars="200"/>
        <w:rPr>
          <w:rFonts w:hint="eastAsia" w:ascii="宋体" w:hAnsi="宋体" w:eastAsia="宋体" w:cs="宋体"/>
          <w:sz w:val="32"/>
        </w:rPr>
      </w:pPr>
      <w:r>
        <w:rPr>
          <w:rFonts w:hint="eastAsia" w:ascii="宋体" w:hAnsi="宋体" w:eastAsia="宋体" w:cs="宋体"/>
          <w:sz w:val="32"/>
        </w:rPr>
        <w:t>采 购 人：睢宁县教育局</w:t>
      </w:r>
    </w:p>
    <w:p>
      <w:pPr>
        <w:spacing w:line="360" w:lineRule="auto"/>
        <w:jc w:val="center"/>
        <w:rPr>
          <w:rFonts w:hint="eastAsia" w:ascii="宋体" w:hAnsi="宋体" w:eastAsia="宋体" w:cs="宋体"/>
          <w:sz w:val="30"/>
        </w:rPr>
      </w:pPr>
    </w:p>
    <w:p>
      <w:pPr>
        <w:spacing w:line="360" w:lineRule="auto"/>
        <w:jc w:val="center"/>
        <w:rPr>
          <w:rFonts w:hint="eastAsia" w:ascii="宋体" w:hAnsi="宋体" w:eastAsia="宋体" w:cs="宋体"/>
          <w:sz w:val="30"/>
        </w:rPr>
      </w:pPr>
    </w:p>
    <w:p>
      <w:pPr>
        <w:spacing w:line="360" w:lineRule="auto"/>
        <w:jc w:val="center"/>
        <w:rPr>
          <w:rFonts w:hint="eastAsia" w:ascii="宋体" w:hAnsi="宋体" w:eastAsia="宋体" w:cs="宋体"/>
          <w:sz w:val="30"/>
        </w:rPr>
      </w:pPr>
    </w:p>
    <w:p>
      <w:pPr>
        <w:pStyle w:val="2"/>
        <w:rPr>
          <w:rFonts w:hint="eastAsia"/>
        </w:rPr>
      </w:pPr>
    </w:p>
    <w:p>
      <w:pPr>
        <w:pStyle w:val="18"/>
        <w:rPr>
          <w:rFonts w:hint="eastAsia" w:ascii="宋体" w:hAnsi="宋体" w:eastAsia="宋体" w:cs="宋体"/>
          <w:sz w:val="30"/>
        </w:rPr>
      </w:pPr>
    </w:p>
    <w:p>
      <w:pPr>
        <w:spacing w:line="360" w:lineRule="auto"/>
        <w:jc w:val="center"/>
        <w:rPr>
          <w:rFonts w:hint="eastAsia" w:ascii="宋体" w:hAnsi="宋体" w:eastAsia="宋体" w:cs="宋体"/>
          <w:sz w:val="30"/>
          <w:lang w:eastAsia="zh-CN"/>
        </w:rPr>
      </w:pPr>
      <w:r>
        <w:rPr>
          <w:rFonts w:hint="eastAsia" w:ascii="宋体" w:hAnsi="宋体" w:eastAsia="宋体" w:cs="宋体"/>
          <w:sz w:val="30"/>
        </w:rPr>
        <w:t>采购代理机构：</w:t>
      </w:r>
      <w:r>
        <w:rPr>
          <w:rFonts w:hint="eastAsia" w:ascii="宋体" w:hAnsi="宋体" w:eastAsia="宋体" w:cs="宋体"/>
          <w:sz w:val="30"/>
          <w:lang w:eastAsia="zh-CN"/>
        </w:rPr>
        <w:t>江苏润轩项目管理有限公司</w:t>
      </w:r>
    </w:p>
    <w:p>
      <w:pPr>
        <w:spacing w:line="360" w:lineRule="auto"/>
        <w:jc w:val="center"/>
        <w:rPr>
          <w:rFonts w:hint="eastAsia" w:ascii="宋体" w:hAnsi="宋体" w:eastAsia="宋体" w:cs="宋体"/>
          <w:sz w:val="32"/>
          <w:szCs w:val="32"/>
        </w:rPr>
      </w:pPr>
      <w:r>
        <w:rPr>
          <w:rFonts w:hint="eastAsia" w:ascii="宋体" w:hAnsi="宋体" w:eastAsia="宋体" w:cs="宋体"/>
          <w:bCs/>
          <w:sz w:val="30"/>
        </w:rPr>
        <w:t>二〇二二年十</w:t>
      </w:r>
      <w:r>
        <w:rPr>
          <w:rFonts w:hint="eastAsia" w:ascii="宋体" w:hAnsi="宋体" w:eastAsia="宋体" w:cs="宋体"/>
          <w:bCs/>
          <w:sz w:val="30"/>
          <w:lang w:val="en-US" w:eastAsia="zh-CN"/>
        </w:rPr>
        <w:t>一</w:t>
      </w:r>
      <w:r>
        <w:rPr>
          <w:rFonts w:hint="eastAsia" w:ascii="宋体" w:hAnsi="宋体" w:eastAsia="宋体" w:cs="宋体"/>
          <w:bCs/>
          <w:sz w:val="30"/>
        </w:rPr>
        <w:t>月</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color w:val="000000"/>
          <w:sz w:val="44"/>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color w:val="000000"/>
          <w:sz w:val="44"/>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rPr>
      </w:pPr>
      <w:r>
        <w:rPr>
          <w:rFonts w:hint="eastAsia" w:ascii="宋体" w:hAnsi="宋体" w:eastAsia="宋体" w:cs="宋体"/>
          <w:b/>
          <w:color w:val="000000"/>
          <w:sz w:val="44"/>
        </w:rPr>
        <w:t>目 录</w:t>
      </w:r>
    </w:p>
    <w:p>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eastAsia="宋体" w:cs="宋体"/>
        </w:rPr>
      </w:pPr>
      <w:r>
        <w:rPr>
          <w:rFonts w:hint="eastAsia" w:ascii="宋体" w:hAnsi="宋体" w:eastAsia="宋体" w:cs="宋体"/>
          <w:b/>
          <w:color w:val="000000"/>
          <w:sz w:val="44"/>
        </w:rPr>
        <w:t> </w:t>
      </w:r>
    </w:p>
    <w:p>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eastAsia="宋体" w:cs="宋体"/>
        </w:rPr>
      </w:pPr>
      <w:r>
        <w:rPr>
          <w:rFonts w:hint="eastAsia" w:ascii="宋体" w:hAnsi="宋体" w:eastAsia="宋体" w:cs="宋体"/>
          <w:b/>
          <w:color w:val="000000"/>
          <w:sz w:val="30"/>
        </w:rPr>
        <w:t> </w:t>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"_Toc523404695" \o "http://jszfcg.jsczt.cn/jszc/onlyoffice/6.4.2-6/web-apps/apps/documenteditor/main/index.html?_dc=6.4.2-6&amp;lang=zh&amp;customer=ONLYOFFICE&amp;frameEditorId=iframePage&amp;parentOrigin=http://jszfcg.jsczt.cn#_Toc523404695"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第一章  投标邀请</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"_Toc523404696" \o "http://jszfcg.jsczt.cn/jszc/onlyoffice/6.4.2-6/web-apps/apps/documenteditor/main/index.html?_dc=6.4.2-6&amp;lang=zh&amp;customer=ONLYOFFICE&amp;frameEditorId=iframePage&amp;parentOrigin=http://jszfcg.jsczt.cn#_Toc523404696"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第二章  投标人须知</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"_Toc523404697" \o "http://jszfcg.jsczt.cn/jszc/onlyoffice/6.4.2-6/web-apps/apps/documenteditor/main/index.html?_dc=6.4.2-6&amp;lang=zh&amp;customer=ONLYOFFICE&amp;frameEditorId=iframePage&amp;parentOrigin=http://jszfcg.jsczt.cn#_Toc523404697"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第三章  投标资料表</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"_Toc523404698" \o "http://jszfcg.jsczt.cn/jszc/onlyoffice/6.4.2-6/web-apps/apps/documenteditor/main/index.html?_dc=6.4.2-6&amp;lang=zh&amp;customer=ONLYOFFICE&amp;frameEditorId=iframePage&amp;parentOrigin=http://jszfcg.jsczt.cn#_Toc523404698"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第四章  评标标准</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"_Toc523404699" \o "http://jszfcg.jsczt.cn/jszc/onlyoffice/6.4.2-6/web-apps/apps/documenteditor/main/index.html?_dc=6.4.2-6&amp;lang=zh&amp;customer=ONLYOFFICE&amp;frameEditorId=iframePage&amp;parentOrigin=http://jszfcg.jsczt.cn#_Toc523404699"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第五章  拟签订的合同文本</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"_Toc523404700" \o "http://jszfcg.jsczt.cn/jszc/onlyoffice/6.4.2-6/web-apps/apps/documenteditor/main/index.html?_dc=6.4.2-6&amp;lang=zh&amp;customer=ONLYOFFICE&amp;frameEditorId=iframePage&amp;parentOrigin=http://jszfcg.jsczt.cn#_Toc523404700"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第六章  采购需求</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ind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"http://jszfcg.jsczt.cn/jszc/onlyoffice/6.4.2-6/web-apps/apps/documenteditor/main/index.html?_dc=6.4.2-6&amp;lang=zh&amp;customer=ONLYOFFICE&amp;frameEditorId=iframePage&amp;parentOrigin=http://jszfcg.jsczt.cn" \l "_Toc523404701" \o "http://jszfcg.jsczt.cn/jszc/onlyoffice/6.4.2-6/web-apps/apps/documenteditor/main/index.html?_dc=6.4.2-6&amp;lang=zh&amp;customer=ONLYOFFICE&amp;frameEditorId=iframePage&amp;parentOrigin=http://jszfcg.jsczt.cn#_Toc523404701" </w:instrText>
      </w:r>
      <w:r>
        <w:rPr>
          <w:rFonts w:hint="eastAsia" w:ascii="宋体" w:hAnsi="宋体" w:eastAsia="宋体" w:cs="宋体"/>
        </w:rPr>
        <w:fldChar w:fldCharType="separate"/>
      </w:r>
      <w:r>
        <w:rPr>
          <w:rStyle w:val="47"/>
          <w:rFonts w:hint="eastAsia" w:ascii="宋体" w:hAnsi="宋体" w:eastAsia="宋体" w:cs="宋体"/>
          <w:color w:val="auto"/>
          <w:sz w:val="30"/>
          <w:u w:val="none"/>
        </w:rPr>
        <w:t>第七章  投标文件相关格式</w:t>
      </w:r>
      <w:r>
        <w:rPr>
          <w:rStyle w:val="47"/>
          <w:rFonts w:hint="eastAsia" w:ascii="宋体" w:hAnsi="宋体" w:eastAsia="宋体" w:cs="宋体"/>
          <w:color w:val="auto"/>
          <w:sz w:val="30"/>
          <w:u w:val="none"/>
        </w:rPr>
        <w:fldChar w:fldCharType="end"/>
      </w:r>
    </w:p>
    <w:p>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eastAsia="宋体" w:cs="宋体"/>
        </w:rPr>
      </w:pPr>
      <w:r>
        <w:rPr>
          <w:rFonts w:hint="eastAsia" w:ascii="宋体" w:hAnsi="宋体" w:eastAsia="宋体" w:cs="宋体"/>
          <w:b/>
          <w:color w:val="000000"/>
          <w:sz w:val="44"/>
        </w:rPr>
        <w:t> </w:t>
      </w:r>
    </w:p>
    <w:p>
      <w:pPr>
        <w:spacing w:line="360" w:lineRule="auto"/>
        <w:jc w:val="center"/>
        <w:rPr>
          <w:rFonts w:hint="eastAsia" w:ascii="宋体" w:hAnsi="宋体" w:eastAsia="宋体" w:cs="宋体"/>
          <w:b/>
          <w:color w:val="000000"/>
          <w:sz w:val="32"/>
          <w:szCs w:val="32"/>
        </w:rPr>
      </w:pPr>
    </w:p>
    <w:p>
      <w:pPr>
        <w:pStyle w:val="18"/>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18"/>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18"/>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18"/>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18"/>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18"/>
        <w:rPr>
          <w:rFonts w:hint="eastAsia"/>
        </w:rPr>
      </w:pPr>
    </w:p>
    <w:p>
      <w:pPr>
        <w:spacing w:line="360" w:lineRule="auto"/>
        <w:rPr>
          <w:rFonts w:hint="eastAsia" w:ascii="宋体" w:hAnsi="宋体" w:eastAsia="宋体" w:cs="宋体"/>
          <w:b/>
          <w:color w:val="000000"/>
          <w:sz w:val="32"/>
          <w:szCs w:val="32"/>
        </w:rPr>
      </w:pPr>
    </w:p>
    <w:p>
      <w:pPr>
        <w:pBdr>
          <w:top w:val="none" w:color="000000" w:sz="0" w:space="0"/>
          <w:left w:val="none" w:color="000000" w:sz="0" w:space="0"/>
          <w:bottom w:val="none" w:color="000000" w:sz="0" w:space="0"/>
          <w:right w:val="none" w:color="000000" w:sz="0" w:space="0"/>
        </w:pBdr>
        <w:spacing w:line="519" w:lineRule="atLeast"/>
        <w:jc w:val="center"/>
        <w:outlineLvl w:val="0"/>
        <w:rPr>
          <w:rFonts w:hint="eastAsia" w:ascii="宋体" w:hAnsi="宋体" w:eastAsia="宋体" w:cs="宋体"/>
          <w:sz w:val="32"/>
          <w:szCs w:val="32"/>
        </w:rPr>
      </w:pPr>
      <w:r>
        <w:rPr>
          <w:rFonts w:hint="eastAsia" w:ascii="宋体" w:hAnsi="宋体" w:eastAsia="宋体" w:cs="宋体"/>
          <w:b/>
          <w:color w:val="000000"/>
          <w:sz w:val="32"/>
          <w:szCs w:val="32"/>
        </w:rPr>
        <w:t>第一章  投标邀请</w:t>
      </w:r>
    </w:p>
    <w:p>
      <w:pPr>
        <w:pBdr>
          <w:top w:val="none" w:color="000000" w:sz="0" w:space="0"/>
          <w:left w:val="none" w:color="000000" w:sz="0" w:space="0"/>
          <w:bottom w:val="none" w:color="000000" w:sz="0" w:space="0"/>
          <w:right w:val="none" w:color="000000" w:sz="0" w:space="0"/>
        </w:pBdr>
        <w:spacing w:line="360" w:lineRule="atLeast"/>
        <w:jc w:val="center"/>
        <w:rPr>
          <w:rFonts w:hint="eastAsia" w:ascii="宋体" w:hAnsi="宋体" w:eastAsia="宋体" w:cs="宋体"/>
          <w:sz w:val="28"/>
          <w:szCs w:val="28"/>
        </w:rPr>
      </w:pPr>
      <w:r>
        <w:rPr>
          <w:rFonts w:hint="eastAsia" w:ascii="宋体" w:hAnsi="宋体" w:eastAsia="宋体" w:cs="宋体"/>
          <w:color w:val="000000"/>
          <w:sz w:val="28"/>
          <w:szCs w:val="28"/>
        </w:rPr>
        <w:t> </w:t>
      </w:r>
    </w:p>
    <w:p>
      <w:pPr>
        <w:pBdr>
          <w:top w:val="none" w:color="000000" w:sz="0" w:space="0"/>
          <w:left w:val="none" w:color="000000" w:sz="0" w:space="0"/>
          <w:bottom w:val="none" w:color="000000" w:sz="0" w:space="0"/>
          <w:right w:val="none" w:color="000000" w:sz="0" w:space="0"/>
        </w:pBd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u w:val="single"/>
        </w:rPr>
        <w:t>江苏润轩项目管理有限公司</w:t>
      </w:r>
      <w:r>
        <w:rPr>
          <w:rFonts w:hint="eastAsia" w:ascii="宋体" w:hAnsi="宋体" w:eastAsia="宋体" w:cs="宋体"/>
          <w:b w:val="0"/>
          <w:bCs w:val="0"/>
          <w:color w:val="000000"/>
          <w:sz w:val="24"/>
          <w:szCs w:val="24"/>
          <w:u w:val="none"/>
        </w:rPr>
        <w:t>受</w:t>
      </w:r>
      <w:r>
        <w:rPr>
          <w:rFonts w:hint="eastAsia" w:ascii="宋体" w:hAnsi="宋体" w:eastAsia="宋体" w:cs="宋体"/>
          <w:b/>
          <w:bCs/>
          <w:color w:val="000000"/>
          <w:sz w:val="24"/>
          <w:szCs w:val="24"/>
          <w:u w:val="single"/>
        </w:rPr>
        <w:t>睢宁县教育局委托</w:t>
      </w:r>
      <w:r>
        <w:rPr>
          <w:rFonts w:hint="eastAsia" w:ascii="宋体" w:hAnsi="宋体" w:eastAsia="宋体" w:cs="宋体"/>
          <w:color w:val="000000"/>
          <w:sz w:val="24"/>
          <w:szCs w:val="24"/>
        </w:rPr>
        <w:t>对</w:t>
      </w:r>
      <w:r>
        <w:rPr>
          <w:rFonts w:hint="eastAsia" w:ascii="宋体" w:hAnsi="宋体" w:eastAsia="宋体" w:cs="宋体"/>
          <w:b/>
          <w:bCs/>
          <w:color w:val="000000"/>
          <w:sz w:val="24"/>
          <w:szCs w:val="24"/>
          <w:u w:val="single"/>
        </w:rPr>
        <w:t>睢宁县2022年学校教室照明改造提升项目</w:t>
      </w:r>
      <w:r>
        <w:rPr>
          <w:rFonts w:hint="eastAsia" w:ascii="宋体" w:hAnsi="宋体" w:eastAsia="宋体" w:cs="宋体"/>
          <w:color w:val="000000"/>
          <w:sz w:val="24"/>
          <w:szCs w:val="24"/>
        </w:rPr>
        <w:t>进行公开招标采购，现邀请符合相关条件的供应商投标。</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一、项目名称和项目编号</w:t>
      </w:r>
    </w:p>
    <w:p>
      <w:pPr>
        <w:pBdr>
          <w:top w:val="none" w:color="000000" w:sz="0" w:space="0"/>
          <w:left w:val="none" w:color="000000" w:sz="0" w:space="0"/>
          <w:bottom w:val="none" w:color="000000" w:sz="0" w:space="0"/>
          <w:right w:val="none" w:color="000000" w:sz="0" w:space="0"/>
        </w:pBdr>
        <w:spacing w:line="360" w:lineRule="auto"/>
        <w:ind w:left="559" w:leftChars="266"/>
        <w:rPr>
          <w:rFonts w:hint="eastAsia" w:ascii="宋体" w:hAnsi="宋体" w:eastAsia="宋体" w:cs="宋体"/>
          <w:color w:val="000000"/>
          <w:sz w:val="24"/>
          <w:szCs w:val="24"/>
          <w:u w:val="single"/>
        </w:rPr>
      </w:pPr>
      <w:r>
        <w:rPr>
          <w:rFonts w:hint="eastAsia" w:ascii="宋体" w:hAnsi="宋体" w:eastAsia="宋体" w:cs="宋体"/>
          <w:sz w:val="24"/>
          <w:szCs w:val="24"/>
        </w:rPr>
        <w:t>(一)项目名称：</w:t>
      </w:r>
      <w:r>
        <w:rPr>
          <w:rFonts w:hint="eastAsia" w:ascii="宋体" w:hAnsi="宋体" w:eastAsia="宋体" w:cs="宋体"/>
          <w:b/>
          <w:bCs/>
          <w:color w:val="000000"/>
          <w:sz w:val="24"/>
          <w:szCs w:val="24"/>
          <w:u w:val="single"/>
        </w:rPr>
        <w:t>睢宁县2022年学校教室照明改造提升项目</w:t>
      </w:r>
    </w:p>
    <w:p>
      <w:pPr>
        <w:pBdr>
          <w:top w:val="none" w:color="000000" w:sz="0" w:space="0"/>
          <w:left w:val="none" w:color="000000" w:sz="0" w:space="0"/>
          <w:bottom w:val="none" w:color="000000" w:sz="0" w:space="0"/>
          <w:right w:val="none" w:color="000000" w:sz="0" w:space="0"/>
        </w:pBdr>
        <w:spacing w:line="360" w:lineRule="auto"/>
        <w:ind w:left="559" w:leftChars="266"/>
        <w:rPr>
          <w:rFonts w:hint="eastAsia" w:ascii="宋体" w:hAnsi="宋体" w:eastAsia="宋体" w:cs="宋体"/>
          <w:sz w:val="24"/>
          <w:szCs w:val="24"/>
          <w:lang w:eastAsia="zh-CN"/>
        </w:rPr>
      </w:pPr>
      <w:r>
        <w:rPr>
          <w:rFonts w:hint="eastAsia" w:ascii="宋体" w:hAnsi="宋体" w:eastAsia="宋体" w:cs="宋体"/>
          <w:sz w:val="24"/>
          <w:szCs w:val="24"/>
        </w:rPr>
        <w:t>(二)项目编号：</w:t>
      </w:r>
      <w:r>
        <w:rPr>
          <w:rFonts w:hint="eastAsia" w:ascii="宋体" w:hAnsi="宋体" w:cs="宋体"/>
          <w:b/>
          <w:bCs/>
          <w:color w:val="000000"/>
          <w:sz w:val="24"/>
          <w:szCs w:val="24"/>
          <w:u w:val="single"/>
          <w:lang w:eastAsia="zh-CN"/>
        </w:rPr>
        <w:t>JSZC-320324-RXGL-G2022-0008</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二、对投标人的资格要求</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详见本项目公开招标公告。</w:t>
      </w:r>
    </w:p>
    <w:p>
      <w:pPr>
        <w:pBdr>
          <w:top w:val="none" w:color="000000" w:sz="0" w:space="0"/>
          <w:left w:val="none" w:color="000000" w:sz="0" w:space="0"/>
          <w:bottom w:val="none" w:color="000000" w:sz="0" w:space="0"/>
          <w:right w:val="none" w:color="000000" w:sz="0" w:space="0"/>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i w:val="0"/>
          <w:iCs w:val="0"/>
          <w:caps w:val="0"/>
          <w:color w:val="333333"/>
          <w:spacing w:val="0"/>
          <w:kern w:val="0"/>
          <w:sz w:val="24"/>
          <w:szCs w:val="24"/>
          <w:lang w:val="en-US" w:eastAsia="zh-CN" w:bidi="ar"/>
        </w:rPr>
        <w:t>一）获取时间：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787" w:firstLineChars="328"/>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2022年</w:t>
      </w:r>
      <w:r>
        <w:rPr>
          <w:rFonts w:hint="eastAsia" w:ascii="宋体" w:hAnsi="宋体" w:cs="宋体"/>
          <w:b w:val="0"/>
          <w:bCs w:val="0"/>
          <w:i w:val="0"/>
          <w:iCs w:val="0"/>
          <w:caps w:val="0"/>
          <w:color w:val="000000"/>
          <w:spacing w:val="0"/>
          <w:kern w:val="0"/>
          <w:sz w:val="24"/>
          <w:szCs w:val="24"/>
          <w:lang w:val="en-US" w:eastAsia="zh-CN" w:bidi="ar"/>
        </w:rPr>
        <w:t>11月14日</w:t>
      </w:r>
      <w:r>
        <w:rPr>
          <w:rFonts w:hint="eastAsia" w:ascii="宋体" w:hAnsi="宋体" w:eastAsia="宋体" w:cs="宋体"/>
          <w:b w:val="0"/>
          <w:bCs w:val="0"/>
          <w:i w:val="0"/>
          <w:iCs w:val="0"/>
          <w:caps w:val="0"/>
          <w:color w:val="000000"/>
          <w:spacing w:val="0"/>
          <w:kern w:val="0"/>
          <w:sz w:val="24"/>
          <w:szCs w:val="24"/>
          <w:lang w:val="en-US" w:eastAsia="zh-CN" w:bidi="ar"/>
        </w:rPr>
        <w:t>8点</w:t>
      </w:r>
      <w:r>
        <w:rPr>
          <w:rFonts w:hint="eastAsia" w:ascii="宋体" w:hAnsi="宋体" w:cs="宋体"/>
          <w:b w:val="0"/>
          <w:bCs w:val="0"/>
          <w:i w:val="0"/>
          <w:iCs w:val="0"/>
          <w:caps w:val="0"/>
          <w:color w:val="000000"/>
          <w:spacing w:val="0"/>
          <w:kern w:val="0"/>
          <w:sz w:val="24"/>
          <w:szCs w:val="24"/>
          <w:lang w:val="en-US" w:eastAsia="zh-CN" w:bidi="ar"/>
        </w:rPr>
        <w:t>3</w:t>
      </w:r>
      <w:r>
        <w:rPr>
          <w:rFonts w:hint="eastAsia" w:ascii="宋体" w:hAnsi="宋体" w:eastAsia="宋体" w:cs="宋体"/>
          <w:b w:val="0"/>
          <w:bCs w:val="0"/>
          <w:i w:val="0"/>
          <w:iCs w:val="0"/>
          <w:caps w:val="0"/>
          <w:color w:val="000000"/>
          <w:spacing w:val="0"/>
          <w:kern w:val="0"/>
          <w:sz w:val="24"/>
          <w:szCs w:val="24"/>
          <w:lang w:val="en-US" w:eastAsia="zh-CN" w:bidi="ar"/>
        </w:rPr>
        <w:t>0分至2022年</w:t>
      </w:r>
      <w:r>
        <w:rPr>
          <w:rFonts w:hint="eastAsia" w:ascii="宋体" w:hAnsi="宋体" w:cs="宋体"/>
          <w:b w:val="0"/>
          <w:bCs w:val="0"/>
          <w:i w:val="0"/>
          <w:iCs w:val="0"/>
          <w:caps w:val="0"/>
          <w:color w:val="000000"/>
          <w:spacing w:val="0"/>
          <w:kern w:val="0"/>
          <w:sz w:val="24"/>
          <w:szCs w:val="24"/>
          <w:lang w:val="en-US" w:eastAsia="zh-CN" w:bidi="ar"/>
        </w:rPr>
        <w:t>11月25日17</w:t>
      </w:r>
      <w:r>
        <w:rPr>
          <w:rFonts w:hint="eastAsia" w:ascii="宋体" w:hAnsi="宋体" w:eastAsia="宋体" w:cs="宋体"/>
          <w:b w:val="0"/>
          <w:bCs w:val="0"/>
          <w:i w:val="0"/>
          <w:iCs w:val="0"/>
          <w:caps w:val="0"/>
          <w:color w:val="000000"/>
          <w:spacing w:val="0"/>
          <w:kern w:val="0"/>
          <w:sz w:val="24"/>
          <w:szCs w:val="24"/>
          <w:lang w:val="en-US" w:eastAsia="zh-CN" w:bidi="ar"/>
        </w:rPr>
        <w:t>点00分（</w:t>
      </w:r>
      <w:r>
        <w:rPr>
          <w:rFonts w:hint="eastAsia" w:ascii="宋体" w:hAnsi="宋体" w:eastAsia="宋体" w:cs="宋体"/>
          <w:i w:val="0"/>
          <w:iCs w:val="0"/>
          <w:caps w:val="0"/>
          <w:color w:val="333333"/>
          <w:spacing w:val="0"/>
          <w:kern w:val="0"/>
          <w:sz w:val="24"/>
          <w:szCs w:val="24"/>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（二）获取方式：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1.本项目采用网上注册登记方式。潜在供应商访问电子招标投标交易平台的网络地址和方法：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苏采云”系统用户注册--获取“CA数字证书”--CA绑定与登录--网上报名--下载招标文件（后缀名为“.kedt”）--将后缀名为“.kedt”的招标文件导入政府采购客户端工具--制作电子响应文件--导出加密的电子响应文件（后缀名为zip）--通过“苏采云”系统上传电子响应文件。具体见《江苏省政府采购管理交易系统（苏采云）供应商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2.潜在供应商访问“苏采云”系统的网络地址和方法：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“苏采云”系统的网址：http://jszfcg.jsczt.cn/；或进入徐州政府采购网（网址：http://czj.xz.gov.cn/Home/HomeIndex）--业务工作--用户登录，点击“苏采云”进入系统。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3.“CA数字证书”的获取：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供应商需办理CA锁，“苏采云”系统目前仅支持“苏采云”系统下的国信CA，省内各地区办理的“苏采云”系统下的国信CA全省通用。“CA数字证书”的办理方法详见“徐州政府采购网-业务工作-快速服务-下载专区”中《江苏省政府采购（供应商）国信CA数字证书及电子签章办理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4.招标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5.招标代理机构（采购代理机构）将数据电文形式的招标文件加载至“苏采云”系统，供潜在供应商下载或者查阅。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6.苏采云系统使用谷歌浏览器参与不见面开标。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787" w:firstLineChars="328"/>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售价：免费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2" w:firstLineChars="200"/>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四、投标有关信息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1.投标截止时间：</w:t>
      </w:r>
      <w:r>
        <w:rPr>
          <w:rFonts w:hint="eastAsia" w:ascii="宋体" w:hAnsi="宋体" w:cs="宋体"/>
          <w:b w:val="0"/>
          <w:bCs w:val="0"/>
          <w:i w:val="0"/>
          <w:iCs w:val="0"/>
          <w:caps w:val="0"/>
          <w:color w:val="000000"/>
          <w:spacing w:val="0"/>
          <w:kern w:val="0"/>
          <w:sz w:val="24"/>
          <w:szCs w:val="24"/>
          <w:lang w:val="en-US" w:eastAsia="zh-CN" w:bidi="ar"/>
        </w:rPr>
        <w:t>2022年12月07日09点00分</w:t>
      </w:r>
      <w:r>
        <w:rPr>
          <w:rFonts w:hint="eastAsia" w:ascii="宋体" w:hAnsi="宋体" w:eastAsia="宋体" w:cs="宋体"/>
          <w:i w:val="0"/>
          <w:iCs w:val="0"/>
          <w:caps w:val="0"/>
          <w:color w:val="000000"/>
          <w:spacing w:val="0"/>
          <w:kern w:val="0"/>
          <w:sz w:val="24"/>
          <w:szCs w:val="24"/>
          <w:lang w:val="en-US" w:eastAsia="zh-CN" w:bidi="ar"/>
        </w:rPr>
        <w:t>（电子招标投标交易平台（即“苏采云”系统）的国家授时中心标准时间，下同）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2.开标时间：2022年12月07日09点00分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3.开标地点：“苏采云”系统（网址： http://jszfcg.jsczt.cn/）“开标大厅”或进入徐州政府采购网（网址：</w:t>
      </w:r>
      <w:r>
        <w:rPr>
          <w:rFonts w:hint="eastAsia" w:ascii="宋体" w:hAnsi="宋体" w:eastAsia="宋体" w:cs="宋体"/>
          <w:i w:val="0"/>
          <w:iCs w:val="0"/>
          <w:caps w:val="0"/>
          <w:color w:val="auto"/>
          <w:spacing w:val="0"/>
          <w:kern w:val="0"/>
          <w:sz w:val="24"/>
          <w:szCs w:val="24"/>
          <w:lang w:val="en-US" w:eastAsia="zh-CN" w:bidi="ar"/>
        </w:rPr>
        <w:fldChar w:fldCharType="begin"/>
      </w:r>
      <w:r>
        <w:rPr>
          <w:rFonts w:hint="eastAsia" w:ascii="宋体" w:hAnsi="宋体" w:eastAsia="宋体" w:cs="宋体"/>
          <w:i w:val="0"/>
          <w:iCs w:val="0"/>
          <w:caps w:val="0"/>
          <w:color w:val="auto"/>
          <w:spacing w:val="0"/>
          <w:kern w:val="0"/>
          <w:sz w:val="24"/>
          <w:szCs w:val="24"/>
          <w:lang w:val="en-US" w:eastAsia="zh-CN" w:bidi="ar"/>
        </w:rPr>
        <w:instrText xml:space="preserve"> HYPERLINK "http://czj.xz.gov.cn/Home/HomeIndex）--业务工作--用户登录，点击\“苏采云\”进入系统\“开标大厅\”。" </w:instrText>
      </w:r>
      <w:r>
        <w:rPr>
          <w:rFonts w:hint="eastAsia" w:ascii="宋体" w:hAnsi="宋体" w:eastAsia="宋体" w:cs="宋体"/>
          <w:i w:val="0"/>
          <w:iCs w:val="0"/>
          <w:caps w:val="0"/>
          <w:color w:val="auto"/>
          <w:spacing w:val="0"/>
          <w:kern w:val="0"/>
          <w:sz w:val="24"/>
          <w:szCs w:val="24"/>
          <w:lang w:val="en-US" w:eastAsia="zh-CN" w:bidi="ar"/>
        </w:rPr>
        <w:fldChar w:fldCharType="separate"/>
      </w:r>
      <w:r>
        <w:rPr>
          <w:rStyle w:val="47"/>
          <w:rFonts w:hint="eastAsia" w:ascii="宋体" w:hAnsi="宋体" w:eastAsia="宋体" w:cs="宋体"/>
          <w:i w:val="0"/>
          <w:iCs w:val="0"/>
          <w:caps w:val="0"/>
          <w:color w:val="auto"/>
          <w:spacing w:val="0"/>
          <w:kern w:val="0"/>
          <w:sz w:val="24"/>
          <w:szCs w:val="24"/>
          <w:lang w:val="en-US" w:eastAsia="zh-CN" w:bidi="ar"/>
        </w:rPr>
        <w:t>http://czj.xz.gov.cn/Home/HomeIndex）--业务工作--用户登录，点击“苏采云”进入系统“开标大厅”。</w:t>
      </w:r>
      <w:r>
        <w:rPr>
          <w:rFonts w:hint="eastAsia" w:ascii="宋体" w:hAnsi="宋体" w:eastAsia="宋体" w:cs="宋体"/>
          <w:i w:val="0"/>
          <w:iCs w:val="0"/>
          <w:caps w:val="0"/>
          <w:color w:val="auto"/>
          <w:spacing w:val="0"/>
          <w:kern w:val="0"/>
          <w:sz w:val="24"/>
          <w:szCs w:val="24"/>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五、采购人</w:t>
      </w:r>
    </w:p>
    <w:p>
      <w:pPr>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（一）名称：睢宁县教育局</w:t>
      </w:r>
    </w:p>
    <w:p>
      <w:pPr>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（二）地址：睢宁县乐园路1号</w:t>
      </w:r>
    </w:p>
    <w:p>
      <w:pPr>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（三）采购项目联系人：魏伦</w:t>
      </w:r>
    </w:p>
    <w:p>
      <w:pPr>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（四）联系电话：0516-80376816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六、采购代理机构</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color w:val="FF0000"/>
          <w:sz w:val="24"/>
          <w:szCs w:val="24"/>
          <w:u w:val="single"/>
        </w:rPr>
      </w:pPr>
      <w:r>
        <w:rPr>
          <w:rFonts w:hint="eastAsia" w:ascii="宋体" w:hAnsi="宋体" w:eastAsia="宋体" w:cs="宋体"/>
          <w:sz w:val="24"/>
          <w:szCs w:val="24"/>
        </w:rPr>
        <w:t>（一）名称：江苏润轩项目管理有限公司</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（二）地址：</w:t>
      </w:r>
      <w:r>
        <w:rPr>
          <w:rFonts w:hint="eastAsia" w:ascii="宋体" w:hAnsi="宋体" w:eastAsia="宋体" w:cs="宋体"/>
          <w:sz w:val="24"/>
          <w:szCs w:val="24"/>
          <w:lang w:eastAsia="zh-CN"/>
        </w:rPr>
        <w:t>徐州市睢宁县永康西路融媒体北楼4层820室</w:t>
      </w:r>
      <w:r>
        <w:rPr>
          <w:rFonts w:hint="eastAsia" w:ascii="宋体" w:hAnsi="宋体" w:eastAsia="宋体" w:cs="宋体"/>
          <w:sz w:val="24"/>
          <w:szCs w:val="24"/>
        </w:rPr>
        <w:t xml:space="preserve">  </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（三）采购项目联系人：</w:t>
      </w:r>
      <w:r>
        <w:rPr>
          <w:rFonts w:hint="eastAsia" w:ascii="宋体" w:hAnsi="宋体" w:eastAsia="宋体" w:cs="宋体"/>
          <w:sz w:val="24"/>
          <w:szCs w:val="24"/>
          <w:lang w:val="en-US" w:eastAsia="zh-CN"/>
        </w:rPr>
        <w:t>李佳威</w:t>
      </w:r>
      <w:r>
        <w:rPr>
          <w:rFonts w:hint="eastAsia" w:ascii="宋体" w:hAnsi="宋体" w:eastAsia="宋体" w:cs="宋体"/>
          <w:sz w:val="24"/>
          <w:szCs w:val="24"/>
        </w:rPr>
        <w:t xml:space="preserve">                </w:t>
      </w:r>
    </w:p>
    <w:p>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（四）联系电话：</w:t>
      </w:r>
      <w:r>
        <w:rPr>
          <w:rFonts w:hint="eastAsia" w:ascii="宋体" w:hAnsi="宋体" w:cs="宋体"/>
          <w:sz w:val="24"/>
          <w:szCs w:val="24"/>
          <w:lang w:val="en-US" w:eastAsia="zh-CN"/>
        </w:rPr>
        <w:t>13813462621</w:t>
      </w:r>
    </w:p>
    <w:p>
      <w:pPr>
        <w:spacing w:line="360" w:lineRule="auto"/>
        <w:jc w:val="center"/>
        <w:rPr>
          <w:rFonts w:hint="eastAsia" w:ascii="宋体" w:hAnsi="宋体" w:eastAsia="宋体" w:cs="宋体"/>
          <w:sz w:val="24"/>
          <w:szCs w:val="24"/>
        </w:rPr>
      </w:pPr>
    </w:p>
    <w:p>
      <w:pPr>
        <w:pStyle w:val="18"/>
        <w:rPr>
          <w:rFonts w:hint="eastAsia" w:ascii="宋体" w:hAnsi="宋体" w:eastAsia="宋体" w:cs="宋体"/>
          <w:sz w:val="30"/>
          <w:szCs w:val="30"/>
        </w:rPr>
      </w:pPr>
    </w:p>
    <w:p>
      <w:pPr>
        <w:rPr>
          <w:rFonts w:hint="eastAsia" w:ascii="宋体" w:hAnsi="宋体" w:eastAsia="宋体" w:cs="宋体"/>
          <w:sz w:val="30"/>
          <w:szCs w:val="30"/>
        </w:rPr>
      </w:pPr>
    </w:p>
    <w:p>
      <w:pPr>
        <w:pStyle w:val="18"/>
        <w:rPr>
          <w:rFonts w:hint="eastAsia" w:ascii="宋体" w:hAnsi="宋体" w:eastAsia="宋体" w:cs="宋体"/>
          <w:sz w:val="30"/>
          <w:szCs w:val="30"/>
        </w:rPr>
      </w:pPr>
    </w:p>
    <w:p>
      <w:pPr>
        <w:rPr>
          <w:rFonts w:hint="eastAsia" w:ascii="宋体" w:hAnsi="宋体" w:eastAsia="宋体" w:cs="宋体"/>
          <w:sz w:val="30"/>
          <w:szCs w:val="30"/>
        </w:rPr>
      </w:pPr>
    </w:p>
    <w:p>
      <w:pPr>
        <w:pStyle w:val="18"/>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第二章  投标人须知</w:t>
      </w:r>
    </w:p>
    <w:p>
      <w:pPr>
        <w:jc w:val="center"/>
        <w:rPr>
          <w:rFonts w:hint="eastAsia" w:ascii="宋体" w:hAnsi="宋体" w:eastAsia="宋体" w:cs="宋体"/>
          <w:sz w:val="30"/>
          <w:szCs w:val="30"/>
        </w:rPr>
      </w:pPr>
    </w:p>
    <w:p>
      <w:pPr>
        <w:jc w:val="center"/>
        <w:rPr>
          <w:rFonts w:hint="eastAsia" w:ascii="宋体" w:hAnsi="宋体" w:eastAsia="宋体" w:cs="宋体"/>
          <w:sz w:val="32"/>
          <w:szCs w:val="32"/>
        </w:rPr>
      </w:pPr>
      <w:r>
        <w:rPr>
          <w:rFonts w:hint="eastAsia" w:ascii="宋体" w:hAnsi="宋体" w:eastAsia="宋体" w:cs="宋体"/>
          <w:sz w:val="32"/>
          <w:szCs w:val="32"/>
        </w:rPr>
        <w:t>目录</w:t>
      </w:r>
    </w:p>
    <w:p>
      <w:pPr>
        <w:spacing w:line="360" w:lineRule="auto"/>
        <w:ind w:left="420" w:leftChars="200"/>
        <w:rPr>
          <w:rFonts w:hint="eastAsia" w:ascii="宋体" w:hAnsi="宋体" w:eastAsia="宋体" w:cs="宋体"/>
          <w:sz w:val="30"/>
          <w:szCs w:val="30"/>
        </w:rPr>
      </w:pP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一、总则</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二、招标</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三、投标</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四、开标、评标</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五、中标和合同</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 xml:space="preserve">六、询问和质疑 </w:t>
      </w:r>
    </w:p>
    <w:p>
      <w:pPr>
        <w:spacing w:line="360" w:lineRule="auto"/>
        <w:ind w:left="1260" w:leftChars="600"/>
        <w:rPr>
          <w:rFonts w:hint="eastAsia" w:ascii="宋体" w:hAnsi="宋体" w:eastAsia="宋体" w:cs="宋体"/>
          <w:sz w:val="30"/>
          <w:szCs w:val="30"/>
        </w:rPr>
      </w:pPr>
      <w:r>
        <w:rPr>
          <w:rFonts w:hint="eastAsia" w:ascii="宋体" w:hAnsi="宋体" w:eastAsia="宋体" w:cs="宋体"/>
          <w:sz w:val="30"/>
          <w:szCs w:val="30"/>
        </w:rPr>
        <w:t>七、电子招标投标交易平台</w:t>
      </w:r>
    </w:p>
    <w:p>
      <w:pPr>
        <w:spacing w:line="360" w:lineRule="auto"/>
        <w:ind w:left="420" w:leftChars="200"/>
        <w:rPr>
          <w:rFonts w:hint="eastAsia" w:ascii="宋体" w:hAnsi="宋体" w:eastAsia="宋体" w:cs="宋体"/>
          <w:sz w:val="30"/>
          <w:szCs w:val="30"/>
        </w:rPr>
      </w:pPr>
    </w:p>
    <w:p>
      <w:pPr>
        <w:jc w:val="center"/>
        <w:rPr>
          <w:rFonts w:hint="eastAsia" w:ascii="宋体" w:hAnsi="宋体" w:eastAsia="宋体" w:cs="宋体"/>
          <w:b/>
          <w:bCs/>
          <w:sz w:val="32"/>
          <w:szCs w:val="32"/>
        </w:rPr>
      </w:pPr>
      <w:r>
        <w:rPr>
          <w:rFonts w:hint="eastAsia" w:ascii="宋体" w:hAnsi="宋体" w:eastAsia="宋体" w:cs="宋体"/>
          <w:sz w:val="30"/>
          <w:szCs w:val="30"/>
        </w:rPr>
        <w:br w:type="page"/>
      </w:r>
      <w:r>
        <w:rPr>
          <w:rFonts w:hint="eastAsia" w:ascii="宋体" w:hAnsi="宋体" w:eastAsia="宋体" w:cs="宋体"/>
          <w:b/>
          <w:bCs/>
          <w:sz w:val="32"/>
          <w:szCs w:val="32"/>
        </w:rPr>
        <w:t>一、总则</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 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1.1采购人是指依法进行政府采购的国家机关、事业单位、团体组织。本项目采购人：见招标文件第三章《投标资料表》。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 政府采购方式</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2.1货物服务招标分为公开招标和邀请招标。本次采购采用的政府采购方式：见招标文件第三章《投标资料表》。</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 xml:space="preserve">3. </w:t>
      </w:r>
      <w:r>
        <w:rPr>
          <w:rFonts w:hint="eastAsia" w:ascii="宋体" w:hAnsi="宋体" w:eastAsia="宋体" w:cs="宋体"/>
          <w:sz w:val="24"/>
        </w:rPr>
        <w:t>采购人应当在货物服务招标投标活动中落实节约能源、保护环境、扶持不发达地区和少数民族地区、促进中小企业发展等政府采购政策。</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 xml:space="preserve">4. </w:t>
      </w:r>
      <w:r>
        <w:rPr>
          <w:rFonts w:hint="eastAsia" w:ascii="宋体" w:hAnsi="宋体" w:eastAsia="宋体" w:cs="宋体"/>
          <w:sz w:val="24"/>
        </w:rPr>
        <w:t>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 xml:space="preserve">5. </w:t>
      </w:r>
      <w:r>
        <w:rPr>
          <w:rFonts w:hint="eastAsia" w:ascii="宋体" w:hAnsi="宋体" w:eastAsia="宋体" w:cs="宋体"/>
          <w:sz w:val="24"/>
        </w:rPr>
        <w:t>采购人委托采购代理机构代理招标的，采购代理机构应当在采购人委托的范围内依法开展采购活动。本项目采购代理机构：见招标文件第三章《投标资料表》。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6. 投标费用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6.1 投标人应承担所有与准备和参加投标有关的费用，无论投标的结果如何，采购人和采购代理机构对上述费用不承担任何责任和义务。</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二、招标</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7. 招标文件的内容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7.1招标文件包括以下内容：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第一章 投标邀请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第二章 投标人须知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第三章 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第四章 评标标准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第五章 拟签订的合同文本</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第六章 采购需求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第七章 投标文件相关格式</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8. 采购需求：见招标文件第六章《采购需求》。</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9. 采购项目预算金额、最高限价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9.1 采购项目预算金额：见招标文件第三章《投标资料表》。</w:t>
      </w:r>
    </w:p>
    <w:p>
      <w:pPr>
        <w:spacing w:line="360" w:lineRule="auto"/>
        <w:ind w:firstLine="482" w:firstLineChars="200"/>
        <w:rPr>
          <w:rFonts w:hint="eastAsia" w:ascii="宋体" w:hAnsi="宋体" w:eastAsia="宋体" w:cs="宋体"/>
          <w:b/>
          <w:bCs/>
          <w:sz w:val="24"/>
          <w:highlight w:val="lightGray"/>
        </w:rPr>
      </w:pPr>
      <w:r>
        <w:rPr>
          <w:rFonts w:hint="eastAsia" w:ascii="宋体" w:hAnsi="宋体" w:eastAsia="宋体" w:cs="宋体"/>
          <w:b/>
          <w:bCs/>
          <w:sz w:val="24"/>
          <w:highlight w:val="lightGray"/>
        </w:rPr>
        <w:t>10. 样品</w:t>
      </w:r>
    </w:p>
    <w:p>
      <w:pPr>
        <w:spacing w:line="360" w:lineRule="auto"/>
        <w:ind w:firstLine="482" w:firstLineChars="200"/>
        <w:rPr>
          <w:rFonts w:hint="eastAsia" w:ascii="宋体" w:hAnsi="宋体" w:eastAsia="宋体" w:cs="宋体"/>
          <w:b/>
          <w:bCs/>
          <w:sz w:val="24"/>
          <w:highlight w:val="lightGray"/>
        </w:rPr>
      </w:pPr>
      <w:r>
        <w:rPr>
          <w:rFonts w:hint="eastAsia" w:ascii="宋体" w:hAnsi="宋体" w:eastAsia="宋体" w:cs="宋体"/>
          <w:b/>
          <w:bCs/>
          <w:sz w:val="24"/>
          <w:highlight w:val="lightGray"/>
        </w:rPr>
        <w:t>10.1本项目对样品的要求：见招标文件第三章《投标资料表》。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11. 投标有效期</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11.1投标有效期从提交投标文件的截止之日起算。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11.2投标有效期: 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12. 招标文件售价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12.1招标文件售价：见招标文件第三章《投标资料表》。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 采购代理机构代理费用的收取标准和方式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13.1 采购代理机构代理费用的收取标准和方式：见招标文件第三章《投标资料表》。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14. 现场考察或者开标前答疑会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14.1 在招标文件提供期限截止后。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14.2 现场考察：见招标文件第三章《投标资料表》。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14.3 开标前答疑会：见招标文件第三章《投标资料表》。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15. 招标文件的澄清或者修改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15.1采购代理机构可以对已发出的招标文件进行必要的澄清或者修改，但不得改变采购标的和资格条件。澄清或者修改应当在原公告发布媒体上发布澄清公告。澄清或者修改的内容为招标文件的组成部分。具体规定：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具体规定：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16. 终止招标</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16.1终止招标的，采购人或者采购代理机构应当及时在原公告发布媒体上发布终止公告，以书面形式通知已经获取招标文件的潜在投标人，并将项目实施情况和采购任务取消原因报告本级财政部门。具体规定：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 投标人信用信息查询渠道及截止时点、信用信息查询记录和证据留存的具体方式、信用信息的使用规则等：见招标文件第三章《投标资料表》。</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三、投标</w:t>
      </w:r>
    </w:p>
    <w:p>
      <w:pPr>
        <w:widowControl/>
        <w:adjustRightInd w:val="0"/>
        <w:snapToGrid w:val="0"/>
        <w:jc w:val="left"/>
        <w:rPr>
          <w:rFonts w:hint="eastAsia" w:ascii="宋体" w:hAnsi="宋体" w:eastAsia="宋体" w:cs="宋体"/>
          <w:b/>
          <w:bCs/>
          <w:sz w:val="24"/>
        </w:rPr>
      </w:pPr>
      <w:r>
        <w:rPr>
          <w:rFonts w:hint="eastAsia" w:ascii="宋体" w:hAnsi="宋体" w:eastAsia="宋体" w:cs="宋体"/>
          <w:b/>
          <w:bCs/>
          <w:sz w:val="24"/>
        </w:rPr>
        <w:t xml:space="preserve">    18. 投标人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18.1 投标人，是指响应招标、参加投标竞争的法人、其他组织或者自然人。</w:t>
      </w:r>
    </w:p>
    <w:p>
      <w:pPr>
        <w:widowControl/>
        <w:adjustRightInd w:val="0"/>
        <w:snapToGrid w:val="0"/>
        <w:spacing w:line="360" w:lineRule="auto"/>
        <w:ind w:firstLine="465"/>
        <w:jc w:val="left"/>
        <w:rPr>
          <w:rFonts w:hint="eastAsia" w:ascii="宋体" w:hAnsi="宋体" w:eastAsia="宋体" w:cs="宋体"/>
          <w:sz w:val="24"/>
        </w:rPr>
      </w:pPr>
      <w:r>
        <w:rPr>
          <w:rFonts w:hint="eastAsia" w:ascii="宋体" w:hAnsi="宋体" w:eastAsia="宋体" w:cs="宋体"/>
          <w:sz w:val="24"/>
        </w:rPr>
        <w:t>18.2 投标人应当遵循公平竞争的原则，不得恶意串通，不得妨碍其他投标人的竞争行为，不得损害采购人或者其他投标人的合法权益。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18.3 投标人的资格要求：见招标文件第三章《投标资料表》。</w:t>
      </w:r>
    </w:p>
    <w:p>
      <w:pPr>
        <w:widowControl/>
        <w:adjustRightInd w:val="0"/>
        <w:snapToGrid w:val="0"/>
        <w:ind w:firstLine="482" w:firstLineChars="200"/>
        <w:jc w:val="left"/>
        <w:rPr>
          <w:rFonts w:hint="eastAsia" w:ascii="宋体" w:hAnsi="宋体" w:eastAsia="宋体" w:cs="宋体"/>
          <w:b/>
          <w:bCs/>
          <w:sz w:val="24"/>
        </w:rPr>
      </w:pPr>
      <w:r>
        <w:rPr>
          <w:rFonts w:hint="eastAsia" w:ascii="宋体" w:hAnsi="宋体" w:eastAsia="宋体" w:cs="宋体"/>
          <w:b/>
          <w:bCs/>
          <w:sz w:val="24"/>
        </w:rPr>
        <w:t>19. 投标文件</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19.1 投标人应当按照招标文件的要求编制投标文件。投标文件应当对招标文件提出的要求和条件作出明确响应。</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19.2 投标文件编制要求：见招标文件第三章《投标资料表》。</w:t>
      </w:r>
    </w:p>
    <w:p>
      <w:pPr>
        <w:widowControl/>
        <w:adjustRightInd w:val="0"/>
        <w:snapToGri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  19.3 投标文件的份数：见招标文件第三章《投标资料表》。</w:t>
      </w:r>
    </w:p>
    <w:p>
      <w:pPr>
        <w:widowControl/>
        <w:adjustRightInd w:val="0"/>
        <w:snapToGri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  19.4 投标文件的退还：见招标文件第三章《投标资料表》。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19.5 投标文件的密封、签署、盖章要求：见招标文件第三章《投标资料表》。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19.6投标文件中承诺的投标有效期应当不少于招标文件中载明的投标有效期。</w:t>
      </w:r>
    </w:p>
    <w:p>
      <w:pPr>
        <w:widowControl/>
        <w:adjustRightInd w:val="0"/>
        <w:snapToGri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  19.7 投标人应当在招标文件要求提交投标文件的截止时间前，将投标文件密封送达投标地点。逾期送达或者未按照招标文件要求密封的投标文件，采购人、采购代理机构应当拒收。</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19.8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spacing w:line="360" w:lineRule="auto"/>
        <w:ind w:left="0" w:firstLine="48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19.9电子投标文件其他要求</w:t>
      </w:r>
    </w:p>
    <w:p>
      <w:pPr>
        <w:widowControl/>
        <w:adjustRightInd w:val="0"/>
        <w:snapToGrid w:val="0"/>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（1）电子招标投标交易平台（即“苏采云”系统）相关要求是本招标文件的组成部分。</w:t>
      </w:r>
    </w:p>
    <w:p>
      <w:pPr>
        <w:widowControl/>
        <w:adjustRightInd w:val="0"/>
        <w:snapToGrid w:val="0"/>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（2）投标人应对CA证书妥善保管，如被他人盗用投标，因此带来的结果均由投标人自行承担。</w:t>
      </w:r>
    </w:p>
    <w:p>
      <w:pPr>
        <w:widowControl/>
        <w:adjustRightInd w:val="0"/>
        <w:snapToGrid w:val="0"/>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（3）投标人应当对招标文件提出的实质性要求和条件作出实质性响应，并在电子投标系统逐条应答。</w:t>
      </w:r>
    </w:p>
    <w:p>
      <w:pPr>
        <w:widowControl/>
        <w:adjustRightInd w:val="0"/>
        <w:snapToGrid w:val="0"/>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（4）投标人应对要求提供的资格证明文件（如资质证书、资格证书）、技术资料（如白皮书、彩页、手册、检测报告等）扫描上传至投标系统。</w:t>
      </w:r>
    </w:p>
    <w:p>
      <w:pPr>
        <w:widowControl/>
        <w:adjustRightInd w:val="0"/>
        <w:snapToGrid w:val="0"/>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（5）投标人应当在招标文件要求提交投标文件的截止时间前，将投标文件提交至“苏采云”系统，逾期提交的投标文件，“苏采云”系统将自动拒收</w:t>
      </w:r>
      <w:r>
        <w:rPr>
          <w:rFonts w:hint="eastAsia" w:ascii="宋体" w:hAnsi="宋体" w:cs="宋体"/>
          <w:color w:val="0000FF"/>
          <w:sz w:val="24"/>
          <w:lang w:val="en-US" w:eastAsia="zh-CN"/>
        </w:rPr>
        <w:t>。</w:t>
      </w:r>
    </w:p>
    <w:p>
      <w:pPr>
        <w:widowControl/>
        <w:adjustRightInd w:val="0"/>
        <w:snapToGrid w:val="0"/>
        <w:spacing w:line="360" w:lineRule="auto"/>
        <w:ind w:firstLine="361" w:firstLineChars="150"/>
        <w:jc w:val="left"/>
        <w:rPr>
          <w:rFonts w:hint="eastAsia" w:ascii="宋体" w:hAnsi="宋体" w:eastAsia="宋体" w:cs="宋体"/>
          <w:b/>
          <w:bCs/>
          <w:sz w:val="24"/>
        </w:rPr>
      </w:pPr>
      <w:r>
        <w:rPr>
          <w:rFonts w:hint="eastAsia" w:ascii="宋体" w:hAnsi="宋体" w:eastAsia="宋体" w:cs="宋体"/>
          <w:b/>
          <w:bCs/>
          <w:sz w:val="24"/>
        </w:rPr>
        <w:t xml:space="preserve"> 20. 投标报价要求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20.1 投标人应按照招标文件的要求报出分项价格和总价。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20.2 投标人应按照招标文件的要求进行报价，如有偏离，应在《偏离表》中列出。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20.3 </w:t>
      </w:r>
      <w:r>
        <w:rPr>
          <w:rFonts w:hint="eastAsia" w:ascii="宋体" w:hAnsi="宋体" w:eastAsia="宋体" w:cs="宋体"/>
          <w:bCs/>
          <w:sz w:val="24"/>
        </w:rPr>
        <w:t>采购人不支付报价以外的任何费用。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20.4 投标人的投标报价在合同执行过程中是固定的，不得以任何理由予以变更。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20.5投标人只能提交一个投标报价，提交2个以上投标报价的投标文件在符合性审查时按照投标无效处理。</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 xml:space="preserve">20.6 </w:t>
      </w:r>
      <w:r>
        <w:rPr>
          <w:rFonts w:hint="eastAsia" w:ascii="宋体" w:hAnsi="宋体" w:eastAsia="宋体" w:cs="宋体"/>
          <w:bCs/>
          <w:sz w:val="24"/>
        </w:rPr>
        <w:t>不接受超过</w:t>
      </w:r>
      <w:r>
        <w:rPr>
          <w:rFonts w:hint="eastAsia" w:ascii="宋体" w:hAnsi="宋体" w:cs="宋体"/>
          <w:bCs/>
          <w:sz w:val="24"/>
          <w:lang w:val="en-US" w:eastAsia="zh-CN"/>
        </w:rPr>
        <w:t>各标段</w:t>
      </w:r>
      <w:r>
        <w:rPr>
          <w:rFonts w:hint="eastAsia" w:ascii="宋体" w:hAnsi="宋体" w:eastAsia="宋体" w:cs="宋体"/>
          <w:bCs/>
          <w:sz w:val="24"/>
        </w:rPr>
        <w:t>采购项目预算金额的投标报价。具体</w:t>
      </w:r>
      <w:r>
        <w:rPr>
          <w:rFonts w:hint="eastAsia" w:ascii="宋体" w:hAnsi="宋体" w:eastAsia="宋体" w:cs="宋体"/>
          <w:sz w:val="24"/>
        </w:rPr>
        <w:t>见招标文件第三章《投标资料表》</w:t>
      </w:r>
      <w:r>
        <w:rPr>
          <w:rFonts w:hint="eastAsia" w:ascii="宋体" w:hAnsi="宋体" w:eastAsia="宋体" w:cs="宋体"/>
          <w:bCs/>
          <w:sz w:val="24"/>
        </w:rPr>
        <w:t>。</w:t>
      </w:r>
    </w:p>
    <w:p>
      <w:pPr>
        <w:widowControl/>
        <w:adjustRightInd w:val="0"/>
        <w:snapToGrid w:val="0"/>
        <w:spacing w:line="360" w:lineRule="auto"/>
        <w:ind w:firstLine="482" w:firstLineChars="200"/>
        <w:jc w:val="left"/>
        <w:rPr>
          <w:rFonts w:hint="eastAsia" w:ascii="宋体" w:hAnsi="宋体" w:eastAsia="宋体" w:cs="宋体"/>
          <w:b/>
          <w:bCs w:val="0"/>
          <w:sz w:val="24"/>
        </w:rPr>
      </w:pPr>
      <w:r>
        <w:rPr>
          <w:rFonts w:hint="eastAsia" w:ascii="宋体" w:hAnsi="宋体" w:eastAsia="宋体" w:cs="宋体"/>
          <w:b/>
          <w:bCs w:val="0"/>
          <w:sz w:val="24"/>
        </w:rPr>
        <w:t>21. 投标人不需交纳投标保证金。</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22.投标截止时间、投标文件的递交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22.1投标截止时间：见招标文件第三章《投标资料表》。</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22.2投标文件的递交：见招标文件第三章《投标资料表》。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23. 分包</w:t>
      </w:r>
    </w:p>
    <w:p>
      <w:pPr>
        <w:widowControl/>
        <w:adjustRightInd w:val="0"/>
        <w:snapToGrid w:val="0"/>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 23.1投标人根据招标文件的规定和采购项目的实际情况，拟在中标后将中标项目的非主体、非关键性工作分包的，应当在投标文件中载明分包承担主体，分包承担主体应当具备相应资质条件且不得再次分包。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23.2 招标文件对本项目分包的规定：见招标文件第三章《投标资料表》。</w:t>
      </w:r>
    </w:p>
    <w:p>
      <w:pPr>
        <w:widowControl/>
        <w:adjustRightInd w:val="0"/>
        <w:snapToGrid w:val="0"/>
        <w:spacing w:line="360" w:lineRule="auto"/>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 相同品牌产品投标</w:t>
      </w:r>
    </w:p>
    <w:p>
      <w:pPr>
        <w:widowControl/>
        <w:adjustRightInd w:val="0"/>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24.1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报价相同的，招标文件规定的确定一个投标人参加评标的方式：见招标文件第三章《投标资料表》</w:t>
      </w:r>
      <w:r>
        <w:rPr>
          <w:rFonts w:hint="eastAsia" w:ascii="宋体" w:hAnsi="宋体" w:eastAsia="宋体" w:cs="宋体"/>
          <w:color w:val="auto"/>
          <w:sz w:val="24"/>
        </w:rPr>
        <w:t>。</w:t>
      </w:r>
    </w:p>
    <w:p>
      <w:pPr>
        <w:widowControl/>
        <w:adjustRightInd w:val="0"/>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审得分相同的，招标文件规定的确定一个投标人获得中标人推荐资格的方式：见招标文件第三章《投标资料表》。</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24.3 非单一产品采购项目，采购人应当根据采购项目技术构成、产品价格比重等合理确定核心产品，并在招标文件中载明。多家投标人提供的核心产品品牌相同的，按前24.1、24.2条规定处理。采购人根据采购项目技术构成、产品价格比重等确定核心产品：见招标文件第三章《投标资料表》</w:t>
      </w:r>
      <w:r>
        <w:rPr>
          <w:rFonts w:hint="eastAsia" w:ascii="宋体" w:hAnsi="宋体" w:eastAsia="宋体" w:cs="宋体"/>
          <w:sz w:val="24"/>
        </w:rPr>
        <w:t>。</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25. 有下列情形之一的，视为投标人串通投标，其投标无效：</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（一）不同投标人的投标文件由同一单位或者个人编制；</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（二）不同投标人委托同一单位或者个人办理投标事宜；</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（三）不同投标人的投标文件载明的项目管理成员或者联系人员为同一人；</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（四）不同投标人的投标文件异常一致或者投标报价呈规律性差异；</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（五）不同投标人的投标文件相互混装。</w:t>
      </w:r>
    </w:p>
    <w:p>
      <w:pPr>
        <w:jc w:val="center"/>
        <w:rPr>
          <w:rFonts w:hint="eastAsia" w:ascii="宋体" w:hAnsi="宋体" w:eastAsia="宋体" w:cs="宋体"/>
          <w:b/>
          <w:bCs/>
          <w:sz w:val="32"/>
          <w:szCs w:val="32"/>
        </w:rPr>
      </w:pPr>
      <w:r>
        <w:rPr>
          <w:rFonts w:hint="eastAsia" w:ascii="宋体" w:hAnsi="宋体" w:eastAsia="宋体" w:cs="宋体"/>
          <w:b/>
          <w:bCs/>
          <w:sz w:val="32"/>
          <w:szCs w:val="32"/>
        </w:rPr>
        <w:t>四、开标、评标</w:t>
      </w:r>
    </w:p>
    <w:p>
      <w:pPr>
        <w:widowControl/>
        <w:adjustRightInd w:val="0"/>
        <w:snapToGrid w:val="0"/>
        <w:spacing w:line="360" w:lineRule="auto"/>
        <w:ind w:firstLine="480"/>
        <w:jc w:val="left"/>
        <w:rPr>
          <w:rFonts w:hint="eastAsia" w:ascii="宋体" w:hAnsi="宋体" w:eastAsia="宋体" w:cs="宋体"/>
          <w:b/>
          <w:bCs/>
          <w:sz w:val="24"/>
        </w:rPr>
      </w:pPr>
      <w:r>
        <w:rPr>
          <w:rFonts w:hint="eastAsia" w:ascii="宋体" w:hAnsi="宋体" w:eastAsia="宋体" w:cs="宋体"/>
          <w:b/>
          <w:bCs/>
          <w:sz w:val="24"/>
        </w:rPr>
        <w:t>26. 开标</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26.1 开标应当在招标文件确定的提交投标文件截止时间的同一时间进行。开标地点应当为招标文件中预先确定的地点。开标时间及地点：见招标文件第三章《投标资料表》。</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26.2 开标由电子招标投标交易平台主持，邀请投标人参加。</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26.3 开标时，应当由投标人或者其推选的代表检查投标文件的密封情况；经确认无误后，由采购人或者采购代理机构工作人员当众拆封，宣布投标人名称、投标价格和招标文件规定的需要宣布的其他内容。招标文件规定的需要宣布的内容：见招标文件第三章《投标资料表》。</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26.4开标过程应当由采购人或者采购代理机构负责记录，由参加开标的各投标人代表和相关工作人员签字确认后随</w:t>
      </w:r>
      <w:r>
        <w:rPr>
          <w:rFonts w:hint="eastAsia" w:ascii="宋体" w:hAnsi="宋体" w:cs="宋体"/>
          <w:sz w:val="24"/>
          <w:lang w:eastAsia="zh-CN"/>
        </w:rPr>
        <w:t>招标文件</w:t>
      </w:r>
      <w:r>
        <w:rPr>
          <w:rFonts w:hint="eastAsia" w:ascii="宋体" w:hAnsi="宋体" w:eastAsia="宋体" w:cs="宋体"/>
          <w:sz w:val="24"/>
        </w:rPr>
        <w:t>一并存档。</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adjustRightInd w:val="0"/>
        <w:snapToGrid w:val="0"/>
        <w:spacing w:line="360" w:lineRule="auto"/>
        <w:ind w:firstLine="465"/>
        <w:jc w:val="left"/>
        <w:rPr>
          <w:rFonts w:hint="eastAsia" w:ascii="宋体" w:hAnsi="宋体" w:eastAsia="宋体" w:cs="宋体"/>
          <w:sz w:val="24"/>
        </w:rPr>
      </w:pPr>
      <w:r>
        <w:rPr>
          <w:rFonts w:hint="eastAsia" w:ascii="宋体" w:hAnsi="宋体" w:eastAsia="宋体" w:cs="宋体"/>
          <w:sz w:val="24"/>
        </w:rPr>
        <w:t>投标人未参加开标的，视同认可开标结果。</w:t>
      </w:r>
    </w:p>
    <w:p>
      <w:pPr>
        <w:widowControl/>
        <w:adjustRightInd w:val="0"/>
        <w:snapToGrid w:val="0"/>
        <w:spacing w:line="360" w:lineRule="auto"/>
        <w:ind w:firstLine="465"/>
        <w:jc w:val="left"/>
        <w:rPr>
          <w:rFonts w:hint="eastAsia" w:ascii="宋体" w:hAnsi="宋体" w:eastAsia="宋体" w:cs="宋体"/>
          <w:sz w:val="24"/>
        </w:rPr>
      </w:pPr>
      <w:r>
        <w:rPr>
          <w:rFonts w:hint="eastAsia" w:ascii="宋体" w:hAnsi="宋体" w:eastAsia="宋体" w:cs="宋体"/>
          <w:sz w:val="24"/>
        </w:rPr>
        <w:t>26.5因投标人原因造成投标文件未解密的，视为撤销其投标文件;因投标人之外的原因造成投标文件未解密的，视为撤回其投标文件，投标人有权要求责任方（如责任方为电子招标投标交易平台，电子招标投标交易平台免责）赔偿因此遭受的直接损失。部分投标文件未解密的，其他投标文件的开标可以继续进行。</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27. 公开招标采购项目开标结束后，采购人依法对投标人的资格进行审查。</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28. 评标委员会应当对符合资格的投标人的投标文件进行符合性审查，以确定其是否满足招标文件的实质性要求。</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29. 对于投标文件中含义不明确、同类问题表述不一致或者有明显文字和计算错误的内容，评标委员会应当以书面形式要求投标人作出必要的澄清、说明或者补正。</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投标人的澄清、说明或者补正应当采用书面形式，并加盖公章，或者由法定代表人或其授权的代表签字。投标人的澄清、说明或者补正不得超出投标文件的范围或者改变投标文件的实质性内容。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30. 评标委员会应当按照招标文件中规定的评标方法和标准，对符合性审查合格的投标文件进行商务和技术评估，综合比较与评价。</w:t>
      </w:r>
    </w:p>
    <w:p>
      <w:pPr>
        <w:widowControl/>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 xml:space="preserve">31. 评标方法、评标标准。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31.1 评标方法分为最低评标价法和综合评分法。本项目的评标方法：见招标文件第三章《投标资料表》。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31.2 本项目的评标标准：见招标文件第四章《评标标准》。</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 投标文件报价出现前后不一致的，除招标文件另有规定外，按照下列规定修正：</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（一）投标文件中开标一览表（报价表）内容与投标文件中相应内容不一致的，以开标一览表（报价表）为准；</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（二）大写金额和小写金额不一致的，以大写金额为准；</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（三）单价金额小数点或者百分比有明显错位的，以开标一览表的总价为准，并修改单价；</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（四）总价金额与按单价汇总金额不一致的，以单价金额计算结果为准。</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同时出现两种以上不一致的，按照前款规定的顺序修正。修正后的报价按照第29条第二款的规定经投标人确认后产生约束力，投标人不确认的，其投标无效。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34. 投标人存在下列情况之一的，投标无效:</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（一）投标文件未按招标文件要求签署、盖章的；</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（二）不具备招标文件中规定的资格要求的；</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（三）报价超过招标文件中规定的预算金额的；</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（四）投标文件含有采购人不能接受的附加条件的；</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（五）投标文件中承诺的投标有效期少于招标文件中载明的投标有效期;</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 xml:space="preserve">   （六）法律、法规和招标文件规定的其他无效情形。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35.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jc w:val="center"/>
        <w:rPr>
          <w:rFonts w:hint="eastAsia" w:ascii="宋体" w:hAnsi="宋体" w:eastAsia="宋体" w:cs="宋体"/>
          <w:sz w:val="30"/>
          <w:szCs w:val="30"/>
        </w:rPr>
      </w:pPr>
      <w:r>
        <w:rPr>
          <w:rFonts w:hint="eastAsia" w:ascii="宋体" w:hAnsi="宋体" w:eastAsia="宋体" w:cs="宋体"/>
          <w:b/>
          <w:bCs/>
          <w:sz w:val="32"/>
          <w:szCs w:val="32"/>
        </w:rPr>
        <w:t>五、中标和合同</w:t>
      </w:r>
    </w:p>
    <w:p>
      <w:pPr>
        <w:widowControl/>
        <w:adjustRightInd w:val="0"/>
        <w:snapToGrid w:val="0"/>
        <w:spacing w:line="360" w:lineRule="auto"/>
        <w:ind w:firstLine="480"/>
        <w:jc w:val="left"/>
        <w:rPr>
          <w:rFonts w:hint="eastAsia" w:ascii="宋体" w:hAnsi="宋体" w:eastAsia="宋体" w:cs="宋体"/>
          <w:b/>
          <w:bCs/>
          <w:sz w:val="24"/>
        </w:rPr>
      </w:pPr>
      <w:r>
        <w:rPr>
          <w:rFonts w:hint="eastAsia" w:ascii="宋体" w:hAnsi="宋体" w:eastAsia="宋体" w:cs="宋体"/>
          <w:b/>
          <w:bCs/>
          <w:sz w:val="24"/>
        </w:rPr>
        <w:t>36. 确定中标人</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36.1 采购代理机构应当在评标结束后2个工作日内将评标报告送采购人。</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36.2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中标候选人并列的，招标文件规定的确定中标人方式：见招标文件第三章《投标资料表》。</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lang w:val="en-US" w:eastAsia="zh-CN"/>
        </w:rPr>
        <w:t>36.3</w:t>
      </w:r>
      <w:r>
        <w:rPr>
          <w:rFonts w:hint="eastAsia" w:ascii="宋体" w:hAnsi="宋体" w:eastAsia="宋体" w:cs="宋体"/>
          <w:sz w:val="24"/>
        </w:rPr>
        <w:t>中标或者成交供应商拒绝与采购人签订合同的，采购人可以按照评审报告推荐的中标或者成交候选人名单排序，确定下一个候选人为中标或者成交供应商，也可以重新开展政府采购活动。</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37. 在公告中标结果的同时，采购人或者采购代理机构应当向中标人发出中标通知书；对未通过资格审查的投标人，应当告知其未通过的原因；采用综合评分法评审的，还应当告知未中标人本人的评审得分与排序。</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38. 中标通知书发出后，采购人不得违法改变中标结果，中标人无正当理由不得放弃中标。</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39. 采购人应当自中标通知书发出之日起15日内，按照招标文件和中标人投标文件的规定，与中标人签订书面合同。所签订的合同不得对招标文件确定的事项和中标人投标文件作实质性修改。</w:t>
      </w:r>
    </w:p>
    <w:p>
      <w:pPr>
        <w:widowControl/>
        <w:adjustRightInd w:val="0"/>
        <w:snapToGrid w:val="0"/>
        <w:spacing w:line="360" w:lineRule="auto"/>
        <w:ind w:firstLine="480"/>
        <w:jc w:val="left"/>
        <w:rPr>
          <w:rFonts w:hint="eastAsia" w:ascii="宋体" w:hAnsi="宋体" w:eastAsia="宋体" w:cs="宋体"/>
          <w:sz w:val="24"/>
        </w:rPr>
      </w:pPr>
      <w:r>
        <w:rPr>
          <w:rFonts w:hint="eastAsia" w:ascii="宋体" w:hAnsi="宋体" w:eastAsia="宋体" w:cs="宋体"/>
          <w:sz w:val="24"/>
        </w:rPr>
        <w:t>采购人不得向中标人提出任何不合理的要求作为签订合同的条件。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40. 政府采购合同应当包括采购人与中标人的名称和住所、标的、数量、质量、价款或者报酬、履行期限及地点和方式、验收要求、违约责任、解决争议的方法等内容。</w:t>
      </w:r>
    </w:p>
    <w:p>
      <w:pPr>
        <w:jc w:val="center"/>
        <w:rPr>
          <w:rFonts w:hint="eastAsia" w:ascii="宋体" w:hAnsi="宋体" w:eastAsia="宋体" w:cs="宋体"/>
          <w:b/>
          <w:bCs/>
          <w:sz w:val="32"/>
          <w:szCs w:val="32"/>
        </w:rPr>
      </w:pPr>
      <w:r>
        <w:rPr>
          <w:rFonts w:hint="eastAsia" w:ascii="宋体" w:hAnsi="宋体" w:eastAsia="宋体" w:cs="宋体"/>
          <w:b/>
          <w:bCs/>
          <w:sz w:val="32"/>
          <w:szCs w:val="32"/>
        </w:rPr>
        <w:t>六、询问和质疑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41. 询问和质疑</w:t>
      </w:r>
      <w:r>
        <w:rPr>
          <w:rFonts w:hint="eastAsia" w:ascii="宋体" w:hAnsi="宋体" w:eastAsia="宋体" w:cs="宋体"/>
          <w:sz w:val="24"/>
          <w:lang w:eastAsia="zh-CN"/>
        </w:rPr>
        <w:t>：</w:t>
      </w:r>
      <w:r>
        <w:rPr>
          <w:rFonts w:hint="eastAsia" w:ascii="宋体" w:hAnsi="宋体" w:eastAsia="宋体" w:cs="宋体"/>
          <w:sz w:val="24"/>
        </w:rPr>
        <w:t>见招标文件第三章《投标资料表》</w:t>
      </w:r>
    </w:p>
    <w:p>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七、电子招标投标交易平台</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42. 电子招标投标交易平台（即“苏采云”系统，网址：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w:instrText>
      </w:r>
      <w:r>
        <w:rPr>
          <w:rFonts w:hint="eastAsia" w:ascii="宋体" w:hAnsi="宋体" w:eastAsia="宋体" w:cs="宋体"/>
        </w:rPr>
        <w:fldChar w:fldCharType="separate"/>
      </w:r>
      <w:r>
        <w:rPr>
          <w:rFonts w:hint="eastAsia" w:ascii="宋体" w:hAnsi="宋体" w:eastAsia="宋体" w:cs="宋体"/>
          <w:sz w:val="24"/>
        </w:rPr>
        <w:t>http://jszfcg.jsczt.cn/</w:t>
      </w:r>
      <w:r>
        <w:rPr>
          <w:rFonts w:hint="eastAsia" w:ascii="宋体" w:hAnsi="宋体" w:eastAsia="宋体" w:cs="宋体"/>
          <w:sz w:val="24"/>
        </w:rPr>
        <w:fldChar w:fldCharType="end"/>
      </w:r>
      <w:r>
        <w:rPr>
          <w:rFonts w:hint="eastAsia" w:ascii="宋体" w:hAnsi="宋体" w:eastAsia="宋体" w:cs="宋体"/>
          <w:sz w:val="24"/>
        </w:rPr>
        <w:t>）相关要求是本招标文件的组成部分。</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第三章  投标资料表</w:t>
      </w:r>
    </w:p>
    <w:p>
      <w:pPr>
        <w:pStyle w:val="24"/>
        <w:ind w:firstLine="480" w:firstLineChars="200"/>
        <w:rPr>
          <w:rFonts w:hint="eastAsia" w:ascii="宋体" w:hAnsi="宋体" w:eastAsia="宋体" w:cs="宋体"/>
          <w:sz w:val="24"/>
        </w:rPr>
      </w:pPr>
      <w:r>
        <w:rPr>
          <w:rFonts w:hint="eastAsia" w:ascii="宋体" w:hAnsi="宋体" w:eastAsia="宋体" w:cs="宋体"/>
          <w:sz w:val="24"/>
        </w:rPr>
        <w:t>该资料表的条款项号是与《投标人须知》中条款项号对应的，或增加的条款，是对《投标人须知》的补充、修改和完善，如果有矛盾的话，应以本资料表为准。</w:t>
      </w:r>
    </w:p>
    <w:tbl>
      <w:tblPr>
        <w:tblStyle w:val="42"/>
        <w:tblW w:w="95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8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jc w:val="left"/>
              <w:textAlignment w:val="auto"/>
              <w:rPr>
                <w:rFonts w:hint="eastAsia" w:ascii="宋体" w:hAnsi="宋体" w:eastAsia="宋体" w:cs="宋体"/>
                <w:sz w:val="24"/>
              </w:rPr>
            </w:pPr>
            <w:r>
              <w:rPr>
                <w:rFonts w:hint="eastAsia" w:ascii="宋体" w:hAnsi="宋体" w:eastAsia="宋体" w:cs="宋体"/>
                <w:sz w:val="24"/>
              </w:rPr>
              <w:t>条款项号</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rPr>
            </w:pPr>
            <w:r>
              <w:rPr>
                <w:rFonts w:hint="eastAsia" w:ascii="宋体" w:hAnsi="宋体" w:eastAsia="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宋体" w:hAnsi="宋体" w:eastAsia="宋体" w:cs="宋体"/>
                <w:sz w:val="24"/>
              </w:rPr>
            </w:pPr>
            <w:r>
              <w:rPr>
                <w:rFonts w:hint="eastAsia" w:ascii="宋体" w:hAnsi="宋体" w:eastAsia="宋体" w:cs="宋体"/>
                <w:b/>
                <w:bCs/>
                <w:sz w:val="28"/>
                <w:szCs w:val="28"/>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本项目采购人：睢宁县教育局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本次采购采用的政府采购方式：公开招标。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采购人确定的采购项目属性：货物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本项目采购代理机构： 江苏润轩项目管理有限公司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5</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本项目为政府采购货物电子招标投标。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潜在投标人访问电子招标投标交易平台的网络地址和方法：见本项目招标公告。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rPr>
            </w:pPr>
            <w:r>
              <w:rPr>
                <w:rFonts w:hint="eastAsia" w:ascii="宋体" w:hAnsi="宋体" w:eastAsia="宋体" w:cs="宋体"/>
                <w:b/>
                <w:bCs/>
                <w:sz w:val="28"/>
                <w:szCs w:val="28"/>
              </w:rPr>
              <w:t>二、招标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8" w:hRule="atLeast"/>
          <w:jc w:val="center"/>
        </w:trPr>
        <w:tc>
          <w:tcPr>
            <w:tcW w:w="8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7</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eastAsia="宋体" w:cs="宋体"/>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lang w:eastAsia="zh-CN"/>
              </w:rPr>
              <w:t>）：</w:t>
            </w:r>
            <w:r>
              <w:rPr>
                <w:rFonts w:hint="eastAsia" w:ascii="宋体" w:hAnsi="宋体" w:cs="宋体"/>
                <w:sz w:val="24"/>
                <w:lang w:eastAsia="zh-CN"/>
              </w:rPr>
              <w:t>610.8万元人民币（高于610.8万元作废标处理）</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标段一</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204万元人民币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高于204万元人民币作废标处理</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标段二</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204万元人民币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高于204万元人民币作废标处理</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sz w:val="24"/>
                <w:lang w:eastAsia="zh-CN"/>
              </w:rPr>
            </w:pPr>
            <w:r>
              <w:rPr>
                <w:rFonts w:hint="eastAsia" w:ascii="宋体" w:hAnsi="宋体" w:eastAsia="宋体" w:cs="宋体"/>
                <w:b/>
                <w:bCs/>
                <w:sz w:val="24"/>
              </w:rPr>
              <w:t>标段三</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202.8万元人民币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高于202.8万元人民币作废标处理</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4F0FBD"/>
                <w:sz w:val="24"/>
                <w:szCs w:val="24"/>
                <w:highlight w:val="lightGray"/>
                <w:lang w:eastAsia="zh-CN"/>
              </w:rPr>
            </w:pPr>
            <w:r>
              <w:rPr>
                <w:rFonts w:hint="eastAsia" w:ascii="宋体" w:hAnsi="宋体" w:cs="宋体"/>
                <w:b/>
                <w:bCs/>
                <w:color w:val="4F0FBD"/>
                <w:sz w:val="24"/>
                <w:szCs w:val="24"/>
                <w:highlight w:val="lightGray"/>
                <w:lang w:eastAsia="zh-CN"/>
              </w:rPr>
              <w:t>各供应商可以同时参与三个标段的投标，但按评标的先后顺序只能中一个标段，且同一品牌只能中一个标段。</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4F0FBD"/>
                <w:sz w:val="24"/>
                <w:szCs w:val="24"/>
                <w:highlight w:val="lightGray"/>
              </w:rPr>
            </w:pPr>
            <w:r>
              <w:rPr>
                <w:rFonts w:hint="eastAsia" w:ascii="宋体" w:hAnsi="宋体" w:cs="宋体"/>
                <w:b/>
                <w:bCs/>
                <w:color w:val="4F0FBD"/>
                <w:sz w:val="24"/>
                <w:szCs w:val="24"/>
                <w:highlight w:val="lightGray"/>
                <w:lang w:eastAsia="zh-CN"/>
              </w:rPr>
              <w:t>开标、评标先后顺序为：第一标段、第二标段、第三标段</w:t>
            </w:r>
            <w:r>
              <w:rPr>
                <w:rFonts w:hint="eastAsia" w:ascii="宋体" w:hAnsi="宋体" w:eastAsia="宋体" w:cs="宋体"/>
                <w:b/>
                <w:bCs/>
                <w:color w:val="4F0FBD"/>
                <w:sz w:val="24"/>
                <w:szCs w:val="24"/>
                <w:highlight w:val="lightGray"/>
              </w:rPr>
              <w:t>。</w:t>
            </w:r>
          </w:p>
          <w:p>
            <w:pPr>
              <w:pStyle w:val="2"/>
              <w:ind w:left="0" w:leftChars="0" w:firstLine="482" w:firstLineChars="200"/>
              <w:rPr>
                <w:rFonts w:hint="eastAsia"/>
                <w:lang w:eastAsia="zh-CN"/>
              </w:rPr>
            </w:pPr>
            <w:r>
              <w:rPr>
                <w:rFonts w:hint="eastAsia" w:ascii="宋体" w:hAnsi="宋体" w:eastAsia="宋体" w:cs="宋体"/>
                <w:b/>
                <w:bCs/>
                <w:color w:val="4F0FBD"/>
                <w:sz w:val="24"/>
                <w:szCs w:val="24"/>
                <w:highlight w:val="lightGray"/>
              </w:rPr>
              <w:t>同时参与多个标段投标的供应商，如前一标段中标，</w:t>
            </w:r>
            <w:r>
              <w:rPr>
                <w:rFonts w:hint="eastAsia" w:ascii="宋体" w:hAnsi="宋体" w:eastAsia="宋体" w:cs="宋体"/>
                <w:b/>
                <w:bCs/>
                <w:color w:val="4F0FBD"/>
                <w:sz w:val="24"/>
                <w:szCs w:val="24"/>
                <w:highlight w:val="lightGray"/>
                <w:lang w:val="en-US" w:eastAsia="zh-CN"/>
              </w:rPr>
              <w:t>仍需</w:t>
            </w:r>
            <w:r>
              <w:rPr>
                <w:rFonts w:hint="eastAsia" w:ascii="宋体" w:hAnsi="宋体" w:eastAsia="宋体" w:cs="宋体"/>
                <w:b/>
                <w:bCs/>
                <w:color w:val="4F0FBD"/>
                <w:sz w:val="24"/>
                <w:szCs w:val="24"/>
                <w:highlight w:val="lightGray"/>
              </w:rPr>
              <w:t>参与下一标段的评标，否则所有投标、中标均无效。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sz w:val="24"/>
                <w:lang w:val="en-US" w:eastAsia="zh-CN"/>
              </w:rPr>
            </w:pPr>
          </w:p>
        </w:tc>
        <w:tc>
          <w:tcPr>
            <w:tcW w:w="86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投标报价：</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报价包括灯具、光源及电线、线槽、固定支架、膨胀螺栓、接线端子、开关等安装所需配件、教室原灯具拆除、材料损耗、材料保管、运输、安装、调试、验收、保险、人工费用、机械费用、食宿与交通、安装后垃圾清理、管理、质保、税费、利润、完成合同所需的一切本身和不可或缺的所有工作开支、政策性文件规定及合同包含的所有风险、责任等各项全部费用。</w:t>
            </w:r>
          </w:p>
          <w:p>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4F0FBD"/>
                <w:sz w:val="28"/>
                <w:szCs w:val="28"/>
                <w:highlight w:val="lightGray"/>
              </w:rPr>
            </w:pPr>
            <w:r>
              <w:rPr>
                <w:rFonts w:hint="eastAsia" w:ascii="宋体" w:hAnsi="宋体" w:eastAsia="宋体" w:cs="宋体"/>
                <w:b/>
                <w:bCs/>
                <w:sz w:val="24"/>
              </w:rPr>
              <w:t>采购人不再支付报价以外的任何费用。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8</w:t>
            </w:r>
          </w:p>
        </w:tc>
        <w:tc>
          <w:tcPr>
            <w:tcW w:w="8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合同履行期限：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zh-CN" w:eastAsia="zh-CN"/>
              </w:rPr>
              <w:t>合同生效日后30日内将合同标的全部交付，安装调试完毕且验收合格。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本项目对样品的要求：详见招标文件第六章《采购需求》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招标文件售价：免费。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采购代理机构代理费用的收取标准和方式：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招标代理服务费由中标人支付，标准不高于《招标代理服务收费标准》（见附件）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86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8648"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现场考察：自行现场考察。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8648"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开标前答疑会：不召开开标前答疑会。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i w:val="0"/>
                <w:iCs w:val="0"/>
                <w:caps w:val="0"/>
                <w:color w:val="000000"/>
                <w:spacing w:val="0"/>
                <w:kern w:val="0"/>
                <w:sz w:val="24"/>
                <w:szCs w:val="24"/>
                <w:lang w:val="en-US" w:eastAsia="zh-CN" w:bidi="ar"/>
              </w:rPr>
              <w:t>采购代理机构可以对已发出的招标文件进行必要的澄清或者修改。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w:t>
            </w:r>
            <w:r>
              <w:rPr>
                <w:rFonts w:hint="eastAsia" w:ascii="宋体" w:hAnsi="宋体" w:cs="宋体"/>
                <w:i w:val="0"/>
                <w:iCs w:val="0"/>
                <w:caps w:val="0"/>
                <w:color w:val="000000"/>
                <w:spacing w:val="0"/>
                <w:kern w:val="0"/>
                <w:sz w:val="24"/>
                <w:szCs w:val="24"/>
                <w:lang w:val="en-US" w:eastAsia="zh-CN" w:bidi="ar"/>
              </w:rPr>
              <w:t>招标文件</w:t>
            </w:r>
            <w:r>
              <w:rPr>
                <w:rFonts w:hint="eastAsia" w:ascii="宋体" w:hAnsi="宋体" w:eastAsia="宋体" w:cs="宋体"/>
                <w:i w:val="0"/>
                <w:iCs w:val="0"/>
                <w:caps w:val="0"/>
                <w:color w:val="000000"/>
                <w:spacing w:val="0"/>
                <w:kern w:val="0"/>
                <w:sz w:val="24"/>
                <w:szCs w:val="24"/>
                <w:lang w:val="en-US" w:eastAsia="zh-CN" w:bidi="ar"/>
              </w:rPr>
              <w:t>（后缀名为“.kedt”），离线编制投标文件，否则，将自行承担相应的风险。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16.</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rPr>
            </w:pPr>
            <w:r>
              <w:rPr>
                <w:rFonts w:hint="eastAsia" w:ascii="宋体" w:hAnsi="宋体" w:eastAsia="宋体" w:cs="宋体"/>
                <w:b/>
                <w:bCs/>
                <w:sz w:val="28"/>
                <w:szCs w:val="28"/>
              </w:rPr>
              <w:t>三、投标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投标人的资格条件：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2、此项目属于</w:t>
            </w:r>
            <w:r>
              <w:rPr>
                <w:rFonts w:hint="eastAsia" w:ascii="宋体" w:hAnsi="宋体" w:cs="宋体"/>
                <w:sz w:val="24"/>
                <w:lang w:val="en-US" w:eastAsia="zh-CN"/>
              </w:rPr>
              <w:t>非</w:t>
            </w:r>
            <w:r>
              <w:rPr>
                <w:rFonts w:hint="eastAsia" w:ascii="宋体" w:hAnsi="宋体" w:eastAsia="宋体" w:cs="宋体"/>
                <w:sz w:val="24"/>
              </w:rPr>
              <w:t>专门面向中小微企业采购的项目，供应商为中小微企业、监狱企业、残疾人福利性单位</w:t>
            </w:r>
            <w:r>
              <w:rPr>
                <w:rFonts w:hint="eastAsia" w:ascii="宋体" w:hAnsi="宋体" w:cs="宋体"/>
                <w:sz w:val="24"/>
                <w:lang w:val="en-US" w:eastAsia="zh-CN"/>
              </w:rPr>
              <w:t>的单位须根据文件要求提供证明文件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同时明确相关事项如下：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一、本项目不接受联合体参与采购活动。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三、为本采购项目提供整体设计、规范编制或者项目管理、监理、检测等服务的供应商，不得再参加本采购项目的采购活动。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四、查询及使用供应商信用记录。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投标人信用信息查询渠道及截止时点、信用信息查询记录和证据留存的具体方式、信用信息的使用规则等：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一、由采购人查询信用信息。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二、查询渠道包括：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1.“信用中国”网（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"http://www.creditchina.gov.cn/" </w:instrText>
            </w:r>
            <w:r>
              <w:rPr>
                <w:rFonts w:hint="eastAsia" w:ascii="宋体" w:hAnsi="宋体" w:eastAsia="宋体" w:cs="宋体"/>
                <w:sz w:val="24"/>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2.中国政府采购网（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3.“诚信江苏”网（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"http://www.jiangsu.gov.cn/jsxy/index.htm" </w:instrText>
            </w:r>
            <w:r>
              <w:rPr>
                <w:rFonts w:hint="eastAsia" w:ascii="宋体" w:hAnsi="宋体" w:eastAsia="宋体" w:cs="宋体"/>
                <w:sz w:val="24"/>
              </w:rPr>
              <w:fldChar w:fldCharType="separate"/>
            </w:r>
            <w:r>
              <w:rPr>
                <w:rFonts w:hint="eastAsia" w:ascii="宋体" w:hAnsi="宋体" w:eastAsia="宋体" w:cs="宋体"/>
                <w:sz w:val="24"/>
              </w:rPr>
              <w:t>www.jiangsu.gov.cn/jsxy/index.htm</w:t>
            </w:r>
            <w:r>
              <w:rPr>
                <w:rFonts w:hint="eastAsia" w:ascii="宋体" w:hAnsi="宋体" w:eastAsia="宋体" w:cs="宋体"/>
                <w:sz w:val="24"/>
              </w:rPr>
              <w:fldChar w:fldCharType="end"/>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和或“信用江苏”网（http://credit.jiangsu.gov.cn/）；</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4.“诚信徐州”网（ </w:t>
            </w:r>
            <w:r>
              <w:rPr>
                <w:rFonts w:hint="eastAsia" w:ascii="宋体" w:hAnsi="宋体" w:eastAsia="宋体" w:cs="宋体"/>
                <w:sz w:val="24"/>
              </w:rPr>
              <w:fldChar w:fldCharType="begin"/>
            </w:r>
            <w:r>
              <w:rPr>
                <w:rFonts w:hint="eastAsia" w:ascii="宋体" w:hAnsi="宋体" w:eastAsia="宋体" w:cs="宋体"/>
                <w:sz w:val="24"/>
              </w:rPr>
              <w:instrText xml:space="preserve"> HYPERLINK "http://www.xuzhoucredit.gov.cn/" </w:instrText>
            </w:r>
            <w:r>
              <w:rPr>
                <w:rFonts w:hint="eastAsia" w:ascii="宋体" w:hAnsi="宋体" w:eastAsia="宋体" w:cs="宋体"/>
                <w:sz w:val="24"/>
              </w:rPr>
              <w:fldChar w:fldCharType="separate"/>
            </w:r>
            <w:r>
              <w:rPr>
                <w:rFonts w:hint="eastAsia" w:ascii="宋体" w:hAnsi="宋体" w:eastAsia="宋体" w:cs="宋体"/>
                <w:sz w:val="24"/>
              </w:rPr>
              <w:t>http://www.xuzhoucredit.gov.cn</w:t>
            </w:r>
            <w:r>
              <w:rPr>
                <w:rFonts w:hint="eastAsia" w:ascii="宋体" w:hAnsi="宋体" w:eastAsia="宋体" w:cs="宋体"/>
                <w:sz w:val="24"/>
              </w:rPr>
              <w:fldChar w:fldCharType="end"/>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和或“信用徐州”网（www.xuzhoucredit.gov.cn/）。</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三、截止时点（查询环节）：评标结束前。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四、信用信息查询记录和证据留存的具体方式：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网页截屏打印，与其他</w:t>
            </w:r>
            <w:r>
              <w:rPr>
                <w:rFonts w:hint="eastAsia" w:ascii="宋体" w:hAnsi="宋体" w:cs="宋体"/>
                <w:sz w:val="24"/>
                <w:lang w:eastAsia="zh-CN"/>
              </w:rPr>
              <w:t>招标文件</w:t>
            </w:r>
            <w:r>
              <w:rPr>
                <w:rFonts w:hint="eastAsia" w:ascii="宋体" w:hAnsi="宋体" w:eastAsia="宋体" w:cs="宋体"/>
                <w:sz w:val="24"/>
              </w:rPr>
              <w:t>一并保存。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五、信用信息的使用规则：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rPr>
            </w:pPr>
            <w:r>
              <w:rPr>
                <w:rFonts w:hint="eastAsia" w:ascii="宋体" w:hAnsi="宋体" w:eastAsia="宋体" w:cs="宋体"/>
                <w:sz w:val="24"/>
              </w:rPr>
              <w:t>六、信用评价结果查询：见招标文件第四章《评标标准》。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18</w:t>
            </w:r>
          </w:p>
        </w:tc>
        <w:tc>
          <w:tcPr>
            <w:tcW w:w="8648" w:type="dxa"/>
            <w:tcBorders>
              <w:top w:val="single" w:color="auto" w:sz="4" w:space="0"/>
              <w:left w:val="single" w:color="auto" w:sz="4" w:space="0"/>
              <w:bottom w:val="single" w:color="auto" w:sz="4" w:space="0"/>
              <w:right w:val="single" w:color="auto" w:sz="4" w:space="0"/>
            </w:tcBorders>
          </w:tcPr>
          <w:p>
            <w:pPr>
              <w:pStyle w:val="10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投标人须用政府采购客户端工具导入“苏采云”系统下载的</w:t>
            </w:r>
            <w:r>
              <w:rPr>
                <w:rFonts w:hint="eastAsia" w:ascii="宋体" w:hAnsi="宋体" w:cs="宋体"/>
                <w:bCs/>
                <w:sz w:val="24"/>
                <w:lang w:eastAsia="zh-CN"/>
              </w:rPr>
              <w:t>招标文件</w:t>
            </w:r>
            <w:r>
              <w:rPr>
                <w:rFonts w:hint="eastAsia" w:ascii="宋体" w:hAnsi="宋体" w:eastAsia="宋体" w:cs="宋体"/>
                <w:bCs/>
                <w:sz w:val="24"/>
              </w:rPr>
              <w:t>（后缀名为“.kedt”）后，离线编制投标文件。</w:t>
            </w:r>
            <w:r>
              <w:rPr>
                <w:rFonts w:hint="eastAsia" w:ascii="宋体" w:hAnsi="宋体" w:cs="宋体"/>
                <w:bCs/>
                <w:sz w:val="24"/>
                <w:lang w:eastAsia="zh-CN"/>
              </w:rPr>
              <w:t>招标文件</w:t>
            </w:r>
            <w:r>
              <w:rPr>
                <w:rFonts w:hint="eastAsia" w:ascii="宋体" w:hAnsi="宋体" w:eastAsia="宋体" w:cs="宋体"/>
                <w:bCs/>
                <w:sz w:val="24"/>
              </w:rPr>
              <w:t>（后缀名为“.kedt”）、供应商操作手册及政府采购客户端工具可通过“苏采云”系统（网址：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w:instrText>
            </w:r>
            <w:r>
              <w:rPr>
                <w:rFonts w:hint="eastAsia" w:ascii="宋体" w:hAnsi="宋体" w:eastAsia="宋体" w:cs="宋体"/>
              </w:rPr>
              <w:fldChar w:fldCharType="separate"/>
            </w:r>
            <w:r>
              <w:rPr>
                <w:rFonts w:hint="eastAsia" w:ascii="宋体" w:hAnsi="宋体" w:eastAsia="宋体" w:cs="宋体"/>
                <w:bCs/>
                <w:sz w:val="24"/>
              </w:rPr>
              <w:t>http://jszfcg.jsc</w:t>
            </w:r>
            <w:bookmarkStart w:id="0" w:name="_Hlt91509264"/>
            <w:bookmarkStart w:id="1" w:name="_Hlt91509263"/>
            <w:r>
              <w:rPr>
                <w:rFonts w:hint="eastAsia" w:ascii="宋体" w:hAnsi="宋体" w:eastAsia="宋体" w:cs="宋体"/>
                <w:bCs/>
                <w:sz w:val="24"/>
              </w:rPr>
              <w:t>z</w:t>
            </w:r>
            <w:bookmarkEnd w:id="0"/>
            <w:bookmarkEnd w:id="1"/>
            <w:r>
              <w:rPr>
                <w:rFonts w:hint="eastAsia" w:ascii="宋体" w:hAnsi="宋体" w:eastAsia="宋体" w:cs="宋体"/>
                <w:bCs/>
                <w:sz w:val="24"/>
              </w:rPr>
              <w:t>t.cn/</w:t>
            </w:r>
            <w:r>
              <w:rPr>
                <w:rFonts w:hint="eastAsia" w:ascii="宋体" w:hAnsi="宋体" w:eastAsia="宋体" w:cs="宋体"/>
                <w:bCs/>
                <w:sz w:val="24"/>
              </w:rPr>
              <w:fldChar w:fldCharType="end"/>
            </w:r>
            <w:r>
              <w:rPr>
                <w:rFonts w:hint="eastAsia" w:ascii="宋体" w:hAnsi="宋体" w:eastAsia="宋体" w:cs="宋体"/>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特别说明：政府采购客户端工具需要导出加密的投标文件（后缀名为zip）。</w:t>
            </w:r>
            <w:r>
              <w:rPr>
                <w:rFonts w:hint="eastAsia" w:ascii="宋体" w:hAnsi="宋体" w:eastAsia="宋体" w:cs="宋体"/>
                <w:b/>
                <w:bCs/>
                <w:sz w:val="24"/>
              </w:rPr>
              <w:t>投标文件不得超过350M！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19.2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投标文件编制要求：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请按照以下要求（包括但不限于以下要求）和顺序装订</w:t>
            </w:r>
          </w:p>
          <w:p>
            <w:pPr>
              <w:pStyle w:val="109"/>
              <w:keepNext w:val="0"/>
              <w:keepLines w:val="0"/>
              <w:pageBreakBefore w:val="0"/>
              <w:numPr>
                <w:ilvl w:val="0"/>
                <w:numId w:val="2"/>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基本目录</w:t>
            </w:r>
          </w:p>
          <w:p>
            <w:pPr>
              <w:pStyle w:val="109"/>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rPr>
            </w:pPr>
            <w:r>
              <w:rPr>
                <w:rFonts w:hint="eastAsia" w:ascii="宋体" w:hAnsi="宋体" w:cs="宋体"/>
                <w:b/>
                <w:bCs/>
                <w:sz w:val="24"/>
                <w:lang w:val="en-US" w:eastAsia="zh-CN"/>
              </w:rPr>
              <w:t>1.</w:t>
            </w:r>
            <w:r>
              <w:rPr>
                <w:rFonts w:hint="eastAsia" w:ascii="宋体" w:hAnsi="宋体" w:eastAsia="宋体" w:cs="宋体"/>
                <w:b/>
                <w:bCs/>
                <w:sz w:val="24"/>
              </w:rPr>
              <w:t>《投标函》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（加盖电子签章，格式见招标文件第七章《投标文件相关格式》）；</w:t>
            </w:r>
          </w:p>
          <w:p>
            <w:pPr>
              <w:pStyle w:val="109"/>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textAlignment w:val="auto"/>
              <w:outlineLvl w:val="2"/>
              <w:rPr>
                <w:rFonts w:hint="eastAsia" w:ascii="宋体" w:hAnsi="宋体" w:eastAsia="宋体" w:cs="宋体"/>
                <w:b/>
                <w:bCs/>
                <w:sz w:val="24"/>
              </w:rPr>
            </w:pPr>
            <w:r>
              <w:rPr>
                <w:rFonts w:hint="eastAsia" w:ascii="宋体" w:hAnsi="宋体" w:cs="宋体"/>
                <w:b/>
                <w:bCs/>
                <w:sz w:val="24"/>
                <w:lang w:val="en-US" w:eastAsia="zh-CN"/>
              </w:rPr>
              <w:t>2.</w:t>
            </w:r>
            <w:r>
              <w:rPr>
                <w:rFonts w:hint="eastAsia" w:ascii="宋体" w:hAnsi="宋体" w:eastAsia="宋体" w:cs="宋体"/>
                <w:b/>
                <w:bCs/>
                <w:sz w:val="24"/>
              </w:rPr>
              <w:t>《授权委托书》</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（提供原件的扫描件，格式见招标文件第七章《投标文件相关格式》）；</w:t>
            </w:r>
          </w:p>
          <w:p>
            <w:pPr>
              <w:pStyle w:val="109"/>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3.所投产品的环境标志产品认证证书原件的扫描件（如有）。</w:t>
            </w:r>
          </w:p>
          <w:p>
            <w:pPr>
              <w:pStyle w:val="109"/>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2"/>
              <w:rPr>
                <w:rFonts w:hint="eastAsia" w:ascii="宋体" w:hAnsi="宋体" w:eastAsia="宋体" w:cs="宋体"/>
                <w:sz w:val="24"/>
              </w:rPr>
            </w:pPr>
            <w:r>
              <w:rPr>
                <w:rFonts w:hint="eastAsia" w:ascii="宋体" w:hAnsi="宋体" w:eastAsia="宋体" w:cs="宋体"/>
                <w:sz w:val="24"/>
              </w:rPr>
              <w:t>注：</w:t>
            </w:r>
          </w:p>
          <w:p>
            <w:pPr>
              <w:pStyle w:val="109"/>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Style w:val="109"/>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（2）环境标志产品认证证书是否符合要求，采购人评标时查询中国政府采购网（www.ccgp.gov.cn）相关内容后确定。</w:t>
            </w:r>
          </w:p>
          <w:p>
            <w:pPr>
              <w:pStyle w:val="109"/>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2"/>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b/>
                <w:bCs/>
                <w:sz w:val="24"/>
              </w:rPr>
              <w:t>所投产品的节能产品认证证书原件的扫描件（如有）。</w:t>
            </w:r>
          </w:p>
          <w:p>
            <w:pPr>
              <w:pStyle w:val="109"/>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2"/>
              <w:rPr>
                <w:rFonts w:hint="eastAsia" w:ascii="宋体" w:hAnsi="宋体" w:eastAsia="宋体" w:cs="宋体"/>
                <w:sz w:val="24"/>
              </w:rPr>
            </w:pPr>
            <w:r>
              <w:rPr>
                <w:rFonts w:hint="eastAsia" w:ascii="宋体" w:hAnsi="宋体" w:eastAsia="宋体" w:cs="宋体"/>
                <w:sz w:val="24"/>
              </w:rPr>
              <w:t>注：</w:t>
            </w:r>
          </w:p>
          <w:p>
            <w:pPr>
              <w:pStyle w:val="109"/>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2"/>
              <w:rPr>
                <w:rFonts w:hint="eastAsia" w:ascii="宋体" w:hAnsi="宋体" w:eastAsia="宋体" w:cs="宋体"/>
                <w:sz w:val="24"/>
              </w:rPr>
            </w:pPr>
            <w:r>
              <w:rPr>
                <w:rFonts w:hint="eastAsia" w:ascii="宋体" w:hAnsi="宋体" w:eastAsia="宋体" w:cs="宋体"/>
                <w:sz w:val="24"/>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Style w:val="110"/>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aps w:val="0"/>
                <w:sz w:val="24"/>
                <w:szCs w:val="24"/>
                <w:lang w:val="en-US" w:eastAsia="zh-CN" w:bidi="ar-SA"/>
              </w:rPr>
            </w:pPr>
            <w:r>
              <w:rPr>
                <w:rFonts w:hint="eastAsia" w:ascii="宋体" w:hAnsi="宋体" w:eastAsia="宋体" w:cs="宋体"/>
                <w:b w:val="0"/>
                <w:bCs w:val="0"/>
                <w:caps w:val="0"/>
                <w:sz w:val="24"/>
                <w:szCs w:val="24"/>
                <w:lang w:val="en-US" w:eastAsia="zh-CN" w:bidi="ar-SA"/>
              </w:rPr>
              <w:t>（2）节能产品认证证书是否符合要求，采购人评标时查询中国政府采购网（www.ccgp.gov.cn）相关内容后确定。</w:t>
            </w:r>
          </w:p>
          <w:p>
            <w:pPr>
              <w:pStyle w:val="109"/>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sz w:val="24"/>
                <w:highlight w:val="lightGray"/>
              </w:rPr>
            </w:pPr>
            <w:r>
              <w:rPr>
                <w:rFonts w:hint="eastAsia" w:ascii="宋体" w:hAnsi="宋体" w:eastAsia="宋体" w:cs="宋体"/>
                <w:b/>
                <w:sz w:val="24"/>
                <w:highlight w:val="lightGray"/>
              </w:rPr>
              <w:t>二、资格条件</w:t>
            </w:r>
            <w:r>
              <w:rPr>
                <w:rFonts w:hint="eastAsia" w:ascii="宋体" w:hAnsi="宋体" w:eastAsia="宋体" w:cs="宋体"/>
                <w:sz w:val="24"/>
                <w:highlight w:val="lightGray"/>
              </w:rPr>
              <w:t>（</w:t>
            </w:r>
            <w:r>
              <w:rPr>
                <w:rFonts w:hint="eastAsia" w:ascii="宋体" w:hAnsi="宋体" w:eastAsia="宋体" w:cs="宋体"/>
                <w:b/>
                <w:color w:val="000000" w:themeColor="text1"/>
                <w:sz w:val="24"/>
                <w:highlight w:val="lightGray"/>
                <w14:textFill>
                  <w14:solidFill>
                    <w14:schemeClr w14:val="tx1"/>
                  </w14:solidFill>
                </w14:textFill>
              </w:rPr>
              <w:t>1～7及9项必须提供，否则投标无效</w:t>
            </w:r>
            <w:r>
              <w:rPr>
                <w:rFonts w:hint="eastAsia" w:ascii="宋体" w:hAnsi="宋体" w:eastAsia="宋体" w:cs="宋体"/>
                <w:color w:val="000000" w:themeColor="text1"/>
                <w:sz w:val="24"/>
                <w:highlight w:val="lightGray"/>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投标人合法有效的法人或者其他组织的营业执照等证明文件，自然人的身份证明。</w:t>
            </w:r>
            <w:r>
              <w:rPr>
                <w:rFonts w:hint="eastAsia" w:ascii="宋体" w:hAnsi="宋体" w:eastAsia="宋体" w:cs="宋体"/>
                <w:color w:val="000000" w:themeColor="text1"/>
                <w:sz w:val="24"/>
                <w:lang w:val="en-US" w:eastAsia="zh-CN"/>
                <w14:textFill>
                  <w14:solidFill>
                    <w14:schemeClr w14:val="tx1"/>
                  </w14:solidFill>
                </w14:textFill>
              </w:rPr>
              <w:t>提供</w:t>
            </w:r>
            <w:r>
              <w:rPr>
                <w:rFonts w:hint="eastAsia" w:ascii="宋体" w:hAnsi="宋体" w:eastAsia="宋体" w:cs="宋体"/>
                <w:color w:val="000000" w:themeColor="text1"/>
                <w:sz w:val="24"/>
                <w14:textFill>
                  <w14:solidFill>
                    <w14:schemeClr w14:val="tx1"/>
                  </w14:solidFill>
                </w14:textFill>
              </w:rPr>
              <w:t>以上证明文件提供原件的扫描件。</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sz w:val="24"/>
              </w:rPr>
            </w:pPr>
            <w:r>
              <w:rPr>
                <w:rFonts w:hint="eastAsia" w:ascii="宋体" w:hAnsi="宋体" w:eastAsia="宋体" w:cs="宋体"/>
                <w:b/>
                <w:bCs/>
                <w:color w:val="000000" w:themeColor="text1"/>
                <w:sz w:val="24"/>
                <w14:textFill>
                  <w14:solidFill>
                    <w14:schemeClr w14:val="tx1"/>
                  </w14:solidFill>
                </w14:textFill>
              </w:rPr>
              <w:t>2.财务状况报告，</w:t>
            </w:r>
            <w:r>
              <w:rPr>
                <w:rFonts w:hint="eastAsia" w:ascii="宋体" w:hAnsi="宋体" w:eastAsia="宋体" w:cs="宋体"/>
                <w:color w:val="000000" w:themeColor="text1"/>
                <w:sz w:val="24"/>
                <w14:textFill>
                  <w14:solidFill>
                    <w14:schemeClr w14:val="tx1"/>
                  </w14:solidFill>
                </w14:textFill>
              </w:rPr>
              <w:t>至少提供：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（1）投标人的本项目开标时间前6个月内的资产负债表原件的扫描件1份；</w:t>
            </w:r>
          </w:p>
          <w:p>
            <w:pPr>
              <w:keepNext w:val="0"/>
              <w:keepLines w:val="0"/>
              <w:pageBreakBefore w:val="0"/>
              <w:kinsoku/>
              <w:wordWrap/>
              <w:overflowPunct/>
              <w:topLinePunct w:val="0"/>
              <w:autoSpaceDE/>
              <w:autoSpaceDN/>
              <w:bidi w:val="0"/>
              <w:adjustRightInd/>
              <w:snapToGrid/>
              <w:spacing w:line="360" w:lineRule="exact"/>
              <w:ind w:right="26"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（2）投标人的本项目开标时间前6个月内任何1月（不含开标当月）利润表月报表原件的扫描件1份。</w:t>
            </w:r>
          </w:p>
          <w:p>
            <w:pPr>
              <w:keepNext w:val="0"/>
              <w:keepLines w:val="0"/>
              <w:pageBreakBefore w:val="0"/>
              <w:kinsoku/>
              <w:wordWrap/>
              <w:overflowPunct/>
              <w:topLinePunct w:val="0"/>
              <w:autoSpaceDE/>
              <w:autoSpaceDN/>
              <w:bidi w:val="0"/>
              <w:adjustRightInd/>
              <w:snapToGrid/>
              <w:spacing w:line="360" w:lineRule="exact"/>
              <w:ind w:right="26"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themeColor="text1"/>
                <w:sz w:val="24"/>
                <w14:textFill>
                  <w14:solidFill>
                    <w14:schemeClr w14:val="tx1"/>
                  </w14:solidFill>
                </w14:textFill>
              </w:rPr>
              <w:t>3.投标人依法缴纳税收和社会保障资金的记录：</w:t>
            </w:r>
          </w:p>
          <w:p>
            <w:pPr>
              <w:keepNext w:val="0"/>
              <w:keepLines w:val="0"/>
              <w:pageBreakBefore w:val="0"/>
              <w:kinsoku/>
              <w:wordWrap/>
              <w:overflowPunct/>
              <w:topLinePunct w:val="0"/>
              <w:autoSpaceDE/>
              <w:autoSpaceDN/>
              <w:bidi w:val="0"/>
              <w:adjustRightInd/>
              <w:snapToGrid/>
              <w:spacing w:line="360" w:lineRule="exact"/>
              <w:ind w:right="26"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（1）本项目开标时间前6个月内任何1月的依法缴纳税收的相关材料原件的扫描件；</w:t>
            </w:r>
          </w:p>
          <w:p>
            <w:pPr>
              <w:keepNext w:val="0"/>
              <w:keepLines w:val="0"/>
              <w:pageBreakBefore w:val="0"/>
              <w:kinsoku/>
              <w:wordWrap/>
              <w:overflowPunct/>
              <w:topLinePunct w:val="0"/>
              <w:autoSpaceDE/>
              <w:autoSpaceDN/>
              <w:bidi w:val="0"/>
              <w:adjustRightInd/>
              <w:snapToGrid/>
              <w:spacing w:line="360" w:lineRule="exact"/>
              <w:ind w:right="26"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（2）本项目开标时间前6个月内任何1月的依法缴纳社会保障资金的相关材料原件的扫描件。</w:t>
            </w:r>
          </w:p>
          <w:p>
            <w:pPr>
              <w:keepNext w:val="0"/>
              <w:keepLines w:val="0"/>
              <w:pageBreakBefore w:val="0"/>
              <w:kinsoku/>
              <w:wordWrap/>
              <w:overflowPunct/>
              <w:topLinePunct w:val="0"/>
              <w:autoSpaceDE/>
              <w:autoSpaceDN/>
              <w:bidi w:val="0"/>
              <w:adjustRightInd/>
              <w:snapToGrid/>
              <w:spacing w:line="360" w:lineRule="exact"/>
              <w:ind w:right="26"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4.具备履行合同所必需的设备和专业技术能力的证明材料。</w:t>
            </w:r>
          </w:p>
          <w:p>
            <w:pPr>
              <w:keepNext w:val="0"/>
              <w:keepLines w:val="0"/>
              <w:pageBreakBefore w:val="0"/>
              <w:kinsoku/>
              <w:wordWrap/>
              <w:overflowPunct/>
              <w:topLinePunct w:val="0"/>
              <w:autoSpaceDE/>
              <w:autoSpaceDN/>
              <w:bidi w:val="0"/>
              <w:adjustRightInd/>
              <w:snapToGrid/>
              <w:spacing w:line="360" w:lineRule="exact"/>
              <w:ind w:right="26"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投标文件中提供《具备履行合同所必需的设备和专业技术能力的书面声明》（加盖电子签章，格式见招标文件第七章《投标文件相关格式》,所附证明材料可不加盖电子签章）。</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投标人参加政府采购活动前3年内在经营活动中没有重大违法记录的书面声明</w:t>
            </w:r>
            <w:r>
              <w:rPr>
                <w:rFonts w:hint="eastAsia" w:ascii="宋体" w:hAnsi="宋体" w:eastAsia="宋体" w:cs="宋体"/>
                <w:b/>
                <w:bCs/>
                <w:color w:val="000000" w:themeColor="text1"/>
                <w:sz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（加盖电子签章，格式见招标文件第七章《投标文件相关格式》）。</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right="26"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投标人关于单位负责人为同一人或者存在直接控股、管理关系的不同供应商，不得参加同一合同项下的政府采购活动的承诺</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26" w:righ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（加盖电子签章，格式见招标文件第七章《投标文件相关格式》）。</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right="26"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themeColor="text1"/>
                <w:sz w:val="24"/>
                <w14:textFill>
                  <w14:solidFill>
                    <w14:schemeClr w14:val="tx1"/>
                  </w14:solidFill>
                </w14:textFill>
              </w:rPr>
              <w:t>投标人不是为本采购项目提供整体设计、规范编制或者项目管理、监理、检测等服务的供应商的书面声明。</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26" w:righ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（加盖电子签章，格式见招标文件第七章《投标文件相关格式》）。</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right="26"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投标人信用信息</w:t>
            </w:r>
            <w:r>
              <w:rPr>
                <w:rFonts w:hint="eastAsia" w:ascii="宋体" w:hAnsi="宋体" w:eastAsia="宋体" w:cs="宋体"/>
                <w:b/>
                <w:bCs/>
                <w:color w:val="000000" w:themeColor="text1"/>
                <w:sz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26" w:righ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（要求见本章条款项号“17”内容）</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落实政府采购政策需满足的资格要求</w:t>
            </w:r>
            <w:r>
              <w:rPr>
                <w:rFonts w:hint="eastAsia" w:ascii="宋体" w:hAnsi="宋体" w:eastAsia="宋体" w:cs="宋体"/>
                <w:b/>
                <w:bCs/>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（1）投标人提供的货物全部由符合政策要求的中小企业承接的，提供《中小企业声明函》（加盖电子签章，格式见招标文件第七章《投标文件相关格式》）。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注：具体以《政府采购促进中小企业发展管理办法》（财库[2020]46号）和《关于印发中小企业划型标准规定的通知》（工信部联企业[2011]300号）的规定为准。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（2）投标人为监狱企业的，提供省级以上监狱管理局、戒毒管理局（含新疆生产建设兵团）出具的属于监狱企业的证明文件原件的扫描件。</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注：具体以《财政部 司法部关于政府采购支持监狱企业发展有关问题的通知》（财库〔2014〕68号）的规定为准。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（3）投标人为享受政府采购支持政策的残疾人福利性单位的，提供《残疾人福利性单位声明函》（加盖电子签章，格式见招标文件第七章《投标文件相关格式》）。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享受政府采购支持政策的残疾人福利性单位应当同时满足以下条件：</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①安置的残疾人占本单位在职职工人数的比例不低于25%（含25%），并且安置的残疾人人数不少于10人（含10人）；</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②依法与安置的每位残疾人签订了一年以上（含一年）的劳动合同或服务协议；</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③为安置的每位残疾人按月足额缴纳了基本养老保险、基本医疗保险、失业保险、工伤保险和生育保险等社会保险费；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④通过银行等金融机构向安置的每位残疾人，按月支付了不低于单位所在区县适用的经省级人民政府批准的月最低工资标准的工资；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9"/>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具体以《三部门联合发布关于促进残疾人就业政府采购政策的通知》（财库〔2017〕141号）规定为准。</w:t>
            </w:r>
          </w:p>
          <w:p>
            <w:pPr>
              <w:pStyle w:val="109"/>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sz w:val="24"/>
                <w:highlight w:val="lightGray"/>
              </w:rPr>
            </w:pPr>
            <w:r>
              <w:rPr>
                <w:rFonts w:hint="eastAsia" w:ascii="宋体" w:hAnsi="宋体" w:eastAsia="宋体" w:cs="宋体"/>
                <w:b/>
                <w:bCs w:val="0"/>
                <w:sz w:val="24"/>
                <w:highlight w:val="lightGray"/>
              </w:rPr>
              <w:t>三、符合条件</w:t>
            </w:r>
          </w:p>
          <w:p>
            <w:pPr>
              <w:pStyle w:val="109"/>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b/>
                <w:bCs/>
                <w:sz w:val="24"/>
              </w:rPr>
              <w:t>《开标一览表》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（加盖电子签章，政府采购客户端工具输入报价自动生成）；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b/>
                <w:sz w:val="24"/>
              </w:rPr>
              <w:t>必须提供，否则在符合性审查时按照投标无效处理）；</w:t>
            </w:r>
          </w:p>
          <w:p>
            <w:pPr>
              <w:pStyle w:val="109"/>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（加盖电子签章，格式见招标文件第七章《投标文件相关格式》）；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b/>
                <w:sz w:val="24"/>
              </w:rPr>
              <w:t>必须提供，否则在符合性审查时按照投标无效处理）；</w:t>
            </w:r>
          </w:p>
          <w:p>
            <w:pPr>
              <w:pStyle w:val="109"/>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3.《偏离表》</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（加盖电子签章，格式见招标文件第七章《投标文件相关格式》。</w:t>
            </w:r>
            <w:r>
              <w:rPr>
                <w:rFonts w:hint="eastAsia" w:ascii="宋体" w:hAnsi="宋体" w:eastAsia="宋体" w:cs="宋体"/>
                <w:sz w:val="24"/>
                <w:lang w:eastAsia="zh-CN"/>
              </w:rPr>
              <w:t>（</w:t>
            </w:r>
            <w:r>
              <w:rPr>
                <w:rFonts w:hint="eastAsia" w:ascii="宋体" w:hAnsi="宋体" w:eastAsia="宋体" w:cs="宋体"/>
                <w:b/>
                <w:sz w:val="24"/>
              </w:rPr>
              <w:t>必须提供，否则在符合性审查时按照投标无效处理）；</w:t>
            </w:r>
          </w:p>
          <w:p>
            <w:pPr>
              <w:keepNext w:val="0"/>
              <w:keepLines w:val="0"/>
              <w:pageBreakBefore w:val="0"/>
              <w:numPr>
                <w:ilvl w:val="0"/>
                <w:numId w:val="4"/>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sz w:val="24"/>
                <w:szCs w:val="24"/>
                <w:highlight w:val="lightGray"/>
                <w:lang w:val="en-US" w:eastAsia="zh-CN" w:bidi="ar-SA"/>
              </w:rPr>
            </w:pPr>
            <w:r>
              <w:rPr>
                <w:rFonts w:hint="eastAsia" w:ascii="宋体" w:hAnsi="宋体" w:eastAsia="宋体" w:cs="宋体"/>
                <w:b/>
                <w:bCs w:val="0"/>
                <w:sz w:val="24"/>
                <w:szCs w:val="24"/>
                <w:highlight w:val="lightGray"/>
                <w:lang w:val="en-US" w:eastAsia="zh-CN" w:bidi="ar-SA"/>
              </w:rPr>
              <w:t>商务部分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w:t>
            </w:r>
            <w:r>
              <w:rPr>
                <w:rFonts w:hint="eastAsia" w:ascii="宋体" w:hAnsi="宋体" w:eastAsia="宋体" w:cs="宋体"/>
                <w:sz w:val="24"/>
              </w:rPr>
              <w:t xml:space="preserve"> 产品评价（要求见招标文件第四章《评标标准》）；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 xml:space="preserve"> 项目实施方案（要求见招标文件第六章《采购需求》）；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 售后服务方案（要求见招标文件第六章《采购需求》）；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4、安全保障措施；</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sz w:val="24"/>
                <w:szCs w:val="24"/>
                <w:highlight w:val="lightGray"/>
                <w:lang w:val="en-US" w:eastAsia="zh-CN" w:bidi="ar-SA"/>
              </w:rPr>
            </w:pPr>
            <w:r>
              <w:rPr>
                <w:rFonts w:hint="eastAsia" w:ascii="宋体" w:hAnsi="宋体" w:eastAsia="宋体" w:cs="宋体"/>
                <w:b/>
                <w:bCs w:val="0"/>
                <w:sz w:val="24"/>
                <w:szCs w:val="24"/>
                <w:highlight w:val="lightGray"/>
                <w:lang w:val="en-US" w:eastAsia="zh-CN" w:bidi="ar-SA"/>
              </w:rPr>
              <w:t>五、技术部分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所投产品的技术规格（要求见招标文件第六章《采购需求》）；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注：</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1.投标人应对以上文件的合法性、真实性负责。</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rPr>
            </w:pPr>
            <w:r>
              <w:rPr>
                <w:rFonts w:hint="eastAsia" w:ascii="宋体" w:hAnsi="宋体" w:eastAsia="宋体" w:cs="宋体"/>
                <w:b/>
                <w:sz w:val="24"/>
              </w:rPr>
              <w:t>2.签订合同前，中标人必须向采购人提交其投标文件中所有文件的原件，采购人核查（核对）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19.</w:t>
            </w:r>
            <w:r>
              <w:rPr>
                <w:rFonts w:hint="eastAsia" w:ascii="宋体" w:hAnsi="宋体" w:eastAsia="宋体" w:cs="宋体"/>
                <w:sz w:val="24"/>
                <w:lang w:val="en-US" w:eastAsia="zh-CN"/>
              </w:rPr>
              <w:t>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投标人应当通过“苏采云”系统提交数据电文形式的投标文件（即电子投标）。</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特别说明：通过“苏采云”系统提交政府采购客户端工具导出加密的投标文件（后缀名为zip）。投标文件不得超过</w:t>
            </w:r>
            <w:r>
              <w:rPr>
                <w:rFonts w:hint="eastAsia" w:ascii="宋体" w:hAnsi="宋体" w:eastAsia="宋体" w:cs="宋体"/>
                <w:b/>
                <w:bCs/>
                <w:color w:val="000000" w:themeColor="text1"/>
                <w:sz w:val="24"/>
                <w14:textFill>
                  <w14:solidFill>
                    <w14:schemeClr w14:val="tx1"/>
                  </w14:solidFill>
                </w14:textFill>
              </w:rPr>
              <w:t>350M</w:t>
            </w: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19.</w:t>
            </w:r>
            <w:r>
              <w:rPr>
                <w:rFonts w:hint="eastAsia" w:ascii="宋体" w:hAnsi="宋体" w:eastAsia="宋体" w:cs="宋体"/>
                <w:sz w:val="24"/>
                <w:lang w:val="en-US" w:eastAsia="zh-CN"/>
              </w:rPr>
              <w:t>4</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rPr>
            </w:pPr>
            <w:r>
              <w:rPr>
                <w:rFonts w:hint="eastAsia" w:ascii="宋体" w:hAnsi="宋体" w:eastAsia="宋体" w:cs="宋体"/>
                <w:b/>
                <w:bCs/>
                <w:sz w:val="24"/>
              </w:rPr>
              <w:t>投标文件的退还</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投标文件不退还投标人，若采购人索取中标人的数据电文形式的投标文件的，须在双方签订政府采购合同后，由采购代理机构提供给采购人。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19.</w:t>
            </w:r>
            <w:r>
              <w:rPr>
                <w:rFonts w:hint="eastAsia" w:ascii="宋体" w:hAnsi="宋体" w:eastAsia="宋体" w:cs="宋体"/>
                <w:sz w:val="24"/>
                <w:lang w:val="en-US" w:eastAsia="zh-CN"/>
              </w:rPr>
              <w:t>5</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sz w:val="24"/>
              </w:rPr>
            </w:pPr>
            <w:r>
              <w:rPr>
                <w:rFonts w:hint="eastAsia" w:ascii="宋体" w:hAnsi="宋体" w:eastAsia="宋体" w:cs="宋体"/>
                <w:b/>
                <w:bCs/>
                <w:sz w:val="24"/>
              </w:rPr>
              <w:t>投标文件的密封、签署、盖章要求：</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一、投标文件的密封（加密）要求：</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投标人应当按照招标文件和电子招标投标交易平台的要求编制并加密投标文件。本项目投标人须通过电子招标投标交易平台（使用“CA数字证书”）对其数据电文形式的投标文件加密。</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二、投标文件的签署要求：见招标文件第七章《投标文件相关格式》。</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三、投标文件的盖章要求：见招标文件第三章《投标资料表》19.2和招标文件第七章《投标文件相关格式》。投标人须通过电子招标投标交易平台（使用“CA数字证书”）加盖电子签章。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r>
              <w:rPr>
                <w:rFonts w:hint="eastAsia" w:ascii="宋体" w:hAnsi="宋体" w:eastAsia="宋体" w:cs="宋体"/>
                <w:sz w:val="24"/>
              </w:rPr>
              <w:t>19.</w:t>
            </w:r>
            <w:r>
              <w:rPr>
                <w:rFonts w:hint="eastAsia" w:ascii="宋体" w:hAnsi="宋体" w:eastAsia="宋体" w:cs="宋体"/>
                <w:sz w:val="24"/>
                <w:lang w:val="en-US" w:eastAsia="zh-CN"/>
              </w:rPr>
              <w:t>6</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纸质投标文件的提供：</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FF0000"/>
                <w:sz w:val="24"/>
              </w:rPr>
            </w:pPr>
            <w:r>
              <w:rPr>
                <w:rFonts w:hint="eastAsia" w:ascii="宋体" w:hAnsi="宋体" w:eastAsia="宋体" w:cs="宋体"/>
                <w:b w:val="0"/>
                <w:bCs w:val="0"/>
                <w:sz w:val="24"/>
                <w:szCs w:val="24"/>
                <w:highlight w:val="none"/>
                <w:lang w:val="en-US" w:eastAsia="zh-CN"/>
              </w:rPr>
              <w:t>中标人在领取成交通知书前，须按照采购代理机构指定的时间和地点提交响应文件的纸质版本（需为上述电子资料的纸质版本）一正二副，电子版本一份（U盘形式提供），正本除按照磋商文件要求进行盖章外，其余每页均须加盖单位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19.</w:t>
            </w:r>
            <w:r>
              <w:rPr>
                <w:rFonts w:hint="eastAsia" w:ascii="宋体" w:hAnsi="宋体" w:eastAsia="宋体" w:cs="宋体"/>
                <w:sz w:val="24"/>
                <w:lang w:val="en-US" w:eastAsia="zh-CN"/>
              </w:rPr>
              <w:t>6</w:t>
            </w:r>
          </w:p>
        </w:tc>
        <w:tc>
          <w:tcPr>
            <w:tcW w:w="86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rPr>
            </w:pPr>
            <w:r>
              <w:rPr>
                <w:rFonts w:hint="eastAsia" w:ascii="宋体" w:hAnsi="宋体" w:eastAsia="宋体" w:cs="宋体"/>
                <w:sz w:val="24"/>
              </w:rPr>
              <w:t>投标人未按规定加密的投标文件，电子招标投标交易平台应当拒收并提示。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19.</w:t>
            </w:r>
            <w:r>
              <w:rPr>
                <w:rFonts w:hint="eastAsia" w:ascii="宋体" w:hAnsi="宋体" w:eastAsia="宋体" w:cs="宋体"/>
                <w:sz w:val="24"/>
                <w:lang w:val="en-US" w:eastAsia="zh-CN"/>
              </w:rPr>
              <w:t>7</w:t>
            </w:r>
          </w:p>
        </w:tc>
        <w:tc>
          <w:tcPr>
            <w:tcW w:w="86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投标人应当在投标截止时间前完成投标文件的传输递交，并可以补充、修改或者撤回投标文件。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补充、修改投标文件的，须先撤回投标文件，重新编制（即补充、修改）投标文件，在投标截止时间前完成投标文件的传输递交。</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投标截止时间前未完成投标文件传输的，视为撤回投标文件。投标截止时间后送达的投标文件，电子招标投标交易平台应当拒收。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苏采云”系统收到投标人送达的投标文件，即时向投标人发出确认回执通知（提示），并妥善保存投标文件。在投标截止时间前，除投标人补充、修改或者撤回投标文件外，任何单位和个人不得解密、提取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21</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7030A0"/>
                <w:sz w:val="24"/>
                <w:lang w:eastAsia="zh-CN"/>
              </w:rPr>
            </w:pPr>
            <w:r>
              <w:rPr>
                <w:rFonts w:hint="eastAsia" w:ascii="宋体" w:hAnsi="宋体" w:eastAsia="宋体" w:cs="宋体"/>
                <w:b/>
                <w:bCs/>
                <w:color w:val="7030A0"/>
                <w:sz w:val="24"/>
              </w:rPr>
              <w:t>投标截止时间：</w:t>
            </w:r>
            <w:r>
              <w:rPr>
                <w:rFonts w:hint="eastAsia" w:ascii="宋体" w:hAnsi="宋体" w:cs="宋体"/>
                <w:b/>
                <w:bCs/>
                <w:color w:val="7030A0"/>
                <w:sz w:val="24"/>
                <w:lang w:eastAsia="zh-CN"/>
              </w:rPr>
              <w:t>2022年12月07日09点00分</w:t>
            </w:r>
            <w:r>
              <w:rPr>
                <w:rFonts w:hint="eastAsia" w:ascii="宋体" w:hAnsi="宋体" w:eastAsia="宋体" w:cs="宋体"/>
                <w:b/>
                <w:bCs/>
                <w:color w:val="7030A0"/>
                <w:sz w:val="24"/>
              </w:rPr>
              <w:t>（标准时间）</w:t>
            </w:r>
            <w:r>
              <w:rPr>
                <w:rFonts w:hint="eastAsia" w:ascii="宋体" w:hAnsi="宋体" w:cs="宋体"/>
                <w:b/>
                <w:bCs/>
                <w:color w:val="7030A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eastAsia="宋体" w:cs="宋体"/>
                <w:sz w:val="24"/>
                <w:lang w:val="en-US" w:eastAsia="zh-CN"/>
              </w:rPr>
              <w:t>1</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投标文件的递交：</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1.投标文件递交截止时间</w:t>
            </w:r>
            <w:r>
              <w:rPr>
                <w:rFonts w:hint="eastAsia" w:ascii="宋体" w:hAnsi="宋体" w:eastAsia="宋体" w:cs="宋体"/>
                <w:b/>
                <w:bCs/>
                <w:color w:val="auto"/>
                <w:sz w:val="24"/>
              </w:rPr>
              <w:t>：</w:t>
            </w:r>
            <w:r>
              <w:rPr>
                <w:rFonts w:hint="eastAsia" w:ascii="宋体" w:hAnsi="宋体" w:cs="宋体"/>
                <w:b/>
                <w:bCs/>
                <w:color w:val="7030A0"/>
                <w:sz w:val="24"/>
                <w:lang w:eastAsia="zh-CN"/>
              </w:rPr>
              <w:t>2022年12月07日09点00分</w:t>
            </w:r>
            <w:r>
              <w:rPr>
                <w:rFonts w:hint="eastAsia" w:ascii="宋体" w:hAnsi="宋体" w:eastAsia="宋体" w:cs="宋体"/>
                <w:b/>
                <w:bCs/>
                <w:color w:val="7030A0"/>
                <w:sz w:val="24"/>
              </w:rPr>
              <w:t>（标准时间）。</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2.递交：投标人应当通过电子招标投标交易平台递交数据电文形式的投标文件（即电子投标）。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22.2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样品接收地点：睢宁县公共资源交易中心（睢宁县政务服务中心4楼）</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sz w:val="24"/>
                <w:lang w:val="en-US" w:eastAsia="zh-CN"/>
              </w:rPr>
            </w:pPr>
            <w:r>
              <w:rPr>
                <w:rFonts w:hint="eastAsia" w:ascii="宋体" w:hAnsi="宋体" w:eastAsia="宋体" w:cs="宋体"/>
                <w:b/>
                <w:bCs/>
                <w:sz w:val="24"/>
                <w:lang w:val="en-US" w:eastAsia="zh-CN"/>
              </w:rPr>
              <w:t>样品接收联系电话：</w:t>
            </w:r>
            <w:r>
              <w:rPr>
                <w:rFonts w:hint="eastAsia" w:ascii="宋体" w:hAnsi="宋体" w:eastAsia="宋体" w:cs="宋体"/>
                <w:sz w:val="24"/>
                <w:lang w:val="en-US" w:eastAsia="zh-CN"/>
              </w:rPr>
              <w:t>13813462621</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sz w:val="24"/>
                <w:lang w:val="en-US" w:eastAsia="zh-CN"/>
              </w:rPr>
            </w:pPr>
            <w:r>
              <w:rPr>
                <w:rFonts w:hint="eastAsia" w:ascii="宋体" w:hAnsi="宋体" w:eastAsia="宋体" w:cs="宋体"/>
                <w:b/>
                <w:bCs/>
                <w:sz w:val="24"/>
                <w:lang w:val="en-US" w:eastAsia="zh-CN"/>
              </w:rPr>
              <w:t>样品接收开始时间：</w:t>
            </w:r>
            <w:r>
              <w:rPr>
                <w:rFonts w:hint="eastAsia" w:ascii="宋体" w:hAnsi="宋体" w:cs="宋体"/>
                <w:b/>
                <w:bCs/>
                <w:color w:val="7030A0"/>
                <w:sz w:val="24"/>
                <w:lang w:eastAsia="zh-CN"/>
              </w:rPr>
              <w:t>2022年12月</w:t>
            </w:r>
            <w:r>
              <w:rPr>
                <w:rFonts w:hint="eastAsia" w:ascii="宋体" w:hAnsi="宋体" w:cs="宋体"/>
                <w:b/>
                <w:bCs/>
                <w:color w:val="7030A0"/>
                <w:sz w:val="24"/>
                <w:lang w:val="en-US" w:eastAsia="zh-CN"/>
              </w:rPr>
              <w:t>07</w:t>
            </w:r>
            <w:r>
              <w:rPr>
                <w:rFonts w:hint="eastAsia" w:ascii="宋体" w:hAnsi="宋体" w:cs="宋体"/>
                <w:b/>
                <w:bCs/>
                <w:color w:val="7030A0"/>
                <w:sz w:val="24"/>
                <w:lang w:eastAsia="zh-CN"/>
              </w:rPr>
              <w:t>日0</w:t>
            </w:r>
            <w:r>
              <w:rPr>
                <w:rFonts w:hint="eastAsia" w:ascii="宋体" w:hAnsi="宋体" w:cs="宋体"/>
                <w:b/>
                <w:bCs/>
                <w:color w:val="7030A0"/>
                <w:sz w:val="24"/>
                <w:lang w:val="en-US" w:eastAsia="zh-CN"/>
              </w:rPr>
              <w:t>8</w:t>
            </w:r>
            <w:r>
              <w:rPr>
                <w:rFonts w:hint="eastAsia" w:ascii="宋体" w:hAnsi="宋体" w:cs="宋体"/>
                <w:b/>
                <w:bCs/>
                <w:color w:val="7030A0"/>
                <w:sz w:val="24"/>
                <w:lang w:eastAsia="zh-CN"/>
              </w:rPr>
              <w:t>点00分</w:t>
            </w:r>
            <w:r>
              <w:rPr>
                <w:rFonts w:hint="eastAsia" w:ascii="宋体" w:hAnsi="宋体" w:eastAsia="宋体" w:cs="宋体"/>
                <w:sz w:val="24"/>
                <w:lang w:val="en-US" w:eastAsia="zh-CN"/>
              </w:rPr>
              <w:t>；</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sz w:val="24"/>
                <w:lang w:val="en-US" w:eastAsia="zh-CN"/>
              </w:rPr>
            </w:pPr>
            <w:r>
              <w:rPr>
                <w:rFonts w:hint="eastAsia" w:ascii="宋体" w:hAnsi="宋体" w:eastAsia="宋体" w:cs="宋体"/>
                <w:b/>
                <w:bCs/>
                <w:sz w:val="24"/>
                <w:lang w:val="en-US" w:eastAsia="zh-CN"/>
              </w:rPr>
              <w:t>样品接收截止时间：</w:t>
            </w:r>
            <w:r>
              <w:rPr>
                <w:rFonts w:hint="eastAsia" w:ascii="宋体" w:hAnsi="宋体" w:cs="宋体"/>
                <w:b/>
                <w:bCs/>
                <w:color w:val="7030A0"/>
                <w:sz w:val="24"/>
                <w:lang w:eastAsia="zh-CN"/>
              </w:rPr>
              <w:t>2022年12月07日09点00分</w:t>
            </w:r>
            <w:r>
              <w:rPr>
                <w:rFonts w:hint="eastAsia" w:ascii="宋体" w:hAnsi="宋体" w:eastAsia="宋体" w:cs="宋体"/>
                <w:sz w:val="24"/>
                <w:lang w:val="en-US"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提供样品的标识：</w:t>
            </w:r>
            <w:r>
              <w:rPr>
                <w:rFonts w:hint="eastAsia" w:ascii="宋体" w:hAnsi="宋体" w:eastAsia="宋体" w:cs="宋体"/>
                <w:sz w:val="24"/>
              </w:rPr>
              <w:t>所有样品应当注明</w:t>
            </w:r>
            <w:r>
              <w:rPr>
                <w:rFonts w:hint="eastAsia" w:ascii="宋体" w:hAnsi="宋体" w:eastAsia="宋体" w:cs="宋体"/>
                <w:b/>
                <w:bCs/>
                <w:sz w:val="24"/>
              </w:rPr>
              <w:t>样品名称、投标人名称、项目编号。</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注：</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1.样品递交授权委托人与参与开标的授权委托人不得为同一人；</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2.样品递交人进入睢宁县公共资源交易中心4楼递交样品时，需提供①授权委托书②出示健康码、行程码、48小时核酸检测证明方可进入中心4楼③招标文件要求提供的相关证明文件的原件。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3.参与开标的授权委托人任意选择具备进入“苏采云”开标大厅的环境参与开评标交互。</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4.请各供应商及时关注当地防疫政策，及时调整自己的出行计划，未在规定时间内递交样品及相关资料均视为自动放弃本次投标。</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.投标人需自行搬运样品，样品摆放位置由</w:t>
            </w:r>
            <w:r>
              <w:rPr>
                <w:rFonts w:hint="eastAsia" w:ascii="宋体" w:hAnsi="宋体" w:eastAsia="宋体" w:cs="宋体"/>
                <w:sz w:val="24"/>
                <w:lang w:val="en-US" w:eastAsia="zh-CN"/>
              </w:rPr>
              <w:t>睢宁县公共资源交易中心</w:t>
            </w:r>
            <w:r>
              <w:rPr>
                <w:rFonts w:hint="eastAsia" w:ascii="宋体" w:hAnsi="宋体" w:eastAsia="宋体" w:cs="宋体"/>
                <w:sz w:val="24"/>
              </w:rPr>
              <w:t>指定。</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.投标人自行提供保护措施</w:t>
            </w:r>
            <w:r>
              <w:rPr>
                <w:rFonts w:hint="eastAsia" w:ascii="宋体" w:hAnsi="宋体" w:eastAsia="宋体" w:cs="宋体"/>
                <w:sz w:val="24"/>
                <w:lang w:eastAsia="zh-CN"/>
              </w:rPr>
              <w:t>，</w:t>
            </w:r>
            <w:r>
              <w:rPr>
                <w:rFonts w:hint="eastAsia" w:ascii="宋体" w:hAnsi="宋体" w:eastAsia="宋体" w:cs="宋体"/>
                <w:sz w:val="24"/>
                <w:lang w:val="en-US" w:eastAsia="zh-CN"/>
              </w:rPr>
              <w:t>如因保护措施原因导致样品损坏，后果自负；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r>
              <w:rPr>
                <w:rFonts w:hint="eastAsia" w:ascii="宋体" w:hAnsi="宋体" w:eastAsia="宋体" w:cs="宋体"/>
                <w:sz w:val="24"/>
              </w:rPr>
              <w:t>23</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rPr>
            </w:pPr>
            <w:r>
              <w:rPr>
                <w:rFonts w:hint="eastAsia" w:ascii="宋体" w:hAnsi="宋体" w:eastAsia="宋体" w:cs="宋体"/>
                <w:sz w:val="24"/>
              </w:rPr>
              <w:t>招标文件对本项目分包的规定：采购人不允许采用分包方式履行合同。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r>
              <w:rPr>
                <w:rFonts w:hint="eastAsia" w:ascii="宋体" w:hAnsi="宋体" w:eastAsia="宋体" w:cs="宋体"/>
                <w:sz w:val="24"/>
              </w:rPr>
              <w:t>24</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lang w:val="en-US" w:eastAsia="zh-CN"/>
              </w:rPr>
            </w:pPr>
            <w:r>
              <w:rPr>
                <w:rFonts w:hint="eastAsia" w:ascii="宋体" w:hAnsi="宋体" w:eastAsia="宋体" w:cs="宋体"/>
                <w:sz w:val="24"/>
              </w:rPr>
              <w:t>采购人根据采购项目技术构成、产品价格比重等确定核心产品：</w:t>
            </w:r>
            <w:r>
              <w:rPr>
                <w:rFonts w:hint="eastAsia" w:ascii="宋体" w:hAnsi="宋体" w:eastAsia="宋体" w:cs="宋体"/>
                <w:b/>
                <w:bCs w:val="0"/>
                <w:color w:val="auto"/>
                <w:sz w:val="24"/>
              </w:rPr>
              <w:t>教室灯、</w:t>
            </w:r>
            <w:r>
              <w:rPr>
                <w:rFonts w:hint="eastAsia" w:ascii="宋体" w:hAnsi="宋体" w:eastAsia="宋体" w:cs="宋体"/>
                <w:b/>
                <w:bCs w:val="0"/>
                <w:color w:val="auto"/>
                <w:sz w:val="24"/>
                <w:lang w:val="en-US" w:eastAsia="zh-CN"/>
              </w:rPr>
              <w:t>黑板灯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562" w:firstLineChars="200"/>
              <w:jc w:val="center"/>
              <w:textAlignment w:val="auto"/>
              <w:rPr>
                <w:rFonts w:hint="eastAsia" w:ascii="宋体" w:hAnsi="宋体" w:eastAsia="宋体" w:cs="宋体"/>
                <w:sz w:val="24"/>
              </w:rPr>
            </w:pPr>
            <w:r>
              <w:rPr>
                <w:rFonts w:hint="eastAsia" w:ascii="宋体" w:hAnsi="宋体" w:eastAsia="宋体" w:cs="宋体"/>
                <w:b/>
                <w:bCs/>
                <w:sz w:val="28"/>
                <w:szCs w:val="28"/>
              </w:rPr>
              <w:t>四、开标、评标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25</w:t>
            </w:r>
          </w:p>
        </w:tc>
        <w:tc>
          <w:tcPr>
            <w:tcW w:w="8648" w:type="dxa"/>
            <w:tcBorders>
              <w:top w:val="single" w:color="auto" w:sz="4" w:space="0"/>
              <w:left w:val="single" w:color="auto" w:sz="4" w:space="0"/>
              <w:bottom w:val="single" w:color="auto" w:sz="4" w:space="0"/>
              <w:right w:val="single" w:color="auto" w:sz="4" w:space="0"/>
            </w:tcBorders>
          </w:tcPr>
          <w:p>
            <w:pPr>
              <w:pStyle w:val="109"/>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bCs/>
                <w:sz w:val="24"/>
              </w:rPr>
            </w:pPr>
            <w:r>
              <w:rPr>
                <w:rFonts w:hint="eastAsia" w:ascii="宋体" w:hAnsi="宋体" w:eastAsia="宋体" w:cs="宋体"/>
                <w:b/>
                <w:bCs/>
                <w:sz w:val="24"/>
              </w:rPr>
              <w:t>开标时间及地点：</w:t>
            </w:r>
          </w:p>
          <w:p>
            <w:pPr>
              <w:pStyle w:val="109"/>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default" w:ascii="宋体" w:hAnsi="宋体" w:eastAsia="宋体" w:cs="宋体"/>
                <w:color w:val="FF0000"/>
                <w:sz w:val="24"/>
                <w:lang w:val="en-US"/>
              </w:rPr>
            </w:pPr>
            <w:r>
              <w:rPr>
                <w:rFonts w:hint="eastAsia" w:ascii="宋体" w:hAnsi="宋体" w:eastAsia="宋体" w:cs="宋体"/>
                <w:sz w:val="24"/>
              </w:rPr>
              <w:t>1.开标时间：</w:t>
            </w:r>
            <w:r>
              <w:rPr>
                <w:rFonts w:hint="eastAsia" w:ascii="宋体" w:hAnsi="宋体" w:cs="宋体"/>
                <w:b/>
                <w:bCs/>
                <w:color w:val="7030A0"/>
                <w:sz w:val="24"/>
                <w:szCs w:val="24"/>
                <w:lang w:val="en-US" w:eastAsia="zh-CN" w:bidi="ar-SA"/>
              </w:rPr>
              <w:t>2022年12月07日09点00分</w:t>
            </w:r>
            <w:r>
              <w:rPr>
                <w:rFonts w:hint="eastAsia" w:ascii="宋体" w:hAnsi="宋体" w:eastAsia="宋体" w:cs="宋体"/>
                <w:b/>
                <w:bCs/>
                <w:color w:val="7030A0"/>
                <w:sz w:val="24"/>
                <w:szCs w:val="24"/>
                <w:lang w:val="en-US" w:eastAsia="zh-CN" w:bidi="ar-SA"/>
              </w:rPr>
              <w:t>；</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2.开标地点：“苏采云”系统（网址：</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http://jszfcg.jsczt.cn/）“开标大厅”或进入徐州政府采购网（网址：http://czj.xz.gov.cn/Home/HomeIndex）--业务工作--用户登录，点击“苏采云”进入系统“开标大厅”。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26.</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开标时，“苏采云”系统自动提取所有投标文件，投标人按招标文件规定方式按时在线解密。本项目招标文件规定的投标人按时在线解密方式：开标时间后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30分钟内，通过“苏采云”系统（使用“CA数字证书”）解密。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所有投标人解密（或解密时间）结束后，应当向所有投标人公布投标人名称、投标价格和招标文件规定的其他内容。本项目招标文件规定的需要宣布的内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容：投标人名称和投标价格；本项目招标文件规定的其他内容：无。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“苏采云”系统生成开标记录并向社会公众公布，但依法应当保密的除外。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26.1</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“苏采云”系统生成开标记录并向社会公众公布后6分钟内，投标人通过“苏采云”系统（使用“CA数字证书”）确认开标过程。在以上时间内投标人没有确认的，视同该投标人认可开标结果。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26.</w:t>
            </w:r>
            <w:r>
              <w:rPr>
                <w:rFonts w:hint="eastAsia" w:ascii="宋体" w:hAnsi="宋体" w:eastAsia="宋体" w:cs="宋体"/>
                <w:sz w:val="24"/>
                <w:lang w:val="en-US" w:eastAsia="zh-CN"/>
              </w:rPr>
              <w:t>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因投标人原因造成投标文件未解密的，视为撤销其投标文件;因投标人之外的原因造成投标文件未解密的，视为撤回其投标文件，投标人有权要求责任方（如责任方为电子招标投标交易平台，电子招标投标交易平台免责）赔偿因此遭受的直接损失。部分投标文件未解密的，其他投标文件的开标可以继续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26.</w:t>
            </w:r>
            <w:r>
              <w:rPr>
                <w:rFonts w:hint="eastAsia" w:ascii="宋体" w:hAnsi="宋体" w:eastAsia="宋体" w:cs="宋体"/>
                <w:sz w:val="24"/>
                <w:lang w:val="en-US" w:eastAsia="zh-CN"/>
              </w:rPr>
              <w:t>3</w:t>
            </w:r>
          </w:p>
        </w:tc>
        <w:tc>
          <w:tcPr>
            <w:tcW w:w="8648" w:type="dxa"/>
            <w:tcBorders>
              <w:top w:val="single" w:color="auto" w:sz="4" w:space="0"/>
              <w:left w:val="single" w:color="auto" w:sz="4" w:space="0"/>
              <w:bottom w:val="single" w:color="auto" w:sz="4" w:space="0"/>
              <w:right w:val="single" w:color="auto" w:sz="4" w:space="0"/>
            </w:tcBorders>
          </w:tcPr>
          <w:p>
            <w:pPr>
              <w:pStyle w:val="37"/>
              <w:keepNext w:val="0"/>
              <w:keepLines w:val="0"/>
              <w:pageBreakBefore w:val="0"/>
              <w:shd w:val="clear" w:color="auto" w:fill="FFFFFF"/>
              <w:kinsoku/>
              <w:wordWrap/>
              <w:overflowPunct/>
              <w:topLinePunct w:val="0"/>
              <w:autoSpaceDE/>
              <w:autoSpaceDN/>
              <w:bidi w:val="0"/>
              <w:adjustRightInd w:val="0"/>
              <w:spacing w:before="0" w:beforeAutospacing="0" w:after="0" w:afterAutospacing="0" w:line="360" w:lineRule="exact"/>
              <w:ind w:firstLine="480" w:firstLineChars="200"/>
              <w:textAlignment w:val="auto"/>
              <w:rPr>
                <w:rFonts w:hint="eastAsia" w:ascii="宋体" w:hAnsi="宋体" w:eastAsia="宋体" w:cs="宋体"/>
              </w:rPr>
            </w:pPr>
            <w:r>
              <w:rPr>
                <w:rFonts w:hint="eastAsia" w:ascii="宋体" w:hAnsi="宋体" w:eastAsia="宋体" w:cs="宋体"/>
              </w:rPr>
              <w:t>投标文件解密失败的补救方案:无。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1.评标中需要投标人对投标文件澄清或者说明的，应当通过电子招标投标交易平台交换数据电文。在评标期间，请投标人保持在线。</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2.对于投标文件中含义不明确、同类问题表述不一致或者有明显文字和计算错误的内容，评标委员会通过电子招标投标交易平台形式要求投标人作出必要的澄清、说明或者补正，并规定回复时间。</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投标人的澄清、说明或者补正应当采用通过电子招标投标交易平台（使用“CA数字证书”,加盖电子签章）形式。投标人没有在规定的回复时间内作出必要的澄清、说明或者补正，评标委员会将认为投标人拒绝作出必要的澄清、说明或者补正，并承担相应的后果和法律责任。</w:t>
            </w:r>
          </w:p>
          <w:p>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特别说明：“苏采云”系统通过“江苏省政府采购一体化不见面开标大厅</w:t>
            </w:r>
            <w:r>
              <w:rPr>
                <w:rFonts w:hint="eastAsia" w:ascii="宋体" w:hAnsi="宋体" w:eastAsia="宋体" w:cs="宋体"/>
                <w:b/>
                <w:bCs/>
                <w:sz w:val="24"/>
              </w:rPr>
              <w:t>”</w:t>
            </w:r>
            <w:r>
              <w:rPr>
                <w:rFonts w:hint="eastAsia" w:ascii="宋体" w:hAnsi="宋体" w:eastAsia="宋体" w:cs="宋体"/>
                <w:b/>
                <w:sz w:val="24"/>
              </w:rPr>
              <w:t>提醒投标人。投标人自行查看，投标人因自身原因不及时查看导致没收到信息，“苏采云”系统不承担任何责任。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28</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投标人的</w:t>
            </w:r>
            <w:r>
              <w:rPr>
                <w:rFonts w:hint="eastAsia" w:ascii="宋体" w:hAnsi="宋体" w:eastAsia="宋体" w:cs="宋体"/>
                <w:bCs/>
                <w:sz w:val="24"/>
              </w:rPr>
              <w:t>样品与投标文件中同类问题表述不一致的，</w:t>
            </w:r>
            <w:r>
              <w:rPr>
                <w:rFonts w:hint="eastAsia" w:ascii="宋体" w:hAnsi="宋体" w:eastAsia="宋体" w:cs="宋体"/>
                <w:sz w:val="24"/>
              </w:rPr>
              <w:t>评标委员会不以书面形式要求投标人作出必要的澄清、说明或者补正，评标委员分别对其进行比较与评价，分别评分。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29</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rPr>
            </w:pPr>
            <w:r>
              <w:rPr>
                <w:rFonts w:hint="eastAsia" w:ascii="宋体" w:hAnsi="宋体" w:eastAsia="宋体" w:cs="宋体"/>
                <w:b/>
                <w:bCs/>
                <w:sz w:val="28"/>
                <w:szCs w:val="28"/>
                <w:highlight w:val="lightGray"/>
              </w:rPr>
              <w:t>本项目的评标方法：综合评分法。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30</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评标委员会认为投标人的报价明显低于其他通过符合性审查投标人的报价，有可能影响产品质量或者不能诚信履约的，应当要求其在评标现场合理的时间内通过电子招标投标交易平台（使用“CA数字证书”,加盖电子签章）提供书面说明，必要时提交相关证明材料；投标人不能证明其报价合理性的，评标委员会应当将其作为无效投标处理。</w:t>
            </w:r>
          </w:p>
          <w:p>
            <w:pPr>
              <w:pStyle w:val="109"/>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评标委员会认为投标人的报价明显低于其他通过符合性审查投标人的报价，有可能影响产品质量或者不能诚信履约的，应当要求其在评标现场合理的时间内通过“苏采云”系统（使用“CA数字证书”,加盖电子签章）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sz w:val="24"/>
              </w:rPr>
            </w:pPr>
            <w:r>
              <w:rPr>
                <w:rFonts w:hint="eastAsia" w:ascii="宋体" w:hAnsi="宋体" w:eastAsia="宋体" w:cs="宋体"/>
                <w:b/>
                <w:sz w:val="24"/>
              </w:rPr>
              <w:t>特别说明：“苏采云”系统通过“江苏省政府采购一体化不见面开标大厅</w:t>
            </w:r>
            <w:r>
              <w:rPr>
                <w:rFonts w:hint="eastAsia" w:ascii="宋体" w:hAnsi="宋体" w:eastAsia="宋体" w:cs="宋体"/>
                <w:b/>
                <w:bCs/>
                <w:sz w:val="24"/>
              </w:rPr>
              <w:t>”</w:t>
            </w:r>
            <w:r>
              <w:rPr>
                <w:rFonts w:hint="eastAsia" w:ascii="宋体" w:hAnsi="宋体" w:eastAsia="宋体" w:cs="宋体"/>
                <w:b/>
                <w:sz w:val="24"/>
              </w:rPr>
              <w:t>提醒投标人。投标人自行查看，投标人因自身原因不及时查看导致没收到信息，“苏采云”系统不承担任何责任。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562" w:firstLineChars="200"/>
              <w:jc w:val="center"/>
              <w:textAlignment w:val="auto"/>
              <w:rPr>
                <w:rFonts w:hint="eastAsia" w:ascii="宋体" w:hAnsi="宋体" w:eastAsia="宋体" w:cs="宋体"/>
                <w:sz w:val="24"/>
              </w:rPr>
            </w:pPr>
            <w:r>
              <w:rPr>
                <w:rFonts w:hint="eastAsia" w:ascii="宋体" w:hAnsi="宋体" w:eastAsia="宋体" w:cs="宋体"/>
                <w:b/>
                <w:bCs/>
                <w:sz w:val="28"/>
                <w:szCs w:val="28"/>
              </w:rPr>
              <w:t>五、中标和合同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31</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中标候选人并列的，招标文件规定的确定中标人方式：</w:t>
            </w:r>
          </w:p>
          <w:p>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一、确定人：采购人。</w:t>
            </w:r>
          </w:p>
          <w:p>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二、确定中标人方式：</w:t>
            </w:r>
          </w:p>
          <w:p>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按照以下顺序确定中标人：</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推荐中标候选供应商名单</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中标候选供应商数量应当根据采购需要</w:t>
            </w:r>
            <w:r>
              <w:rPr>
                <w:rFonts w:hint="eastAsia" w:ascii="宋体" w:hAnsi="宋体" w:eastAsia="宋体" w:cs="宋体"/>
                <w:b w:val="0"/>
                <w:bCs w:val="0"/>
                <w:color w:val="auto"/>
                <w:sz w:val="24"/>
                <w:lang w:val="en-US" w:eastAsia="zh-CN"/>
              </w:rPr>
              <w:t>每标段</w:t>
            </w:r>
            <w:r>
              <w:rPr>
                <w:rFonts w:hint="eastAsia" w:ascii="宋体" w:hAnsi="宋体" w:cs="宋体"/>
                <w:b w:val="0"/>
                <w:bCs w:val="0"/>
                <w:color w:val="auto"/>
                <w:sz w:val="24"/>
                <w:lang w:val="en-US" w:eastAsia="zh-CN"/>
              </w:rPr>
              <w:t>分别</w:t>
            </w:r>
            <w:r>
              <w:rPr>
                <w:rFonts w:hint="eastAsia" w:ascii="宋体" w:hAnsi="宋体" w:eastAsia="宋体" w:cs="宋体"/>
                <w:b w:val="0"/>
                <w:bCs w:val="0"/>
                <w:color w:val="auto"/>
                <w:sz w:val="24"/>
                <w:lang w:val="en-US" w:eastAsia="zh-CN"/>
              </w:rPr>
              <w:t>推荐一名中标候选人。</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b w:val="0"/>
                <w:bCs w:val="0"/>
                <w:color w:val="auto"/>
                <w:sz w:val="24"/>
                <w:lang w:eastAsia="zh-CN"/>
              </w:rPr>
              <w:t>各供应商可以同时参与三个标段的投标，但按评标的先后顺序只能中一个标段，且同一品牌只能中一个标段。</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b w:val="0"/>
                <w:bCs w:val="0"/>
                <w:color w:val="auto"/>
                <w:sz w:val="24"/>
              </w:rPr>
            </w:pPr>
            <w:r>
              <w:rPr>
                <w:rFonts w:hint="eastAsia" w:ascii="宋体" w:hAnsi="宋体" w:cs="宋体"/>
                <w:b w:val="0"/>
                <w:bCs w:val="0"/>
                <w:color w:val="auto"/>
                <w:sz w:val="24"/>
                <w:lang w:eastAsia="zh-CN"/>
              </w:rPr>
              <w:t>开标、评标先后顺序为：第一标段、第二标段、第三标段</w:t>
            </w:r>
            <w:r>
              <w:rPr>
                <w:rFonts w:hint="eastAsia" w:ascii="宋体" w:hAnsi="宋体" w:eastAsia="宋体" w:cs="宋体"/>
                <w:b w:val="0"/>
                <w:bCs w:val="0"/>
                <w:color w:val="auto"/>
                <w:sz w:val="24"/>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同时参与多个标段投标的供应商，如前一标段中标，</w:t>
            </w:r>
            <w:r>
              <w:rPr>
                <w:rFonts w:hint="eastAsia" w:ascii="宋体" w:hAnsi="宋体" w:eastAsia="宋体" w:cs="宋体"/>
                <w:b w:val="0"/>
                <w:bCs w:val="0"/>
                <w:color w:val="auto"/>
                <w:sz w:val="24"/>
                <w:lang w:val="en-US" w:eastAsia="zh-CN"/>
              </w:rPr>
              <w:t>仍需</w:t>
            </w:r>
            <w:r>
              <w:rPr>
                <w:rFonts w:hint="eastAsia" w:ascii="宋体" w:hAnsi="宋体" w:eastAsia="宋体" w:cs="宋体"/>
                <w:b w:val="0"/>
                <w:bCs w:val="0"/>
                <w:color w:val="auto"/>
                <w:sz w:val="24"/>
              </w:rPr>
              <w:t>参与下一标段的评标，否则所有投标、中标均无效。</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b w:val="0"/>
                <w:bCs w:val="0"/>
                <w:color w:val="auto"/>
                <w:sz w:val="24"/>
              </w:rPr>
              <w:t>2.采用综合评分法的，按评审后得分由高到低顺序排列。得分相同的，按投标报价由低到高顺序排列。</w:t>
            </w:r>
            <w:r>
              <w:rPr>
                <w:rFonts w:hint="eastAsia" w:ascii="宋体" w:hAnsi="宋体" w:eastAsia="宋体" w:cs="宋体"/>
                <w:sz w:val="24"/>
              </w:rPr>
              <w:t>得分且投标报价相同的，按所投产品的技术规格得分顺序排列，得分且投标报价且所投产品的技术规格得分均相同的，按</w:t>
            </w:r>
            <w:r>
              <w:rPr>
                <w:rFonts w:hint="eastAsia" w:ascii="宋体" w:hAnsi="宋体" w:cs="宋体"/>
                <w:sz w:val="24"/>
                <w:lang w:val="en-US" w:eastAsia="zh-CN"/>
              </w:rPr>
              <w:t>项目实施方案</w:t>
            </w:r>
            <w:r>
              <w:rPr>
                <w:rFonts w:hint="eastAsia" w:ascii="宋体" w:hAnsi="宋体" w:eastAsia="宋体" w:cs="宋体"/>
                <w:sz w:val="24"/>
              </w:rPr>
              <w:t>得分顺序排列。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32</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确定中标人后，通过“苏采云”系统以数据电文形式向未中标人发出中标结果通知书或通</w:t>
            </w:r>
            <w:bookmarkStart w:id="5" w:name="_GoBack"/>
            <w:bookmarkEnd w:id="5"/>
            <w:r>
              <w:rPr>
                <w:rFonts w:hint="eastAsia" w:ascii="宋体" w:hAnsi="宋体" w:eastAsia="宋体" w:cs="宋体"/>
                <w:b/>
                <w:sz w:val="24"/>
              </w:rPr>
              <w:t>过其他必要的方式以其他形式告知未中标人其评审结果。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33</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在公告中标结果的同时，依法必须进行招标的项目中标结果在“苏采云”系统进行公示和公布。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34</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特别说明：</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按照《政府采购法》及其实施条例以及相关规定，中标或者成交后无正当理由拒不与采购人签订政府采购合同的, 在一至三年内禁止参加政府采购活动，列入政府采购严重违法失信行为记录名单。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562" w:firstLineChars="200"/>
              <w:jc w:val="center"/>
              <w:textAlignment w:val="auto"/>
              <w:rPr>
                <w:rFonts w:hint="eastAsia" w:ascii="宋体" w:hAnsi="宋体" w:eastAsia="宋体" w:cs="宋体"/>
                <w:sz w:val="24"/>
              </w:rPr>
            </w:pPr>
            <w:r>
              <w:rPr>
                <w:rFonts w:hint="eastAsia" w:ascii="宋体" w:hAnsi="宋体" w:eastAsia="宋体" w:cs="宋体"/>
                <w:b/>
                <w:bCs/>
                <w:sz w:val="28"/>
                <w:szCs w:val="28"/>
              </w:rPr>
              <w:t>六、询问和质疑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35</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sz w:val="24"/>
              </w:rPr>
              <w:t>根据</w:t>
            </w:r>
            <w:r>
              <w:rPr>
                <w:rFonts w:hint="eastAsia" w:ascii="宋体" w:hAnsi="宋体" w:eastAsia="宋体" w:cs="宋体"/>
                <w:color w:val="auto"/>
                <w:sz w:val="24"/>
                <w:lang w:val="en-US" w:eastAsia="zh-CN"/>
              </w:rPr>
              <w:t>江苏润轩项目管理有限公司</w:t>
            </w:r>
            <w:r>
              <w:rPr>
                <w:rFonts w:hint="eastAsia" w:ascii="宋体" w:hAnsi="宋体" w:eastAsia="宋体" w:cs="宋体"/>
                <w:color w:val="auto"/>
                <w:sz w:val="24"/>
              </w:rPr>
              <w:t>与睢宁县教育局签订的本采购项目的《委托代理协议》，供应商对政府采购活动事项有疑问的，向睢宁县教育局提出询问；供应商认为</w:t>
            </w:r>
            <w:r>
              <w:rPr>
                <w:rFonts w:hint="eastAsia" w:ascii="宋体" w:hAnsi="宋体" w:cs="宋体"/>
                <w:color w:val="auto"/>
                <w:sz w:val="24"/>
                <w:lang w:eastAsia="zh-CN"/>
              </w:rPr>
              <w:t>招标文件</w:t>
            </w:r>
            <w:r>
              <w:rPr>
                <w:rFonts w:hint="eastAsia" w:ascii="宋体" w:hAnsi="宋体" w:eastAsia="宋体" w:cs="宋体"/>
                <w:color w:val="auto"/>
                <w:sz w:val="24"/>
              </w:rPr>
              <w:t>、采购过程和中标、成交结果使自己的权益受到损害的，可以在知道或者应知其权益受到损害之日起七个工作日内，以书面形式向睢宁县教育局提出质疑。询问和质疑由睢宁县教育局依法处理。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2.供应商在法定质疑期内一次性提出针对同一采购程序环节的质疑。</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3.质疑函</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接收质疑函的方式：供应商直接送交或供应商通过EMS邮寄</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联系部门： 睢宁县教育局</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 0516-80376816</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通讯地址： 睢宁县乐园路1号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rPr>
            </w:pPr>
            <w:r>
              <w:rPr>
                <w:rFonts w:hint="eastAsia" w:ascii="宋体" w:hAnsi="宋体" w:eastAsia="宋体" w:cs="宋体"/>
                <w:bCs/>
                <w:sz w:val="24"/>
              </w:rPr>
              <w:t>附加说明</w:t>
            </w:r>
          </w:p>
        </w:tc>
        <w:tc>
          <w:tcPr>
            <w:tcW w:w="8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ind w:firstLine="480" w:firstLineChars="200"/>
              <w:textAlignment w:val="auto"/>
              <w:rPr>
                <w:rFonts w:hint="eastAsia" w:ascii="宋体" w:hAnsi="宋体" w:eastAsia="宋体" w:cs="宋体"/>
                <w:sz w:val="24"/>
              </w:rPr>
            </w:pPr>
          </w:p>
        </w:tc>
      </w:tr>
    </w:tbl>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ascii="宋体" w:hAnsi="宋体" w:eastAsia="宋体" w:cs="宋体"/>
          <w:b/>
          <w:color w:val="000000"/>
          <w:sz w:val="30"/>
        </w:rPr>
      </w:pPr>
    </w:p>
    <w:p>
      <w:pPr>
        <w:pStyle w:val="18"/>
        <w:rPr>
          <w:rFonts w:hint="eastAsia" w:ascii="宋体" w:hAnsi="宋体" w:eastAsia="宋体" w:cs="宋体"/>
          <w:b/>
          <w:color w:val="000000"/>
          <w:sz w:val="30"/>
        </w:rPr>
      </w:pPr>
    </w:p>
    <w:p>
      <w:pPr>
        <w:rPr>
          <w:rFonts w:hint="eastAsia"/>
        </w:rPr>
      </w:pPr>
    </w:p>
    <w:p>
      <w:pPr>
        <w:rPr>
          <w:rFonts w:hint="eastAsia" w:ascii="宋体" w:hAnsi="宋体" w:eastAsia="宋体" w:cs="宋体"/>
          <w:b/>
          <w:color w:val="000000"/>
          <w:sz w:val="30"/>
        </w:rPr>
      </w:pPr>
    </w:p>
    <w:p>
      <w:pPr>
        <w:pStyle w:val="18"/>
        <w:rPr>
          <w:rFonts w:hint="eastAsia"/>
        </w:rPr>
      </w:pPr>
    </w:p>
    <w:p>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eastAsia="宋体" w:cs="宋体"/>
          <w:sz w:val="30"/>
          <w:szCs w:val="30"/>
        </w:rPr>
      </w:pPr>
      <w:r>
        <w:rPr>
          <w:rFonts w:hint="eastAsia" w:ascii="宋体" w:hAnsi="宋体" w:eastAsia="宋体" w:cs="宋体"/>
          <w:b/>
          <w:color w:val="000000"/>
          <w:sz w:val="30"/>
        </w:rPr>
        <w:t>第四章 评标标准（标段一、标段二、标段三）</w:t>
      </w:r>
    </w:p>
    <w:tbl>
      <w:tblPr>
        <w:tblStyle w:val="42"/>
        <w:tblW w:w="4832"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2"/>
        <w:gridCol w:w="1111"/>
        <w:gridCol w:w="896"/>
        <w:gridCol w:w="737"/>
        <w:gridCol w:w="488"/>
        <w:gridCol w:w="53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98" w:type="pct"/>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3901" w:type="pct"/>
            <w:gridSpan w:val="4"/>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评审因素细化和量化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15"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价格部分（30分）</w:t>
            </w:r>
          </w:p>
        </w:tc>
        <w:tc>
          <w:tcPr>
            <w:tcW w:w="583" w:type="pct"/>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价格（ 30分）</w:t>
            </w:r>
          </w:p>
        </w:tc>
        <w:tc>
          <w:tcPr>
            <w:tcW w:w="3901" w:type="pct"/>
            <w:gridSpan w:val="4"/>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综合评分法中的价格分统一采用低价优先法，报价能满足招标要求且报价最低的报价为评审基准价，其价格分为满分，其他投标人的价格分统一按照下列公式计算：</w:t>
            </w:r>
          </w:p>
          <w:p>
            <w:pPr>
              <w:rPr>
                <w:rFonts w:hint="eastAsia" w:ascii="宋体" w:hAnsi="宋体" w:eastAsia="宋体" w:cs="宋体"/>
                <w:color w:val="auto"/>
                <w:sz w:val="24"/>
                <w:szCs w:val="24"/>
              </w:rPr>
            </w:pPr>
            <w:r>
              <w:rPr>
                <w:rFonts w:hint="eastAsia" w:ascii="宋体" w:hAnsi="宋体" w:eastAsia="宋体" w:cs="宋体"/>
                <w:color w:val="auto"/>
                <w:sz w:val="24"/>
                <w:szCs w:val="24"/>
              </w:rPr>
              <w:t>报价得分=（评审基准价/</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rPr>
              <w:t>投标人</w:t>
            </w:r>
            <w:r>
              <w:rPr>
                <w:rFonts w:hint="eastAsia" w:ascii="宋体" w:hAnsi="宋体" w:cs="宋体"/>
                <w:color w:val="auto"/>
                <w:sz w:val="24"/>
                <w:szCs w:val="24"/>
                <w:lang w:val="en-US" w:eastAsia="zh-CN"/>
              </w:rPr>
              <w:t>评审价格</w:t>
            </w:r>
            <w:r>
              <w:rPr>
                <w:rFonts w:hint="eastAsia" w:ascii="宋体" w:hAnsi="宋体" w:eastAsia="宋体" w:cs="宋体"/>
                <w:color w:val="auto"/>
                <w:sz w:val="24"/>
                <w:szCs w:val="24"/>
              </w:rPr>
              <w:t>）×价格权数（30</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rPr>
              <w:t>）</w:t>
            </w:r>
          </w:p>
          <w:p>
            <w:pPr>
              <w:rPr>
                <w:rFonts w:hint="eastAsia"/>
              </w:rPr>
            </w:pPr>
            <w:r>
              <w:rPr>
                <w:rFonts w:hint="eastAsia" w:ascii="宋体" w:hAnsi="宋体" w:eastAsia="宋体" w:cs="宋体"/>
                <w:color w:val="auto"/>
                <w:sz w:val="24"/>
                <w:szCs w:val="24"/>
              </w:rPr>
              <w:t>各投标人评审价格=《开标一览表》中的“总价”-《分项价格表》中的“小型和微型企业或残疾人福利性单位或监狱企业”合计*10%。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40" w:hRule="atLeast"/>
          <w:jc w:val="center"/>
        </w:trPr>
        <w:tc>
          <w:tcPr>
            <w:tcW w:w="515" w:type="pct"/>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技术部分（40分）</w:t>
            </w:r>
          </w:p>
        </w:tc>
        <w:tc>
          <w:tcPr>
            <w:tcW w:w="583" w:type="pct"/>
            <w:tcBorders>
              <w:bottom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所投产品的技术规格</w:t>
            </w:r>
            <w:r>
              <w:rPr>
                <w:rFonts w:hint="eastAsia" w:ascii="宋体" w:hAnsi="宋体" w:eastAsia="宋体" w:cs="宋体"/>
                <w:bCs/>
                <w:sz w:val="24"/>
                <w:szCs w:val="24"/>
              </w:rPr>
              <w:t>（25分）</w:t>
            </w:r>
          </w:p>
        </w:tc>
        <w:tc>
          <w:tcPr>
            <w:tcW w:w="3901" w:type="pct"/>
            <w:gridSpan w:val="4"/>
            <w:tcBorders>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基本分为17分。</w:t>
            </w:r>
          </w:p>
          <w:p>
            <w:pPr>
              <w:rPr>
                <w:rFonts w:hint="eastAsia" w:ascii="宋体" w:hAnsi="宋体" w:eastAsia="宋体" w:cs="宋体"/>
                <w:color w:val="auto"/>
                <w:sz w:val="24"/>
                <w:szCs w:val="24"/>
              </w:rPr>
            </w:pPr>
            <w:r>
              <w:rPr>
                <w:rFonts w:hint="eastAsia" w:ascii="宋体" w:hAnsi="宋体" w:eastAsia="宋体" w:cs="宋体"/>
                <w:color w:val="auto"/>
                <w:sz w:val="24"/>
                <w:szCs w:val="24"/>
              </w:rPr>
              <w:t>对投标文件中《所投产品的技术规格》进行评价。</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1.完全符合招标文件第六章《采购需求》要求的，得基本分17分；</w:t>
            </w:r>
          </w:p>
          <w:p>
            <w:pPr>
              <w:rPr>
                <w:rFonts w:hint="eastAsia" w:ascii="宋体" w:hAnsi="宋体" w:eastAsia="宋体" w:cs="宋体"/>
                <w:color w:val="auto"/>
                <w:sz w:val="24"/>
                <w:szCs w:val="24"/>
              </w:rPr>
            </w:pPr>
            <w:r>
              <w:rPr>
                <w:rFonts w:hint="eastAsia" w:ascii="宋体" w:hAnsi="宋体" w:eastAsia="宋体" w:cs="宋体"/>
                <w:color w:val="auto"/>
                <w:sz w:val="24"/>
                <w:szCs w:val="24"/>
              </w:rPr>
              <w:t>每一项“重要响应指标”不满足或负偏离的，从基本分中减2分。扣完为止。</w:t>
            </w:r>
          </w:p>
          <w:p>
            <w:pPr>
              <w:rPr>
                <w:rFonts w:hint="eastAsia" w:ascii="宋体" w:hAnsi="宋体" w:eastAsia="宋体" w:cs="宋体"/>
                <w:color w:val="auto"/>
                <w:sz w:val="24"/>
                <w:szCs w:val="24"/>
              </w:rPr>
            </w:pPr>
            <w:r>
              <w:rPr>
                <w:rFonts w:hint="eastAsia" w:ascii="宋体" w:hAnsi="宋体" w:eastAsia="宋体" w:cs="宋体"/>
                <w:color w:val="auto"/>
                <w:sz w:val="24"/>
                <w:szCs w:val="24"/>
              </w:rPr>
              <w:t>每一项“非重要响应指标”不满足或负偏离的，从基本分中减1分。扣完为止。</w:t>
            </w:r>
          </w:p>
          <w:p>
            <w:pPr>
              <w:rPr>
                <w:rFonts w:hint="eastAsia" w:ascii="宋体" w:hAnsi="宋体" w:eastAsia="宋体" w:cs="宋体"/>
                <w:color w:val="auto"/>
                <w:sz w:val="24"/>
                <w:szCs w:val="24"/>
              </w:rPr>
            </w:pPr>
            <w:r>
              <w:rPr>
                <w:rFonts w:hint="eastAsia" w:ascii="宋体" w:hAnsi="宋体" w:eastAsia="宋体" w:cs="宋体"/>
                <w:color w:val="auto"/>
                <w:sz w:val="24"/>
                <w:szCs w:val="24"/>
              </w:rPr>
              <w:t>2.所投教室灯、黑板灯均满足15000小时或以上时间的显色指数为Ra＞90、R9＞50的加1分，25000小时或以上时间的显色指数为Ra＞90、R9＞50的加2分。</w:t>
            </w:r>
          </w:p>
          <w:p>
            <w:pPr>
              <w:rPr>
                <w:rFonts w:hint="eastAsia" w:ascii="宋体" w:hAnsi="宋体" w:eastAsia="宋体" w:cs="宋体"/>
                <w:color w:val="auto"/>
                <w:sz w:val="24"/>
                <w:szCs w:val="24"/>
              </w:rPr>
            </w:pPr>
            <w:r>
              <w:rPr>
                <w:rFonts w:hint="eastAsia" w:ascii="宋体" w:hAnsi="宋体" w:eastAsia="宋体" w:cs="宋体"/>
                <w:color w:val="auto"/>
                <w:sz w:val="24"/>
                <w:szCs w:val="24"/>
              </w:rPr>
              <w:t>3.所投教室灯、黑板灯均满足15000小时或以上时间的光通维持率＞92%的加1分；25000小时或以上时间的光通维持率＞92%的加2分。</w:t>
            </w:r>
          </w:p>
          <w:p>
            <w:pPr>
              <w:rPr>
                <w:rFonts w:hint="eastAsia" w:ascii="宋体" w:hAnsi="宋体" w:eastAsia="宋体" w:cs="宋体"/>
                <w:color w:val="auto"/>
                <w:sz w:val="24"/>
                <w:szCs w:val="24"/>
              </w:rPr>
            </w:pPr>
            <w:r>
              <w:rPr>
                <w:rFonts w:hint="eastAsia" w:ascii="宋体" w:hAnsi="宋体" w:eastAsia="宋体" w:cs="宋体"/>
                <w:color w:val="auto"/>
                <w:sz w:val="24"/>
                <w:szCs w:val="24"/>
              </w:rPr>
              <w:t>4.所投教室灯、黑板灯均满足15000小时或以上时间的色温（或相关色温）为4300-5300K的加1分，25000小时或以上时间的色温（或相关色温）为4300-5300K的加2分。</w:t>
            </w:r>
          </w:p>
          <w:p>
            <w:pPr>
              <w:rPr>
                <w:rFonts w:hint="eastAsia" w:ascii="宋体" w:hAnsi="宋体" w:eastAsia="宋体" w:cs="宋体"/>
                <w:color w:val="auto"/>
                <w:sz w:val="24"/>
                <w:szCs w:val="24"/>
              </w:rPr>
            </w:pPr>
            <w:r>
              <w:rPr>
                <w:rFonts w:hint="eastAsia" w:ascii="宋体" w:hAnsi="宋体" w:eastAsia="宋体" w:cs="宋体"/>
                <w:color w:val="auto"/>
                <w:sz w:val="24"/>
                <w:szCs w:val="24"/>
              </w:rPr>
              <w:t>5.所投教室灯、黑板灯防护等级≥IP42的加2分, IP40&lt;防护等级&lt;IP42的不加分。</w:t>
            </w:r>
          </w:p>
          <w:p>
            <w:pPr>
              <w:rPr>
                <w:rFonts w:hint="eastAsia" w:ascii="宋体" w:hAnsi="宋体" w:eastAsia="宋体" w:cs="宋体"/>
                <w:color w:val="auto"/>
                <w:sz w:val="24"/>
                <w:szCs w:val="24"/>
              </w:rPr>
            </w:pPr>
            <w:r>
              <w:rPr>
                <w:rFonts w:hint="eastAsia" w:ascii="宋体" w:hAnsi="宋体" w:eastAsia="宋体" w:cs="宋体"/>
                <w:color w:val="auto"/>
                <w:sz w:val="24"/>
                <w:szCs w:val="24"/>
              </w:rPr>
              <w:t>本项最高得25分，最低得0分。</w:t>
            </w:r>
          </w:p>
          <w:p>
            <w:pPr>
              <w:rPr>
                <w:rFonts w:hint="eastAsia" w:ascii="宋体" w:hAnsi="宋体" w:eastAsia="宋体" w:cs="宋体"/>
                <w:sz w:val="24"/>
                <w:szCs w:val="24"/>
              </w:rPr>
            </w:pPr>
            <w:r>
              <w:rPr>
                <w:rFonts w:hint="eastAsia" w:ascii="宋体" w:hAnsi="宋体" w:eastAsia="宋体" w:cs="宋体"/>
                <w:sz w:val="24"/>
                <w:szCs w:val="24"/>
              </w:rPr>
              <w:t>说明：“重要响应指标”、“非重要响应指标”相关要求和说明见招标文件第六章《采购需求》。</w:t>
            </w:r>
          </w:p>
          <w:p>
            <w:pPr>
              <w:autoSpaceDE w:val="0"/>
              <w:autoSpaceDN w:val="0"/>
              <w:adjustRightInd w:val="0"/>
              <w:snapToGrid w:val="0"/>
              <w:spacing w:line="360" w:lineRule="exact"/>
              <w:jc w:val="left"/>
              <w:rPr>
                <w:rFonts w:hint="eastAsia" w:ascii="宋体" w:hAnsi="宋体" w:eastAsia="宋体" w:cs="宋体"/>
                <w:b/>
                <w:color w:val="FF0000"/>
                <w:sz w:val="24"/>
                <w:szCs w:val="24"/>
              </w:rPr>
            </w:pPr>
            <w:r>
              <w:rPr>
                <w:rFonts w:hint="eastAsia" w:ascii="宋体" w:hAnsi="宋体" w:eastAsia="宋体" w:cs="宋体"/>
                <w:sz w:val="24"/>
                <w:szCs w:val="24"/>
              </w:rPr>
              <w:t>投标文件中提供以上加分指标的国家法定认证机构出具的认证证书或第三方检测机构出具的封面带有CMA、ILAC-MRA及CNAS标识的检测报告原件的扫描件，同时须提供国家认监委查询证明及所引用检测依据的检测能力范围证明扫描件。（报告上明确标明检测依据的规范标准、产品图片、检验检测数据等，标注的所检测产品型号，与所投产品规格型号一致。检测报告备注起始时间,不接受加速测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restart"/>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样品（15分）</w:t>
            </w:r>
          </w:p>
        </w:tc>
        <w:tc>
          <w:tcPr>
            <w:tcW w:w="857" w:type="pct"/>
            <w:gridSpan w:val="2"/>
            <w:tcBorders>
              <w:top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结构稳定性、安全性（4分）</w:t>
            </w:r>
          </w:p>
        </w:tc>
        <w:tc>
          <w:tcPr>
            <w:tcW w:w="3043" w:type="pct"/>
            <w:gridSpan w:val="2"/>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对样品的结构稳定性、安全性进行评价，符合招标文件第六章《采购需求》要求的得4分，符合性较低的得1-3分，不符合的得0分。</w:t>
            </w:r>
          </w:p>
          <w:p>
            <w:pPr>
              <w:rPr>
                <w:rFonts w:hint="eastAsia" w:ascii="宋体" w:hAnsi="宋体" w:eastAsia="宋体" w:cs="宋体"/>
                <w:sz w:val="24"/>
                <w:szCs w:val="24"/>
              </w:rPr>
            </w:pPr>
            <w:r>
              <w:rPr>
                <w:rFonts w:hint="eastAsia" w:ascii="宋体" w:hAnsi="宋体" w:eastAsia="宋体" w:cs="宋体"/>
                <w:sz w:val="24"/>
                <w:szCs w:val="24"/>
              </w:rPr>
              <w:t>本项最高得4分，最低得0分。</w:t>
            </w:r>
          </w:p>
          <w:p>
            <w:pPr>
              <w:rPr>
                <w:rFonts w:hint="eastAsia" w:ascii="宋体" w:hAnsi="宋体" w:eastAsia="宋体" w:cs="宋体"/>
                <w:sz w:val="24"/>
                <w:szCs w:val="24"/>
              </w:rPr>
            </w:pPr>
            <w:r>
              <w:rPr>
                <w:rFonts w:hint="eastAsia" w:ascii="宋体" w:hAnsi="宋体" w:eastAsia="宋体" w:cs="宋体"/>
                <w:sz w:val="24"/>
                <w:szCs w:val="24"/>
              </w:rPr>
              <w:t>未提供样品或样品提供不全的不得分。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6"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jc w:val="center"/>
              <w:rPr>
                <w:rFonts w:hint="eastAsia" w:ascii="宋体" w:hAnsi="宋体" w:eastAsia="宋体" w:cs="宋体"/>
                <w:sz w:val="24"/>
                <w:szCs w:val="24"/>
              </w:rPr>
            </w:pPr>
          </w:p>
        </w:tc>
        <w:tc>
          <w:tcPr>
            <w:tcW w:w="857" w:type="pct"/>
            <w:gridSpan w:val="2"/>
            <w:tcBorders>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工艺（4分）</w:t>
            </w:r>
          </w:p>
        </w:tc>
        <w:tc>
          <w:tcPr>
            <w:tcW w:w="3043" w:type="pct"/>
            <w:gridSpan w:val="2"/>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对样品的工艺进行评价，符合招标文件第六章《采购需求》要求的得4分，符合性较低的得1-3分，不符合的得0分。</w:t>
            </w:r>
          </w:p>
          <w:p>
            <w:pPr>
              <w:rPr>
                <w:rFonts w:hint="eastAsia" w:ascii="宋体" w:hAnsi="宋体" w:eastAsia="宋体" w:cs="宋体"/>
                <w:sz w:val="24"/>
                <w:szCs w:val="24"/>
              </w:rPr>
            </w:pPr>
            <w:r>
              <w:rPr>
                <w:rFonts w:hint="eastAsia" w:ascii="宋体" w:hAnsi="宋体" w:eastAsia="宋体" w:cs="宋体"/>
                <w:sz w:val="24"/>
                <w:szCs w:val="24"/>
              </w:rPr>
              <w:t>本项最高得4分，最低得0分。</w:t>
            </w:r>
          </w:p>
          <w:p>
            <w:pPr>
              <w:rPr>
                <w:rFonts w:hint="eastAsia" w:ascii="宋体" w:hAnsi="宋体" w:eastAsia="宋体" w:cs="宋体"/>
                <w:sz w:val="24"/>
                <w:szCs w:val="24"/>
              </w:rPr>
            </w:pPr>
            <w:r>
              <w:rPr>
                <w:rFonts w:hint="eastAsia" w:ascii="宋体" w:hAnsi="宋体" w:eastAsia="宋体" w:cs="宋体"/>
                <w:sz w:val="24"/>
                <w:szCs w:val="24"/>
              </w:rPr>
              <w:t>未提供样品或样品提供不全的不得分。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jc w:val="center"/>
              <w:rPr>
                <w:rFonts w:hint="eastAsia" w:ascii="宋体" w:hAnsi="宋体" w:eastAsia="宋体" w:cs="宋体"/>
                <w:sz w:val="24"/>
                <w:szCs w:val="24"/>
              </w:rPr>
            </w:pPr>
          </w:p>
        </w:tc>
        <w:tc>
          <w:tcPr>
            <w:tcW w:w="857" w:type="pct"/>
            <w:gridSpan w:val="2"/>
            <w:tcBorders>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外观设计、材质（3分）</w:t>
            </w:r>
          </w:p>
        </w:tc>
        <w:tc>
          <w:tcPr>
            <w:tcW w:w="3043" w:type="pct"/>
            <w:gridSpan w:val="2"/>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对样品的外观设计、材质进行评价，符合招标文件第六章《采购需求》要求的得3分，符合性较低的得1-2分，不符合的得0分。</w:t>
            </w:r>
          </w:p>
          <w:p>
            <w:pPr>
              <w:rPr>
                <w:rFonts w:hint="eastAsia" w:ascii="宋体" w:hAnsi="宋体" w:eastAsia="宋体" w:cs="宋体"/>
                <w:sz w:val="24"/>
                <w:szCs w:val="24"/>
              </w:rPr>
            </w:pPr>
            <w:r>
              <w:rPr>
                <w:rFonts w:hint="eastAsia" w:ascii="宋体" w:hAnsi="宋体" w:eastAsia="宋体" w:cs="宋体"/>
                <w:sz w:val="24"/>
                <w:szCs w:val="24"/>
              </w:rPr>
              <w:t>本项最高得3分，最低得0分。</w:t>
            </w:r>
          </w:p>
          <w:p>
            <w:pPr>
              <w:rPr>
                <w:rFonts w:hint="eastAsia" w:ascii="宋体" w:hAnsi="宋体" w:eastAsia="宋体" w:cs="宋体"/>
                <w:sz w:val="24"/>
                <w:szCs w:val="24"/>
              </w:rPr>
            </w:pPr>
            <w:r>
              <w:rPr>
                <w:rFonts w:hint="eastAsia" w:ascii="宋体" w:hAnsi="宋体" w:eastAsia="宋体" w:cs="宋体"/>
                <w:sz w:val="24"/>
                <w:szCs w:val="24"/>
              </w:rPr>
              <w:t>未提供样品或样品提供不全的不得分。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jc w:val="center"/>
              <w:rPr>
                <w:rFonts w:hint="eastAsia" w:ascii="宋体" w:hAnsi="宋体" w:eastAsia="宋体" w:cs="宋体"/>
                <w:sz w:val="24"/>
                <w:szCs w:val="24"/>
              </w:rPr>
            </w:pPr>
          </w:p>
        </w:tc>
        <w:tc>
          <w:tcPr>
            <w:tcW w:w="857" w:type="pct"/>
            <w:gridSpan w:val="2"/>
            <w:tcBorders>
              <w:top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配光设计（4分）</w:t>
            </w:r>
          </w:p>
        </w:tc>
        <w:tc>
          <w:tcPr>
            <w:tcW w:w="3043" w:type="pct"/>
            <w:gridSpan w:val="2"/>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对配光设计方面进行评价。</w:t>
            </w:r>
          </w:p>
          <w:p>
            <w:pPr>
              <w:rPr>
                <w:rFonts w:hint="eastAsia" w:ascii="宋体" w:hAnsi="宋体" w:eastAsia="宋体" w:cs="宋体"/>
                <w:sz w:val="24"/>
                <w:szCs w:val="24"/>
              </w:rPr>
            </w:pPr>
            <w:r>
              <w:rPr>
                <w:rFonts w:hint="eastAsia" w:ascii="宋体" w:hAnsi="宋体" w:eastAsia="宋体" w:cs="宋体"/>
                <w:sz w:val="24"/>
                <w:szCs w:val="24"/>
              </w:rPr>
              <w:t>配光设计（4分）各角度观看无明显亮暗偏差，视觉舒适性高，黑板灯出光柔和，人眼不应看到 LED 灯珠，直视时无明显刺眼的感觉的得4分；各角度观看有亮暗偏差，视觉舒适性较高，黑板灯出光较不柔和，人眼能看到 LED 灯珠，直视时有稍微刺眼感觉的得1-3分。各角度观看有亮暗偏差，视觉舒适性不高，黑板灯出光不柔和，人眼能看到 LED 灯珠，直视时有明显刺眼感觉的得0分。</w:t>
            </w:r>
          </w:p>
          <w:p>
            <w:pPr>
              <w:rPr>
                <w:rFonts w:hint="eastAsia" w:ascii="宋体" w:hAnsi="宋体" w:eastAsia="宋体" w:cs="宋体"/>
                <w:sz w:val="24"/>
                <w:szCs w:val="24"/>
              </w:rPr>
            </w:pPr>
            <w:r>
              <w:rPr>
                <w:rFonts w:hint="eastAsia" w:ascii="宋体" w:hAnsi="宋体" w:eastAsia="宋体" w:cs="宋体"/>
                <w:sz w:val="24"/>
                <w:szCs w:val="24"/>
              </w:rPr>
              <w:t>本项最高得4分，最低得0分。</w:t>
            </w:r>
          </w:p>
          <w:p>
            <w:pPr>
              <w:rPr>
                <w:rFonts w:hint="eastAsia" w:ascii="宋体" w:hAnsi="宋体" w:eastAsia="宋体" w:cs="宋体"/>
                <w:sz w:val="24"/>
                <w:szCs w:val="24"/>
              </w:rPr>
            </w:pPr>
            <w:r>
              <w:rPr>
                <w:rFonts w:hint="eastAsia" w:ascii="宋体" w:hAnsi="宋体" w:eastAsia="宋体" w:cs="宋体"/>
                <w:sz w:val="24"/>
                <w:szCs w:val="24"/>
              </w:rPr>
              <w:t>未提供样品或样品提供不全的不得分。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71" w:hRule="atLeast"/>
          <w:jc w:val="center"/>
        </w:trPr>
        <w:tc>
          <w:tcPr>
            <w:tcW w:w="515" w:type="pct"/>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商务部分（30分）</w:t>
            </w:r>
          </w:p>
        </w:tc>
        <w:tc>
          <w:tcPr>
            <w:tcW w:w="583" w:type="pct"/>
            <w:vAlign w:val="center"/>
          </w:tcPr>
          <w:p>
            <w:pPr>
              <w:rPr>
                <w:rFonts w:hint="eastAsia" w:ascii="宋体" w:hAnsi="宋体" w:eastAsia="宋体" w:cs="宋体"/>
                <w:sz w:val="24"/>
                <w:szCs w:val="24"/>
              </w:rPr>
            </w:pPr>
            <w:r>
              <w:rPr>
                <w:rFonts w:hint="eastAsia" w:ascii="宋体" w:hAnsi="宋体" w:eastAsia="宋体" w:cs="宋体"/>
                <w:sz w:val="24"/>
                <w:szCs w:val="24"/>
              </w:rPr>
              <w:t>产品评价（5分）</w:t>
            </w:r>
          </w:p>
        </w:tc>
        <w:tc>
          <w:tcPr>
            <w:tcW w:w="3901" w:type="pct"/>
            <w:gridSpan w:val="4"/>
            <w:vAlign w:val="center"/>
          </w:tcPr>
          <w:p>
            <w:pPr>
              <w:rPr>
                <w:rFonts w:hint="eastAsia" w:ascii="宋体" w:hAnsi="宋体" w:eastAsia="宋体" w:cs="宋体"/>
                <w:sz w:val="24"/>
                <w:szCs w:val="24"/>
              </w:rPr>
            </w:pPr>
            <w:r>
              <w:rPr>
                <w:rFonts w:hint="eastAsia" w:ascii="宋体" w:hAnsi="宋体" w:eastAsia="宋体" w:cs="宋体"/>
                <w:sz w:val="24"/>
                <w:szCs w:val="24"/>
              </w:rPr>
              <w:t>1.投标人或产品制造商具有认证范围包含LED照明产品的设计、开发和生产的ISO9001质量管理体系，ISO14001环境管理体系证书，ISO45001职业健康安全管理体系证书，同时具备得3分，缺一不得分，（须提供加盖投标人公章的有效期内权威机构出具的证明材料原件的扫描件）。</w:t>
            </w:r>
          </w:p>
          <w:p>
            <w:pPr>
              <w:rPr>
                <w:rFonts w:hint="eastAsia" w:ascii="宋体" w:hAnsi="宋体" w:eastAsia="宋体" w:cs="宋体"/>
                <w:sz w:val="24"/>
                <w:szCs w:val="24"/>
              </w:rPr>
            </w:pPr>
            <w:r>
              <w:rPr>
                <w:rFonts w:hint="eastAsia" w:ascii="宋体" w:hAnsi="宋体" w:eastAsia="宋体" w:cs="宋体"/>
                <w:sz w:val="24"/>
                <w:szCs w:val="24"/>
              </w:rPr>
              <w:t>2.投标文件中提供所投教室灯、黑板灯产品依据《GB 7000.1-2015》《GB 7793-2010》《GB/T 5700-2008》及《T/ JYBZ 005-2018》要求获得的有效期内的教室照明设备通过</w:t>
            </w:r>
            <w:r>
              <w:rPr>
                <w:rFonts w:hint="eastAsia" w:ascii="宋体" w:hAnsi="宋体" w:eastAsia="宋体" w:cs="宋体"/>
                <w:color w:val="auto"/>
                <w:sz w:val="24"/>
                <w:szCs w:val="24"/>
              </w:rPr>
              <w:t>光环境认证证</w:t>
            </w:r>
            <w:r>
              <w:rPr>
                <w:rFonts w:hint="eastAsia" w:ascii="宋体" w:hAnsi="宋体" w:eastAsia="宋体" w:cs="宋体"/>
                <w:sz w:val="24"/>
                <w:szCs w:val="24"/>
              </w:rPr>
              <w:t>书原件的扫描件，每有一个产品得1分，最多得2分。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restart"/>
            <w:tcBorders>
              <w:top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项目实施方案（13分）</w:t>
            </w:r>
          </w:p>
        </w:tc>
        <w:tc>
          <w:tcPr>
            <w:tcW w:w="470" w:type="pct"/>
            <w:tcBorders>
              <w:top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时间进度安排（2分）</w:t>
            </w:r>
          </w:p>
        </w:tc>
        <w:tc>
          <w:tcPr>
            <w:tcW w:w="3430" w:type="pct"/>
            <w:gridSpan w:val="3"/>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对进度安排的合理性、可行性进行评价。</w:t>
            </w:r>
          </w:p>
          <w:p>
            <w:pPr>
              <w:rPr>
                <w:rFonts w:hint="eastAsia" w:ascii="宋体" w:hAnsi="宋体" w:eastAsia="宋体" w:cs="宋体"/>
                <w:sz w:val="24"/>
                <w:szCs w:val="24"/>
              </w:rPr>
            </w:pPr>
            <w:r>
              <w:rPr>
                <w:rFonts w:hint="eastAsia" w:ascii="宋体" w:hAnsi="宋体" w:eastAsia="宋体" w:cs="宋体"/>
                <w:sz w:val="24"/>
                <w:szCs w:val="24"/>
              </w:rPr>
              <w:t>合理性（1分）：进度安排合理得1分；进度安排不合理得0分。</w:t>
            </w:r>
          </w:p>
          <w:p>
            <w:pPr>
              <w:rPr>
                <w:rFonts w:hint="eastAsia" w:ascii="宋体" w:hAnsi="宋体" w:eastAsia="宋体" w:cs="宋体"/>
                <w:sz w:val="24"/>
                <w:szCs w:val="24"/>
              </w:rPr>
            </w:pPr>
            <w:r>
              <w:rPr>
                <w:rFonts w:hint="eastAsia" w:ascii="宋体" w:hAnsi="宋体" w:eastAsia="宋体" w:cs="宋体"/>
                <w:sz w:val="24"/>
                <w:szCs w:val="24"/>
              </w:rPr>
              <w:t>可行性（1分）：切实可行得1分；可行性欠缺得0分；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jc w:val="left"/>
              <w:rPr>
                <w:rFonts w:hint="eastAsia" w:ascii="宋体" w:hAnsi="宋体" w:eastAsia="宋体" w:cs="宋体"/>
                <w:sz w:val="24"/>
                <w:szCs w:val="24"/>
              </w:rPr>
            </w:pPr>
            <w:r>
              <w:rPr>
                <w:rFonts w:hint="eastAsia" w:ascii="宋体" w:hAnsi="宋体" w:eastAsia="宋体" w:cs="宋体"/>
                <w:sz w:val="24"/>
                <w:szCs w:val="24"/>
              </w:rPr>
              <w:t>本项最高得2分，最低得0分。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rPr>
                <w:rFonts w:hint="eastAsia" w:ascii="宋体" w:hAnsi="宋体" w:eastAsia="宋体" w:cs="宋体"/>
                <w:sz w:val="24"/>
                <w:szCs w:val="24"/>
              </w:rPr>
            </w:pPr>
          </w:p>
        </w:tc>
        <w:tc>
          <w:tcPr>
            <w:tcW w:w="470" w:type="pct"/>
            <w:vMerge w:val="restart"/>
            <w:tcBorders>
              <w:top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具体实施安装方案（11分）</w:t>
            </w:r>
          </w:p>
        </w:tc>
        <w:tc>
          <w:tcPr>
            <w:tcW w:w="643"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拆除方案（2分）</w:t>
            </w:r>
          </w:p>
        </w:tc>
        <w:tc>
          <w:tcPr>
            <w:tcW w:w="2787" w:type="pct"/>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对内容的针对性、可行性进行评价。</w:t>
            </w:r>
          </w:p>
          <w:p>
            <w:pPr>
              <w:jc w:val="left"/>
              <w:rPr>
                <w:rFonts w:hint="eastAsia" w:ascii="宋体" w:hAnsi="宋体" w:eastAsia="宋体" w:cs="宋体"/>
                <w:sz w:val="24"/>
                <w:szCs w:val="24"/>
              </w:rPr>
            </w:pPr>
            <w:r>
              <w:rPr>
                <w:rFonts w:hint="eastAsia" w:ascii="宋体" w:hAnsi="宋体" w:eastAsia="宋体" w:cs="宋体"/>
                <w:sz w:val="24"/>
                <w:szCs w:val="24"/>
              </w:rPr>
              <w:t>针对性(1分)：针对性强得1分；针对性不强得0分。</w:t>
            </w:r>
          </w:p>
          <w:p>
            <w:pPr>
              <w:rPr>
                <w:rFonts w:hint="eastAsia" w:ascii="宋体" w:hAnsi="宋体" w:eastAsia="宋体" w:cs="宋体"/>
                <w:sz w:val="24"/>
                <w:szCs w:val="24"/>
              </w:rPr>
            </w:pPr>
            <w:r>
              <w:rPr>
                <w:rFonts w:hint="eastAsia" w:ascii="宋体" w:hAnsi="宋体" w:eastAsia="宋体" w:cs="宋体"/>
                <w:sz w:val="24"/>
                <w:szCs w:val="24"/>
              </w:rPr>
              <w:t>可行性（1分)：符合实际切实可行得1分；可行性欠缺得0分；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jc w:val="left"/>
              <w:rPr>
                <w:rFonts w:hint="eastAsia" w:ascii="宋体" w:hAnsi="宋体" w:eastAsia="宋体" w:cs="宋体"/>
                <w:sz w:val="24"/>
                <w:szCs w:val="24"/>
              </w:rPr>
            </w:pPr>
            <w:r>
              <w:rPr>
                <w:rFonts w:hint="eastAsia" w:ascii="宋体" w:hAnsi="宋体" w:eastAsia="宋体" w:cs="宋体"/>
                <w:sz w:val="24"/>
                <w:szCs w:val="24"/>
              </w:rPr>
              <w:t>本项最高得2分，最低得0分。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rPr>
                <w:rFonts w:hint="eastAsia" w:ascii="宋体" w:hAnsi="宋体" w:eastAsia="宋体" w:cs="宋体"/>
                <w:sz w:val="24"/>
                <w:szCs w:val="24"/>
              </w:rPr>
            </w:pPr>
          </w:p>
        </w:tc>
        <w:tc>
          <w:tcPr>
            <w:tcW w:w="470" w:type="pct"/>
            <w:vMerge w:val="continue"/>
            <w:tcBorders>
              <w:right w:val="single" w:color="auto" w:sz="4" w:space="0"/>
            </w:tcBorders>
            <w:vAlign w:val="center"/>
          </w:tcPr>
          <w:p>
            <w:pPr>
              <w:rPr>
                <w:rFonts w:hint="eastAsia" w:ascii="宋体" w:hAnsi="宋体" w:eastAsia="宋体" w:cs="宋体"/>
                <w:sz w:val="24"/>
                <w:szCs w:val="24"/>
              </w:rPr>
            </w:pPr>
          </w:p>
        </w:tc>
        <w:tc>
          <w:tcPr>
            <w:tcW w:w="643"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线缆及辅料实施方案（3分）</w:t>
            </w:r>
          </w:p>
        </w:tc>
        <w:tc>
          <w:tcPr>
            <w:tcW w:w="2787" w:type="pct"/>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对内容的全面性、针对性、可行性进行评价。</w:t>
            </w:r>
          </w:p>
          <w:p>
            <w:pPr>
              <w:jc w:val="left"/>
              <w:rPr>
                <w:rFonts w:hint="eastAsia" w:ascii="宋体" w:hAnsi="宋体" w:eastAsia="宋体" w:cs="宋体"/>
                <w:sz w:val="24"/>
                <w:szCs w:val="24"/>
              </w:rPr>
            </w:pPr>
            <w:r>
              <w:rPr>
                <w:rFonts w:hint="eastAsia" w:ascii="宋体" w:hAnsi="宋体" w:eastAsia="宋体" w:cs="宋体"/>
                <w:sz w:val="24"/>
                <w:szCs w:val="24"/>
              </w:rPr>
              <w:t>全面性(1分)：全面具体详实得1分；不全面得0分。</w:t>
            </w:r>
          </w:p>
          <w:p>
            <w:pPr>
              <w:jc w:val="left"/>
              <w:rPr>
                <w:rFonts w:hint="eastAsia" w:ascii="宋体" w:hAnsi="宋体" w:eastAsia="宋体" w:cs="宋体"/>
                <w:sz w:val="24"/>
                <w:szCs w:val="24"/>
              </w:rPr>
            </w:pPr>
            <w:r>
              <w:rPr>
                <w:rFonts w:hint="eastAsia" w:ascii="宋体" w:hAnsi="宋体" w:eastAsia="宋体" w:cs="宋体"/>
                <w:sz w:val="24"/>
                <w:szCs w:val="24"/>
              </w:rPr>
              <w:t>针对性(1分)：针对性强得1分；针对性不强得0分。</w:t>
            </w:r>
          </w:p>
          <w:p>
            <w:pPr>
              <w:rPr>
                <w:rFonts w:hint="eastAsia" w:ascii="宋体" w:hAnsi="宋体" w:eastAsia="宋体" w:cs="宋体"/>
                <w:sz w:val="24"/>
                <w:szCs w:val="24"/>
              </w:rPr>
            </w:pPr>
            <w:r>
              <w:rPr>
                <w:rFonts w:hint="eastAsia" w:ascii="宋体" w:hAnsi="宋体" w:eastAsia="宋体" w:cs="宋体"/>
                <w:sz w:val="24"/>
                <w:szCs w:val="24"/>
              </w:rPr>
              <w:t>可行性（1分)：符合实际切实可行得1分；可行性欠缺得0分；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jc w:val="left"/>
              <w:rPr>
                <w:rFonts w:hint="eastAsia" w:ascii="宋体" w:hAnsi="宋体" w:eastAsia="宋体" w:cs="宋体"/>
                <w:sz w:val="24"/>
                <w:szCs w:val="24"/>
              </w:rPr>
            </w:pPr>
            <w:r>
              <w:rPr>
                <w:rFonts w:hint="eastAsia" w:ascii="宋体" w:hAnsi="宋体" w:eastAsia="宋体" w:cs="宋体"/>
                <w:sz w:val="24"/>
                <w:szCs w:val="24"/>
              </w:rPr>
              <w:t>本项最高得3分，最低得0分。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rPr>
                <w:rFonts w:hint="eastAsia" w:ascii="宋体" w:hAnsi="宋体" w:eastAsia="宋体" w:cs="宋体"/>
                <w:sz w:val="24"/>
                <w:szCs w:val="24"/>
              </w:rPr>
            </w:pPr>
          </w:p>
        </w:tc>
        <w:tc>
          <w:tcPr>
            <w:tcW w:w="470" w:type="pct"/>
            <w:vMerge w:val="continue"/>
            <w:tcBorders>
              <w:right w:val="single" w:color="auto" w:sz="4" w:space="0"/>
            </w:tcBorders>
            <w:vAlign w:val="center"/>
          </w:tcPr>
          <w:p>
            <w:pPr>
              <w:rPr>
                <w:rFonts w:hint="eastAsia" w:ascii="宋体" w:hAnsi="宋体" w:eastAsia="宋体" w:cs="宋体"/>
                <w:sz w:val="24"/>
                <w:szCs w:val="24"/>
              </w:rPr>
            </w:pPr>
          </w:p>
        </w:tc>
        <w:tc>
          <w:tcPr>
            <w:tcW w:w="643"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灯具安装方案（3分）</w:t>
            </w:r>
          </w:p>
        </w:tc>
        <w:tc>
          <w:tcPr>
            <w:tcW w:w="2787" w:type="pct"/>
            <w:tcBorders>
              <w:top w:val="single" w:color="auto" w:sz="4" w:space="0"/>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对内容的全面性、针对性、可行性进行评价。</w:t>
            </w:r>
          </w:p>
          <w:p>
            <w:pPr>
              <w:rPr>
                <w:rFonts w:hint="eastAsia" w:ascii="宋体" w:hAnsi="宋体" w:eastAsia="宋体" w:cs="宋体"/>
                <w:sz w:val="24"/>
                <w:szCs w:val="24"/>
              </w:rPr>
            </w:pPr>
            <w:r>
              <w:rPr>
                <w:rFonts w:hint="eastAsia" w:ascii="宋体" w:hAnsi="宋体" w:eastAsia="宋体" w:cs="宋体"/>
                <w:sz w:val="24"/>
                <w:szCs w:val="24"/>
              </w:rPr>
              <w:t>全面性(1分)：全面具体详实得1分；不全面得0分。</w:t>
            </w:r>
          </w:p>
          <w:p>
            <w:pPr>
              <w:rPr>
                <w:rFonts w:hint="eastAsia" w:ascii="宋体" w:hAnsi="宋体" w:eastAsia="宋体" w:cs="宋体"/>
                <w:sz w:val="24"/>
                <w:szCs w:val="24"/>
              </w:rPr>
            </w:pPr>
            <w:r>
              <w:rPr>
                <w:rFonts w:hint="eastAsia" w:ascii="宋体" w:hAnsi="宋体" w:eastAsia="宋体" w:cs="宋体"/>
                <w:sz w:val="24"/>
                <w:szCs w:val="24"/>
              </w:rPr>
              <w:t>针对性(1分)：针对性强得1分；针对性不强得0分。</w:t>
            </w:r>
          </w:p>
          <w:p>
            <w:pPr>
              <w:rPr>
                <w:rFonts w:hint="eastAsia" w:ascii="宋体" w:hAnsi="宋体" w:eastAsia="宋体" w:cs="宋体"/>
                <w:sz w:val="24"/>
                <w:szCs w:val="24"/>
              </w:rPr>
            </w:pPr>
            <w:r>
              <w:rPr>
                <w:rFonts w:hint="eastAsia" w:ascii="宋体" w:hAnsi="宋体" w:eastAsia="宋体" w:cs="宋体"/>
                <w:sz w:val="24"/>
                <w:szCs w:val="24"/>
              </w:rPr>
              <w:t>可行性（1分)：符合实际切实可行得1分；可行性欠缺得0分；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rPr>
                <w:rFonts w:hint="eastAsia" w:ascii="宋体" w:hAnsi="宋体" w:eastAsia="宋体" w:cs="宋体"/>
                <w:sz w:val="24"/>
                <w:szCs w:val="24"/>
              </w:rPr>
            </w:pPr>
            <w:r>
              <w:rPr>
                <w:rFonts w:hint="eastAsia" w:ascii="宋体" w:hAnsi="宋体" w:eastAsia="宋体" w:cs="宋体"/>
                <w:sz w:val="24"/>
                <w:szCs w:val="24"/>
              </w:rPr>
              <w:t>本项最高得3分，最低得0分。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65" w:hRule="atLeast"/>
          <w:jc w:val="center"/>
        </w:trPr>
        <w:tc>
          <w:tcPr>
            <w:tcW w:w="515" w:type="pct"/>
            <w:vMerge w:val="continue"/>
            <w:vAlign w:val="center"/>
          </w:tcPr>
          <w:p>
            <w:pPr>
              <w:jc w:val="center"/>
              <w:rPr>
                <w:rFonts w:hint="eastAsia" w:ascii="宋体" w:hAnsi="宋体" w:eastAsia="宋体" w:cs="宋体"/>
                <w:color w:val="FF0000"/>
                <w:sz w:val="24"/>
                <w:szCs w:val="24"/>
              </w:rPr>
            </w:pPr>
          </w:p>
        </w:tc>
        <w:tc>
          <w:tcPr>
            <w:tcW w:w="583" w:type="pct"/>
            <w:vMerge w:val="continue"/>
            <w:vAlign w:val="center"/>
          </w:tcPr>
          <w:p>
            <w:pPr>
              <w:rPr>
                <w:rFonts w:hint="eastAsia" w:ascii="宋体" w:hAnsi="宋体" w:eastAsia="宋体" w:cs="宋体"/>
                <w:sz w:val="24"/>
                <w:szCs w:val="24"/>
              </w:rPr>
            </w:pPr>
          </w:p>
        </w:tc>
        <w:tc>
          <w:tcPr>
            <w:tcW w:w="470" w:type="pct"/>
            <w:vMerge w:val="continue"/>
            <w:tcBorders>
              <w:right w:val="single" w:color="auto" w:sz="4" w:space="0"/>
            </w:tcBorders>
            <w:vAlign w:val="center"/>
          </w:tcPr>
          <w:p>
            <w:pPr>
              <w:rPr>
                <w:rFonts w:hint="eastAsia" w:ascii="宋体" w:hAnsi="宋体" w:eastAsia="宋体" w:cs="宋体"/>
                <w:sz w:val="24"/>
                <w:szCs w:val="24"/>
              </w:rPr>
            </w:pPr>
          </w:p>
        </w:tc>
        <w:tc>
          <w:tcPr>
            <w:tcW w:w="643" w:type="pct"/>
            <w:gridSpan w:val="2"/>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质量管控措施及安全保障措施（3分）</w:t>
            </w:r>
          </w:p>
        </w:tc>
        <w:tc>
          <w:tcPr>
            <w:tcW w:w="2787" w:type="pct"/>
            <w:tcBorders>
              <w:top w:val="single" w:color="auto" w:sz="4" w:space="0"/>
              <w:lef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对内容的全面性、针对性、可行性进行评价。</w:t>
            </w:r>
          </w:p>
          <w:p>
            <w:pPr>
              <w:rPr>
                <w:rFonts w:hint="eastAsia" w:ascii="宋体" w:hAnsi="宋体" w:eastAsia="宋体" w:cs="宋体"/>
                <w:sz w:val="24"/>
                <w:szCs w:val="24"/>
              </w:rPr>
            </w:pPr>
            <w:r>
              <w:rPr>
                <w:rFonts w:hint="eastAsia" w:ascii="宋体" w:hAnsi="宋体" w:eastAsia="宋体" w:cs="宋体"/>
                <w:sz w:val="24"/>
                <w:szCs w:val="24"/>
              </w:rPr>
              <w:t>全面性(1分)：全面具体详实得1分；不全面得0分。</w:t>
            </w:r>
          </w:p>
          <w:p>
            <w:pPr>
              <w:rPr>
                <w:rFonts w:hint="eastAsia" w:ascii="宋体" w:hAnsi="宋体" w:eastAsia="宋体" w:cs="宋体"/>
                <w:sz w:val="24"/>
                <w:szCs w:val="24"/>
              </w:rPr>
            </w:pPr>
            <w:r>
              <w:rPr>
                <w:rFonts w:hint="eastAsia" w:ascii="宋体" w:hAnsi="宋体" w:eastAsia="宋体" w:cs="宋体"/>
                <w:sz w:val="24"/>
                <w:szCs w:val="24"/>
              </w:rPr>
              <w:t>针对性(1分)：针对性强得1分；针对性不强得0分。</w:t>
            </w:r>
          </w:p>
          <w:p>
            <w:pPr>
              <w:rPr>
                <w:rFonts w:hint="eastAsia" w:ascii="宋体" w:hAnsi="宋体" w:eastAsia="宋体" w:cs="宋体"/>
                <w:sz w:val="24"/>
                <w:szCs w:val="24"/>
              </w:rPr>
            </w:pPr>
            <w:r>
              <w:rPr>
                <w:rFonts w:hint="eastAsia" w:ascii="宋体" w:hAnsi="宋体" w:eastAsia="宋体" w:cs="宋体"/>
                <w:sz w:val="24"/>
                <w:szCs w:val="24"/>
              </w:rPr>
              <w:t>可行性（1分)：符合实际切实可行得1分；可行性欠缺得0分；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rPr>
                <w:rFonts w:hint="eastAsia" w:ascii="宋体" w:hAnsi="宋体" w:eastAsia="宋体" w:cs="宋体"/>
                <w:color w:val="FF0000"/>
                <w:sz w:val="24"/>
                <w:szCs w:val="24"/>
              </w:rPr>
            </w:pPr>
            <w:r>
              <w:rPr>
                <w:rFonts w:hint="eastAsia" w:ascii="宋体" w:hAnsi="宋体" w:eastAsia="宋体" w:cs="宋体"/>
                <w:sz w:val="24"/>
                <w:szCs w:val="24"/>
              </w:rPr>
              <w:t>本项最高得3分，最低得0分。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515" w:type="pct"/>
            <w:vMerge w:val="continue"/>
          </w:tcPr>
          <w:p>
            <w:pPr>
              <w:rPr>
                <w:rFonts w:hint="eastAsia" w:ascii="宋体" w:hAnsi="宋体" w:eastAsia="宋体" w:cs="宋体"/>
                <w:color w:val="FF0000"/>
                <w:sz w:val="24"/>
                <w:szCs w:val="24"/>
              </w:rPr>
            </w:pPr>
          </w:p>
        </w:tc>
        <w:tc>
          <w:tcPr>
            <w:tcW w:w="583" w:type="pct"/>
            <w:vMerge w:val="restart"/>
            <w:tcBorders>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售后服务方案</w:t>
            </w:r>
          </w:p>
          <w:p>
            <w:pPr>
              <w:rPr>
                <w:rFonts w:hint="eastAsia" w:ascii="宋体" w:hAnsi="宋体" w:eastAsia="宋体" w:cs="宋体"/>
                <w:sz w:val="24"/>
                <w:szCs w:val="24"/>
              </w:rPr>
            </w:pPr>
            <w:r>
              <w:rPr>
                <w:rFonts w:hint="eastAsia" w:ascii="宋体" w:hAnsi="宋体" w:eastAsia="宋体" w:cs="宋体"/>
                <w:sz w:val="24"/>
                <w:szCs w:val="24"/>
              </w:rPr>
              <w:t>（12分）</w:t>
            </w:r>
          </w:p>
        </w:tc>
        <w:tc>
          <w:tcPr>
            <w:tcW w:w="470" w:type="pct"/>
            <w:tcBorders>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质保期（6分）</w:t>
            </w:r>
          </w:p>
        </w:tc>
        <w:tc>
          <w:tcPr>
            <w:tcW w:w="3430" w:type="pct"/>
            <w:gridSpan w:val="3"/>
            <w:tcBorders>
              <w:left w:val="single" w:color="auto" w:sz="4" w:space="0"/>
              <w:bottom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质保期3年及以下0分，每增加一年加3分（不足一年不计），最多得6分。</w:t>
            </w:r>
            <w:r>
              <w:rPr>
                <w:rFonts w:hint="eastAsia" w:ascii="宋体" w:hAnsi="宋体" w:eastAsia="宋体" w:cs="宋体"/>
                <w:color w:val="auto"/>
                <w:sz w:val="24"/>
                <w:szCs w:val="24"/>
              </w:rPr>
              <w:t>提供原厂质保函并加盖产品生产厂家公章。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515" w:type="pct"/>
            <w:vMerge w:val="continue"/>
          </w:tcPr>
          <w:p>
            <w:pPr>
              <w:rPr>
                <w:rFonts w:hint="eastAsia" w:ascii="宋体" w:hAnsi="宋体" w:eastAsia="宋体" w:cs="宋体"/>
                <w:color w:val="FF0000"/>
                <w:sz w:val="24"/>
                <w:szCs w:val="24"/>
              </w:rPr>
            </w:pPr>
          </w:p>
        </w:tc>
        <w:tc>
          <w:tcPr>
            <w:tcW w:w="583" w:type="pct"/>
            <w:vMerge w:val="continue"/>
            <w:tcBorders>
              <w:right w:val="single" w:color="auto" w:sz="4" w:space="0"/>
            </w:tcBorders>
            <w:vAlign w:val="center"/>
          </w:tcPr>
          <w:p>
            <w:pPr>
              <w:rPr>
                <w:rFonts w:hint="eastAsia" w:ascii="宋体" w:hAnsi="宋体" w:eastAsia="宋体" w:cs="宋体"/>
                <w:color w:val="FF0000"/>
                <w:sz w:val="24"/>
                <w:szCs w:val="24"/>
              </w:rPr>
            </w:pPr>
          </w:p>
        </w:tc>
        <w:tc>
          <w:tcPr>
            <w:tcW w:w="470" w:type="pct"/>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除质保期外的售后服务方案（6分）</w:t>
            </w:r>
          </w:p>
        </w:tc>
        <w:tc>
          <w:tcPr>
            <w:tcW w:w="3430" w:type="pct"/>
            <w:gridSpan w:val="3"/>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对内容的全面性、针对性、可行性进行评价。</w:t>
            </w:r>
          </w:p>
          <w:p>
            <w:pPr>
              <w:jc w:val="left"/>
              <w:rPr>
                <w:rFonts w:hint="eastAsia" w:ascii="宋体" w:hAnsi="宋体" w:eastAsia="宋体" w:cs="宋体"/>
                <w:bCs/>
                <w:sz w:val="24"/>
                <w:szCs w:val="24"/>
              </w:rPr>
            </w:pPr>
            <w:r>
              <w:rPr>
                <w:rFonts w:hint="eastAsia" w:ascii="宋体" w:hAnsi="宋体" w:eastAsia="宋体" w:cs="宋体"/>
                <w:sz w:val="24"/>
                <w:szCs w:val="24"/>
              </w:rPr>
              <w:t>全面性(2分)：</w:t>
            </w:r>
            <w:r>
              <w:rPr>
                <w:rFonts w:hint="eastAsia" w:ascii="宋体" w:hAnsi="宋体" w:eastAsia="宋体" w:cs="宋体"/>
                <w:bCs/>
                <w:sz w:val="24"/>
                <w:szCs w:val="24"/>
              </w:rPr>
              <w:t>全面</w:t>
            </w:r>
            <w:r>
              <w:rPr>
                <w:rFonts w:hint="eastAsia" w:ascii="宋体" w:hAnsi="宋体" w:eastAsia="宋体" w:cs="宋体"/>
                <w:sz w:val="24"/>
                <w:szCs w:val="24"/>
              </w:rPr>
              <w:t>具体详实得2分；</w:t>
            </w:r>
            <w:r>
              <w:rPr>
                <w:rFonts w:hint="eastAsia" w:ascii="宋体" w:hAnsi="宋体" w:eastAsia="宋体" w:cs="宋体"/>
                <w:bCs/>
                <w:sz w:val="24"/>
                <w:szCs w:val="24"/>
              </w:rPr>
              <w:t>较全面得1分；不全面得0分。</w:t>
            </w:r>
          </w:p>
          <w:p>
            <w:pPr>
              <w:jc w:val="left"/>
              <w:rPr>
                <w:rFonts w:hint="eastAsia" w:ascii="宋体" w:hAnsi="宋体" w:eastAsia="宋体" w:cs="宋体"/>
                <w:sz w:val="24"/>
                <w:szCs w:val="24"/>
              </w:rPr>
            </w:pPr>
            <w:r>
              <w:rPr>
                <w:rFonts w:hint="eastAsia" w:ascii="宋体" w:hAnsi="宋体" w:eastAsia="宋体" w:cs="宋体"/>
                <w:sz w:val="24"/>
                <w:szCs w:val="24"/>
              </w:rPr>
              <w:t>针对性(2分)：针对性强得2分；针对性较强得1分；针对性不强得0分。</w:t>
            </w:r>
          </w:p>
          <w:p>
            <w:pPr>
              <w:jc w:val="left"/>
              <w:rPr>
                <w:rFonts w:hint="eastAsia" w:ascii="宋体" w:hAnsi="宋体" w:eastAsia="宋体" w:cs="宋体"/>
                <w:sz w:val="24"/>
                <w:szCs w:val="24"/>
              </w:rPr>
            </w:pPr>
            <w:r>
              <w:rPr>
                <w:rFonts w:hint="eastAsia" w:ascii="宋体" w:hAnsi="宋体" w:eastAsia="宋体" w:cs="宋体"/>
                <w:sz w:val="24"/>
                <w:szCs w:val="24"/>
              </w:rPr>
              <w:t>可行性（2分)：符合实际切实可行得2分；较切实可行得1分;可行性欠缺得0分；</w:t>
            </w:r>
          </w:p>
          <w:p>
            <w:pPr>
              <w:rPr>
                <w:rFonts w:hint="eastAsia" w:ascii="宋体" w:hAnsi="宋体" w:eastAsia="宋体" w:cs="宋体"/>
                <w:sz w:val="24"/>
                <w:szCs w:val="24"/>
              </w:rPr>
            </w:pPr>
            <w:r>
              <w:rPr>
                <w:rFonts w:hint="eastAsia" w:ascii="宋体" w:hAnsi="宋体" w:eastAsia="宋体" w:cs="宋体"/>
                <w:sz w:val="24"/>
                <w:szCs w:val="24"/>
              </w:rPr>
              <w:t>未提供的得0分。</w:t>
            </w:r>
          </w:p>
          <w:p>
            <w:pPr>
              <w:rPr>
                <w:rFonts w:hint="eastAsia" w:ascii="宋体" w:hAnsi="宋体" w:eastAsia="宋体" w:cs="宋体"/>
                <w:sz w:val="24"/>
                <w:szCs w:val="24"/>
              </w:rPr>
            </w:pPr>
            <w:r>
              <w:rPr>
                <w:rFonts w:hint="eastAsia" w:ascii="宋体" w:hAnsi="宋体" w:eastAsia="宋体" w:cs="宋体"/>
                <w:sz w:val="24"/>
                <w:szCs w:val="24"/>
              </w:rPr>
              <w:t>本项最高得6分，最低得0分。</w:t>
            </w:r>
          </w:p>
        </w:tc>
      </w:tr>
    </w:tbl>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rPr>
      </w:pPr>
      <w:r>
        <w:rPr>
          <w:rFonts w:hint="eastAsia" w:ascii="宋体" w:hAnsi="宋体" w:eastAsia="宋体" w:cs="宋体"/>
          <w:sz w:val="24"/>
        </w:rPr>
        <w:t>注：评分结果精确到小数点后一位。</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rPr>
      </w:pPr>
      <w:r>
        <w:rPr>
          <w:rFonts w:hint="eastAsia" w:ascii="宋体" w:hAnsi="宋体" w:eastAsia="宋体" w:cs="宋体"/>
          <w:sz w:val="24"/>
        </w:rPr>
        <w:t>说明：</w:t>
      </w:r>
    </w:p>
    <w:p>
      <w:pPr>
        <w:keepNext w:val="0"/>
        <w:keepLines w:val="0"/>
        <w:pageBreakBefore w:val="0"/>
        <w:widowControl/>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一、《江苏省政府采购供应商监督管理暂行办法》第二十六条 招标采购单位在招标文件中，应当明确供应商诚信记录分使用办法：其中，采用综合评分法的，诚信记录分每减10分，给予总分值2%的扣分，扣分最多不超过6%；采用性价比法和最低评标价法的，诚信记录分每减10分，按该供应商投标价的2%增加评审价格，增价最多不超过6%。</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招标采购单位在评标时,要结合投标供应商的实时诚信记录情况评定供应商最终评标得分。</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二、信用评价结果查询</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按照《江苏省政府采购信用管理暂行办法》进行信用评价结果查询，相关说明如下：</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采购人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2.信用评价结果通过信用评价分和星级表示。</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在政府采购评审中，采用综合评分法的，供应商信用评价结果为三星的扣2分，评价结果为二星的扣3分，评价结果为一星的扣4分；采用最低评标价法的，评价结果为三星的给予1%的价格加成，评价结果为二星的给予2%的价格加成，评价结果为一星的给予3%的价格加成。</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4.具体见《江苏省政府采购信用管理暂行办法》。</w:t>
      </w: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ascii="宋体" w:hAnsi="宋体" w:eastAsia="宋体" w:cs="宋体"/>
        </w:rPr>
      </w:pPr>
    </w:p>
    <w:p>
      <w:pPr>
        <w:rPr>
          <w:rFonts w:hint="eastAsia" w:ascii="宋体" w:hAnsi="宋体" w:eastAsia="宋体" w:cs="宋体"/>
        </w:rPr>
      </w:pPr>
    </w:p>
    <w:p>
      <w:pPr>
        <w:pStyle w:val="18"/>
        <w:rPr>
          <w:rFonts w:hint="eastAsia"/>
        </w:rPr>
      </w:pPr>
    </w:p>
    <w:p>
      <w:pPr>
        <w:rPr>
          <w:rFonts w:hint="eastAsia" w:ascii="宋体" w:hAnsi="宋体" w:eastAsia="宋体" w:cs="宋体"/>
        </w:rPr>
      </w:pPr>
    </w:p>
    <w:p>
      <w:pPr>
        <w:pStyle w:val="282"/>
        <w:rPr>
          <w:rFonts w:ascii="宋体" w:hAnsi="宋体" w:eastAsia="宋体"/>
          <w:sz w:val="28"/>
          <w:szCs w:val="48"/>
        </w:rPr>
      </w:pPr>
      <w:r>
        <w:rPr>
          <w:rFonts w:hint="eastAsia" w:ascii="宋体" w:hAnsi="宋体" w:eastAsia="宋体" w:cs="宋体"/>
          <w:sz w:val="32"/>
          <w:szCs w:val="32"/>
        </w:rPr>
        <w:t xml:space="preserve">第五章  </w:t>
      </w:r>
      <w:r>
        <w:rPr>
          <w:rFonts w:ascii="宋体" w:hAnsi="宋体" w:eastAsia="宋体"/>
          <w:sz w:val="32"/>
          <w:szCs w:val="48"/>
        </w:rPr>
        <w:t>拟签订的合同文本</w:t>
      </w:r>
    </w:p>
    <w:p>
      <w:pPr>
        <w:pStyle w:val="108"/>
        <w:ind w:leftChars="200"/>
        <w:rPr>
          <w:rFonts w:ascii="宋体" w:hAnsi="宋体" w:eastAsia="宋体"/>
          <w:sz w:val="24"/>
          <w:szCs w:val="24"/>
        </w:rPr>
      </w:pPr>
      <w:r>
        <w:rPr>
          <w:rFonts w:ascii="宋体" w:hAnsi="宋体" w:eastAsia="宋体"/>
          <w:sz w:val="24"/>
          <w:szCs w:val="24"/>
        </w:rPr>
        <w:t>项目名称：</w:t>
      </w:r>
    </w:p>
    <w:p>
      <w:pPr>
        <w:pStyle w:val="108"/>
        <w:ind w:leftChars="200"/>
        <w:rPr>
          <w:rFonts w:ascii="宋体" w:hAnsi="宋体" w:eastAsia="宋体"/>
          <w:sz w:val="24"/>
          <w:szCs w:val="24"/>
        </w:rPr>
      </w:pPr>
      <w:r>
        <w:rPr>
          <w:rFonts w:ascii="宋体" w:hAnsi="宋体" w:eastAsia="宋体"/>
          <w:sz w:val="24"/>
          <w:szCs w:val="24"/>
        </w:rPr>
        <w:t>项目编号：</w:t>
      </w:r>
    </w:p>
    <w:p>
      <w:pPr>
        <w:pStyle w:val="108"/>
        <w:jc w:val="center"/>
        <w:rPr>
          <w:rFonts w:ascii="宋体" w:hAnsi="宋体" w:eastAsia="宋体"/>
          <w:sz w:val="72"/>
          <w:szCs w:val="72"/>
        </w:rPr>
      </w:pPr>
      <w:r>
        <w:rPr>
          <w:rFonts w:ascii="宋体" w:hAnsi="宋体" w:eastAsia="宋体"/>
          <w:sz w:val="72"/>
          <w:szCs w:val="72"/>
        </w:rPr>
        <w:t>合</w:t>
      </w:r>
    </w:p>
    <w:p>
      <w:pPr>
        <w:pStyle w:val="108"/>
        <w:jc w:val="center"/>
        <w:rPr>
          <w:rFonts w:ascii="宋体" w:hAnsi="宋体" w:eastAsia="宋体"/>
          <w:sz w:val="72"/>
          <w:szCs w:val="72"/>
        </w:rPr>
      </w:pPr>
    </w:p>
    <w:p>
      <w:pPr>
        <w:pStyle w:val="108"/>
        <w:jc w:val="center"/>
        <w:rPr>
          <w:rFonts w:ascii="宋体" w:hAnsi="宋体" w:eastAsia="宋体"/>
          <w:sz w:val="72"/>
          <w:szCs w:val="72"/>
        </w:rPr>
      </w:pPr>
    </w:p>
    <w:p>
      <w:pPr>
        <w:pStyle w:val="108"/>
        <w:jc w:val="center"/>
        <w:rPr>
          <w:rFonts w:ascii="宋体" w:hAnsi="宋体" w:eastAsia="宋体"/>
          <w:sz w:val="72"/>
          <w:szCs w:val="72"/>
        </w:rPr>
      </w:pPr>
    </w:p>
    <w:p>
      <w:pPr>
        <w:pStyle w:val="108"/>
        <w:jc w:val="center"/>
        <w:rPr>
          <w:rFonts w:ascii="宋体" w:hAnsi="宋体" w:eastAsia="宋体"/>
          <w:sz w:val="72"/>
          <w:szCs w:val="72"/>
        </w:rPr>
      </w:pPr>
      <w:r>
        <w:rPr>
          <w:rFonts w:ascii="宋体" w:hAnsi="宋体" w:eastAsia="宋体"/>
          <w:sz w:val="72"/>
          <w:szCs w:val="72"/>
        </w:rPr>
        <w:t>同</w:t>
      </w:r>
    </w:p>
    <w:p>
      <w:pPr>
        <w:pStyle w:val="108"/>
        <w:rPr>
          <w:rFonts w:ascii="宋体" w:hAnsi="宋体" w:eastAsia="宋体"/>
        </w:rPr>
      </w:pPr>
    </w:p>
    <w:p>
      <w:pPr>
        <w:pStyle w:val="108"/>
        <w:rPr>
          <w:rFonts w:ascii="宋体" w:hAnsi="宋体" w:eastAsia="宋体"/>
        </w:rPr>
      </w:pPr>
    </w:p>
    <w:p>
      <w:pPr>
        <w:pStyle w:val="108"/>
        <w:rPr>
          <w:rFonts w:ascii="宋体" w:hAnsi="宋体" w:eastAsia="宋体"/>
        </w:rPr>
      </w:pPr>
    </w:p>
    <w:p>
      <w:pPr>
        <w:pStyle w:val="108"/>
        <w:ind w:leftChars="300"/>
        <w:jc w:val="left"/>
        <w:rPr>
          <w:rFonts w:ascii="宋体" w:hAnsi="宋体" w:eastAsia="宋体"/>
          <w:sz w:val="24"/>
          <w:szCs w:val="24"/>
        </w:rPr>
      </w:pPr>
      <w:r>
        <w:rPr>
          <w:rFonts w:ascii="宋体" w:hAnsi="宋体" w:eastAsia="宋体"/>
          <w:sz w:val="24"/>
          <w:szCs w:val="24"/>
        </w:rPr>
        <w:t>采  购  人：</w:t>
      </w:r>
    </w:p>
    <w:p>
      <w:pPr>
        <w:pStyle w:val="108"/>
        <w:ind w:leftChars="300"/>
        <w:jc w:val="left"/>
        <w:rPr>
          <w:rFonts w:ascii="宋体" w:hAnsi="宋体" w:eastAsia="宋体"/>
          <w:sz w:val="24"/>
          <w:szCs w:val="24"/>
        </w:rPr>
      </w:pPr>
      <w:r>
        <w:rPr>
          <w:rFonts w:ascii="宋体" w:hAnsi="宋体" w:eastAsia="宋体"/>
          <w:sz w:val="24"/>
          <w:szCs w:val="24"/>
        </w:rPr>
        <w:t>成交供应商：</w:t>
      </w:r>
    </w:p>
    <w:p>
      <w:pPr>
        <w:pStyle w:val="108"/>
        <w:ind w:leftChars="300"/>
        <w:jc w:val="left"/>
        <w:rPr>
          <w:rFonts w:ascii="宋体" w:hAnsi="宋体" w:eastAsia="宋体"/>
          <w:sz w:val="24"/>
          <w:szCs w:val="24"/>
        </w:rPr>
      </w:pPr>
      <w:r>
        <w:rPr>
          <w:rFonts w:ascii="宋体" w:hAnsi="宋体" w:eastAsia="宋体"/>
          <w:sz w:val="24"/>
          <w:szCs w:val="24"/>
        </w:rPr>
        <w:t>合同签订日期： 年 月 日</w:t>
      </w:r>
    </w:p>
    <w:p>
      <w:pPr>
        <w:pStyle w:val="53"/>
        <w:spacing w:line="360" w:lineRule="exact"/>
        <w:ind w:leftChars="300" w:firstLine="560"/>
        <w:rPr>
          <w:rFonts w:ascii="宋体" w:hAnsi="宋体" w:eastAsia="宋体"/>
          <w:sz w:val="24"/>
          <w:szCs w:val="24"/>
        </w:rPr>
      </w:pPr>
      <w:r>
        <w:rPr>
          <w:rFonts w:ascii="宋体" w:hAnsi="宋体" w:eastAsia="宋体"/>
          <w:sz w:val="24"/>
          <w:szCs w:val="24"/>
        </w:rPr>
        <w:t>友情提醒：采购人与中标、成交供应商应当在中标、成交通知书发出之日起三十日内，按照</w:t>
      </w:r>
      <w:r>
        <w:rPr>
          <w:rFonts w:hint="eastAsia" w:hAnsi="宋体" w:eastAsia="宋体"/>
          <w:sz w:val="24"/>
          <w:szCs w:val="24"/>
          <w:lang w:eastAsia="zh-CN"/>
        </w:rPr>
        <w:t>招标文件</w:t>
      </w:r>
      <w:r>
        <w:rPr>
          <w:rFonts w:ascii="宋体" w:hAnsi="宋体" w:eastAsia="宋体"/>
          <w:sz w:val="24"/>
          <w:szCs w:val="24"/>
        </w:rPr>
        <w:t>确定的事项签订政府采购合同。</w:t>
      </w:r>
    </w:p>
    <w:p>
      <w:pPr>
        <w:pStyle w:val="53"/>
        <w:spacing w:line="360" w:lineRule="exact"/>
        <w:ind w:leftChars="300" w:firstLine="560"/>
        <w:rPr>
          <w:rFonts w:ascii="宋体" w:hAnsi="宋体" w:eastAsia="宋体"/>
          <w:sz w:val="24"/>
          <w:szCs w:val="24"/>
        </w:rPr>
      </w:pPr>
      <w:r>
        <w:rPr>
          <w:rFonts w:ascii="宋体" w:hAnsi="宋体" w:eastAsia="宋体"/>
          <w:sz w:val="24"/>
          <w:szCs w:val="24"/>
        </w:rPr>
        <w:t>采购人应当自政府采购合同签订之日起2个工作日内，将政府采购合同在省级以上人民政府财政部门指定的媒体上公告，但政府采购合同中涉及国家秘密、商业秘密的内容除外。</w:t>
      </w:r>
    </w:p>
    <w:p>
      <w:pPr>
        <w:pStyle w:val="53"/>
        <w:widowControl/>
        <w:spacing w:line="360" w:lineRule="exact"/>
        <w:ind w:firstLine="480"/>
        <w:rPr>
          <w:rFonts w:ascii="宋体" w:hAnsi="宋体" w:eastAsia="宋体"/>
          <w:sz w:val="24"/>
        </w:rPr>
      </w:pPr>
    </w:p>
    <w:p>
      <w:pPr>
        <w:jc w:val="center"/>
        <w:rPr>
          <w:rFonts w:hint="eastAsia" w:ascii="宋体" w:hAnsi="宋体" w:eastAsia="宋体" w:cs="宋体"/>
          <w:sz w:val="24"/>
        </w:rPr>
      </w:pPr>
    </w:p>
    <w:p>
      <w:pPr>
        <w:pStyle w:val="2"/>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jc w:val="center"/>
        <w:rPr>
          <w:rFonts w:hint="eastAsia" w:ascii="宋体" w:hAnsi="宋体" w:eastAsia="宋体" w:cs="宋体"/>
          <w:sz w:val="32"/>
          <w:szCs w:val="32"/>
        </w:rPr>
      </w:pPr>
      <w:r>
        <w:rPr>
          <w:rFonts w:hint="eastAsia" w:ascii="宋体" w:hAnsi="宋体" w:eastAsia="宋体" w:cs="宋体"/>
          <w:sz w:val="32"/>
          <w:szCs w:val="32"/>
        </w:rPr>
        <w:t>目录</w:t>
      </w:r>
    </w:p>
    <w:p>
      <w:pPr>
        <w:jc w:val="center"/>
        <w:rPr>
          <w:rFonts w:hint="eastAsia" w:ascii="宋体" w:hAnsi="宋体" w:eastAsia="宋体" w:cs="宋体"/>
          <w:sz w:val="24"/>
        </w:rPr>
      </w:pPr>
    </w:p>
    <w:p>
      <w:pPr>
        <w:spacing w:line="360" w:lineRule="auto"/>
        <w:ind w:leftChars="400"/>
        <w:rPr>
          <w:rFonts w:hint="eastAsia" w:ascii="宋体" w:hAnsi="宋体" w:eastAsia="宋体" w:cs="宋体"/>
          <w:sz w:val="24"/>
        </w:rPr>
      </w:pPr>
      <w:r>
        <w:rPr>
          <w:rFonts w:hint="eastAsia" w:ascii="宋体" w:hAnsi="宋体" w:eastAsia="宋体" w:cs="宋体"/>
          <w:sz w:val="24"/>
        </w:rPr>
        <w:t>第一条    定义</w:t>
      </w:r>
    </w:p>
    <w:p>
      <w:pPr>
        <w:spacing w:line="360" w:lineRule="auto"/>
        <w:ind w:leftChars="400"/>
        <w:rPr>
          <w:rFonts w:hint="eastAsia" w:ascii="宋体" w:hAnsi="宋体" w:eastAsia="宋体" w:cs="宋体"/>
          <w:sz w:val="24"/>
        </w:rPr>
      </w:pPr>
      <w:r>
        <w:rPr>
          <w:rFonts w:hint="eastAsia" w:ascii="宋体" w:hAnsi="宋体" w:eastAsia="宋体" w:cs="宋体"/>
          <w:sz w:val="24"/>
        </w:rPr>
        <w:t>第二条    合同范围</w:t>
      </w:r>
    </w:p>
    <w:p>
      <w:pPr>
        <w:spacing w:line="360" w:lineRule="auto"/>
        <w:ind w:leftChars="400"/>
        <w:rPr>
          <w:rFonts w:hint="eastAsia" w:ascii="宋体" w:hAnsi="宋体" w:eastAsia="宋体" w:cs="宋体"/>
          <w:sz w:val="24"/>
        </w:rPr>
      </w:pPr>
      <w:r>
        <w:rPr>
          <w:rFonts w:hint="eastAsia" w:ascii="宋体" w:hAnsi="宋体" w:eastAsia="宋体" w:cs="宋体"/>
          <w:sz w:val="24"/>
        </w:rPr>
        <w:t>第三条    价格</w:t>
      </w:r>
    </w:p>
    <w:p>
      <w:pPr>
        <w:spacing w:line="360" w:lineRule="auto"/>
        <w:ind w:leftChars="400"/>
        <w:rPr>
          <w:rFonts w:hint="eastAsia" w:ascii="宋体" w:hAnsi="宋体" w:eastAsia="宋体" w:cs="宋体"/>
          <w:sz w:val="24"/>
        </w:rPr>
      </w:pPr>
      <w:r>
        <w:rPr>
          <w:rFonts w:hint="eastAsia" w:ascii="宋体" w:hAnsi="宋体" w:eastAsia="宋体" w:cs="宋体"/>
          <w:sz w:val="24"/>
        </w:rPr>
        <w:t>第四条    支付</w:t>
      </w:r>
    </w:p>
    <w:p>
      <w:pPr>
        <w:spacing w:line="360" w:lineRule="auto"/>
        <w:ind w:leftChars="400"/>
        <w:rPr>
          <w:rFonts w:hint="eastAsia" w:ascii="宋体" w:hAnsi="宋体" w:eastAsia="宋体" w:cs="宋体"/>
          <w:sz w:val="24"/>
        </w:rPr>
      </w:pPr>
      <w:r>
        <w:rPr>
          <w:rFonts w:hint="eastAsia" w:ascii="宋体" w:hAnsi="宋体" w:eastAsia="宋体" w:cs="宋体"/>
          <w:sz w:val="24"/>
        </w:rPr>
        <w:t>第五条    交货</w:t>
      </w:r>
    </w:p>
    <w:p>
      <w:pPr>
        <w:spacing w:line="360" w:lineRule="auto"/>
        <w:ind w:leftChars="400"/>
        <w:rPr>
          <w:rFonts w:hint="eastAsia" w:ascii="宋体" w:hAnsi="宋体" w:eastAsia="宋体" w:cs="宋体"/>
          <w:sz w:val="24"/>
        </w:rPr>
      </w:pPr>
      <w:r>
        <w:rPr>
          <w:rFonts w:hint="eastAsia" w:ascii="宋体" w:hAnsi="宋体" w:eastAsia="宋体" w:cs="宋体"/>
          <w:sz w:val="24"/>
        </w:rPr>
        <w:t>第六条    包装和标记</w:t>
      </w:r>
    </w:p>
    <w:p>
      <w:pPr>
        <w:spacing w:line="360" w:lineRule="auto"/>
        <w:ind w:leftChars="400"/>
        <w:rPr>
          <w:rFonts w:hint="eastAsia" w:ascii="宋体" w:hAnsi="宋体" w:eastAsia="宋体" w:cs="宋体"/>
          <w:sz w:val="24"/>
        </w:rPr>
      </w:pPr>
      <w:r>
        <w:rPr>
          <w:rFonts w:hint="eastAsia" w:ascii="宋体" w:hAnsi="宋体" w:eastAsia="宋体" w:cs="宋体"/>
          <w:sz w:val="24"/>
        </w:rPr>
        <w:t>第七条    技术资料</w:t>
      </w:r>
    </w:p>
    <w:p>
      <w:pPr>
        <w:spacing w:line="360" w:lineRule="auto"/>
        <w:ind w:leftChars="400"/>
        <w:rPr>
          <w:rFonts w:hint="eastAsia" w:ascii="宋体" w:hAnsi="宋体" w:eastAsia="宋体" w:cs="宋体"/>
          <w:sz w:val="24"/>
        </w:rPr>
      </w:pPr>
      <w:r>
        <w:rPr>
          <w:rFonts w:hint="eastAsia" w:ascii="宋体" w:hAnsi="宋体" w:eastAsia="宋体" w:cs="宋体"/>
          <w:sz w:val="24"/>
        </w:rPr>
        <w:t>第八条    安装</w:t>
      </w:r>
    </w:p>
    <w:p>
      <w:pPr>
        <w:spacing w:line="360" w:lineRule="auto"/>
        <w:ind w:leftChars="400"/>
        <w:rPr>
          <w:rFonts w:hint="eastAsia" w:ascii="宋体" w:hAnsi="宋体" w:eastAsia="宋体" w:cs="宋体"/>
          <w:sz w:val="24"/>
        </w:rPr>
      </w:pPr>
      <w:r>
        <w:rPr>
          <w:rFonts w:hint="eastAsia" w:ascii="宋体" w:hAnsi="宋体" w:eastAsia="宋体" w:cs="宋体"/>
          <w:sz w:val="24"/>
        </w:rPr>
        <w:t>第九条    验收</w:t>
      </w:r>
    </w:p>
    <w:p>
      <w:pPr>
        <w:spacing w:line="360" w:lineRule="auto"/>
        <w:ind w:leftChars="400"/>
        <w:rPr>
          <w:rFonts w:hint="eastAsia" w:ascii="宋体" w:hAnsi="宋体" w:eastAsia="宋体" w:cs="宋体"/>
          <w:sz w:val="24"/>
        </w:rPr>
      </w:pPr>
      <w:r>
        <w:rPr>
          <w:rFonts w:hint="eastAsia" w:ascii="宋体" w:hAnsi="宋体" w:eastAsia="宋体" w:cs="宋体"/>
          <w:sz w:val="24"/>
        </w:rPr>
        <w:t>第十条    售后服务和技术培训</w:t>
      </w:r>
    </w:p>
    <w:p>
      <w:pPr>
        <w:spacing w:line="360" w:lineRule="auto"/>
        <w:ind w:leftChars="400"/>
        <w:rPr>
          <w:rFonts w:hint="eastAsia" w:ascii="宋体" w:hAnsi="宋体" w:eastAsia="宋体" w:cs="宋体"/>
          <w:sz w:val="24"/>
        </w:rPr>
      </w:pPr>
      <w:r>
        <w:rPr>
          <w:rFonts w:hint="eastAsia" w:ascii="宋体" w:hAnsi="宋体" w:eastAsia="宋体" w:cs="宋体"/>
          <w:sz w:val="24"/>
        </w:rPr>
        <w:t>第十一条  索赔</w:t>
      </w:r>
    </w:p>
    <w:p>
      <w:pPr>
        <w:spacing w:line="360" w:lineRule="auto"/>
        <w:ind w:leftChars="400"/>
        <w:rPr>
          <w:rFonts w:hint="eastAsia" w:ascii="宋体" w:hAnsi="宋体" w:eastAsia="宋体" w:cs="宋体"/>
          <w:sz w:val="24"/>
        </w:rPr>
      </w:pPr>
      <w:r>
        <w:rPr>
          <w:rFonts w:hint="eastAsia" w:ascii="宋体" w:hAnsi="宋体" w:eastAsia="宋体" w:cs="宋体"/>
          <w:sz w:val="24"/>
        </w:rPr>
        <w:t>第十二条  不可抗力</w:t>
      </w:r>
    </w:p>
    <w:p>
      <w:pPr>
        <w:spacing w:line="360" w:lineRule="auto"/>
        <w:ind w:leftChars="400"/>
        <w:rPr>
          <w:rFonts w:hint="eastAsia" w:ascii="宋体" w:hAnsi="宋体" w:eastAsia="宋体" w:cs="宋体"/>
          <w:sz w:val="24"/>
        </w:rPr>
      </w:pPr>
      <w:r>
        <w:rPr>
          <w:rFonts w:hint="eastAsia" w:ascii="宋体" w:hAnsi="宋体" w:eastAsia="宋体" w:cs="宋体"/>
          <w:sz w:val="24"/>
        </w:rPr>
        <w:t>第十三条  合同的终止</w:t>
      </w:r>
    </w:p>
    <w:p>
      <w:pPr>
        <w:spacing w:line="360" w:lineRule="auto"/>
        <w:ind w:leftChars="400"/>
        <w:rPr>
          <w:rFonts w:hint="eastAsia" w:ascii="宋体" w:hAnsi="宋体" w:eastAsia="宋体" w:cs="宋体"/>
          <w:sz w:val="24"/>
        </w:rPr>
      </w:pPr>
      <w:r>
        <w:rPr>
          <w:rFonts w:hint="eastAsia" w:ascii="宋体" w:hAnsi="宋体" w:eastAsia="宋体" w:cs="宋体"/>
          <w:sz w:val="24"/>
        </w:rPr>
        <w:t>第十四条  争议的解决</w:t>
      </w:r>
    </w:p>
    <w:p>
      <w:pPr>
        <w:spacing w:line="360" w:lineRule="auto"/>
        <w:ind w:leftChars="400"/>
        <w:rPr>
          <w:rFonts w:hint="eastAsia" w:ascii="宋体" w:hAnsi="宋体" w:eastAsia="宋体" w:cs="宋体"/>
          <w:sz w:val="24"/>
        </w:rPr>
      </w:pPr>
      <w:r>
        <w:rPr>
          <w:rFonts w:hint="eastAsia" w:ascii="宋体" w:hAnsi="宋体" w:eastAsia="宋体" w:cs="宋体"/>
          <w:sz w:val="24"/>
        </w:rPr>
        <w:t>第十五条  适用法律</w:t>
      </w:r>
    </w:p>
    <w:p>
      <w:pPr>
        <w:spacing w:line="360" w:lineRule="auto"/>
        <w:ind w:leftChars="400"/>
        <w:rPr>
          <w:rFonts w:hint="eastAsia" w:ascii="宋体" w:hAnsi="宋体" w:eastAsia="宋体" w:cs="宋体"/>
          <w:sz w:val="24"/>
        </w:rPr>
      </w:pPr>
      <w:r>
        <w:rPr>
          <w:rFonts w:hint="eastAsia" w:ascii="宋体" w:hAnsi="宋体" w:eastAsia="宋体" w:cs="宋体"/>
          <w:sz w:val="24"/>
        </w:rPr>
        <w:t>第十六条  权利保证</w:t>
      </w:r>
    </w:p>
    <w:p>
      <w:pPr>
        <w:spacing w:line="360" w:lineRule="auto"/>
        <w:ind w:leftChars="400"/>
        <w:rPr>
          <w:rFonts w:hint="eastAsia" w:ascii="宋体" w:hAnsi="宋体" w:eastAsia="宋体" w:cs="宋体"/>
          <w:sz w:val="24"/>
        </w:rPr>
      </w:pPr>
      <w:r>
        <w:rPr>
          <w:rFonts w:hint="eastAsia" w:ascii="宋体" w:hAnsi="宋体" w:eastAsia="宋体" w:cs="宋体"/>
          <w:sz w:val="24"/>
        </w:rPr>
        <w:t>第十七条  保密</w:t>
      </w:r>
    </w:p>
    <w:p>
      <w:pPr>
        <w:spacing w:line="360" w:lineRule="auto"/>
        <w:ind w:leftChars="400"/>
        <w:rPr>
          <w:rFonts w:hint="eastAsia" w:ascii="宋体" w:hAnsi="宋体" w:eastAsia="宋体" w:cs="宋体"/>
          <w:sz w:val="24"/>
        </w:rPr>
      </w:pPr>
      <w:r>
        <w:rPr>
          <w:rFonts w:hint="eastAsia" w:ascii="宋体" w:hAnsi="宋体" w:eastAsia="宋体" w:cs="宋体"/>
          <w:sz w:val="24"/>
        </w:rPr>
        <w:t>第十八条  合同生效及其他</w:t>
      </w:r>
    </w:p>
    <w:p>
      <w:pPr>
        <w:spacing w:line="360" w:lineRule="auto"/>
        <w:ind w:leftChars="400"/>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18"/>
        <w:rPr>
          <w:rFonts w:hint="eastAsia" w:ascii="宋体" w:hAnsi="宋体" w:eastAsia="宋体" w:cs="宋体"/>
          <w:sz w:val="24"/>
        </w:rPr>
      </w:pPr>
    </w:p>
    <w:p>
      <w:pPr>
        <w:rPr>
          <w:rFonts w:hint="eastAsia" w:ascii="宋体" w:hAnsi="宋体" w:eastAsia="宋体" w:cs="宋体"/>
          <w:sz w:val="24"/>
        </w:rPr>
      </w:pPr>
    </w:p>
    <w:p>
      <w:pPr>
        <w:pStyle w:val="18"/>
        <w:rPr>
          <w:rFonts w:hint="eastAsia" w:ascii="宋体" w:hAnsi="宋体" w:eastAsia="宋体" w:cs="宋体"/>
          <w:sz w:val="24"/>
        </w:rPr>
      </w:pPr>
    </w:p>
    <w:p>
      <w:pPr>
        <w:rPr>
          <w:rFonts w:hint="eastAsia"/>
        </w:rPr>
      </w:pP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合同通用条款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第一条  定义</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除本合同上下文中另有规定外，下列各词语定义如下：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1.1“买方”见《合同专用条款》。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1.2“卖方”见《合同专用条款》。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1.3“工作现场”见《合同专用条款》。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1.4“合同标的”见合同附件4。</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1.5“技术资料”是指与合同标的的安装、试运行、验收、操作以及维修有关的技术指标、规格、图纸和文件。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1.6“技术培训”是指在合同标的的安装、试运行、验收、操作、维修以及其他方面卖方给予买方的培训。</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1.7“安装”是指有关合同标的、备件和材料的安装工作。</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1.8“试运行”是指为验明合同标的的技术性能，在安装完毕后对合同标的进行的测试。</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1.9“验收”是指根据合同附件2的规定进行的，用以确定合同标的是否达到合同附件2 所规定的技术性能的检验，以及合同标的在达到合同附件2 规定的技术性能之后，买方对合同标的的接受。</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1.10“合同货币”见《合同专用条款》。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1.11“合同价格”见合同附件4。</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1.12“合同生效日”见《合同协议书》（合同附件1）第5 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1.13“日”是指日历天数。</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1.14“月”是指日历月数。</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1.15“采购需求” 见合同附件6。</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第二条 合同范围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2.1买方同意从卖方购买、卖方同意向买方出售和提供的合同标的以及相关售后服务、技术培训和技术资料。</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2.2数量：见招标文件第六章《采购需求》中“三、数量要求”。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第三条 价格</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3.1 合同总价见《合同专用条款》。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3.2 合同总价是固定价格。</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第四条 支付（采购资金的支付方式、时间、条件）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4.1买方应按照《合同专用条款》的规定进行支付。如果卖方未能按照《合同专用条款》的要求提交支付文件，由此产生的所有责任和发生的所有费用，均由卖方承担。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4.2卖方有义务根据合同的规定向买方支付违约金和/或赔偿金时，买方有权从任何一笔应付款或卖方的履约保证金中予以扣除。</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第五条 交货（货物、服务提供的时间、地点、方式）</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5.1交货期限、批次和交货条件见《合同专用条款》。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trike/>
          <w:sz w:val="24"/>
        </w:rPr>
      </w:pPr>
      <w:r>
        <w:rPr>
          <w:rFonts w:hint="eastAsia" w:ascii="宋体" w:hAnsi="宋体" w:eastAsia="宋体" w:cs="宋体"/>
          <w:sz w:val="24"/>
        </w:rPr>
        <w:t>5.2交货地点见《合同专用条款》。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5.3在《合同专用条款》规定的期限内，卖方应将合同号、合同标的的名称、数量、金额、包装件数以及交货的时间以书面方式通知买方。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5.4卖方应按下列规定交付合同标的：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5.4.1卖方负责将合同标的送至《合同专用条款》规定的交货地点。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5.4.2买方出具的收据日期是合同标的的实际交货日期。</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5.5如果卖方未能按照合同规定的交货期限交货，卖方应按《合同专用条款》的规定支付违约金或提供其他救济。</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第六条 包装与标记</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6.1除非合同中另有规定，合同标的应保持产品制造企业原包装完好。</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6.2在合同标的的每件包装中都应附有下列单据：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trike/>
          <w:sz w:val="24"/>
        </w:rPr>
      </w:pPr>
      <w:r>
        <w:rPr>
          <w:rFonts w:hint="eastAsia" w:ascii="宋体" w:hAnsi="宋体" w:eastAsia="宋体" w:cs="宋体"/>
          <w:sz w:val="24"/>
        </w:rPr>
        <w:t xml:space="preserve">A. 装箱明细单；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trike/>
          <w:sz w:val="24"/>
        </w:rPr>
      </w:pPr>
      <w:r>
        <w:rPr>
          <w:rFonts w:hint="eastAsia" w:ascii="宋体" w:hAnsi="宋体" w:eastAsia="宋体" w:cs="宋体"/>
          <w:sz w:val="24"/>
        </w:rPr>
        <w:t xml:space="preserve">B. 质量合格证；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trike/>
          <w:sz w:val="24"/>
        </w:rPr>
      </w:pPr>
      <w:r>
        <w:rPr>
          <w:rFonts w:hint="eastAsia" w:ascii="宋体" w:hAnsi="宋体" w:eastAsia="宋体" w:cs="宋体"/>
          <w:sz w:val="24"/>
        </w:rPr>
        <w:t>C. 技术资料。</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第七条 技术资料</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7.1 技术资料交付的期限和方式见《合同专用条款》。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第八条 安装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8.1 合同标的的安装期限见《合同专用条款》。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8.2项目实施见合同附件7。</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第九条 验收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9.1合同标的的试运行、验收见《合同专用条款》。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9.2如果合同附件2 所规定的所有技术性能在验收中都已经达到，双方应在验收合格后5 日内签署验收书。</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9.3验收标准（验收要求、验收标准和程序）：见合同附件5。</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第十条 售后服务和技术培训</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10.1售后服务和技术培训见合同附件3。</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第十一条 索赔</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11.1如果合同标的在安装、试运行和验收中卖方未能履行其在本合同项下承担的义务，买方有权向卖方提出索赔并寻求《合同专用条款》中规定的救济方式，救济方式包括：</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 卖方替换不符合合同规定的合同标的。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 按质量低劣的程度、买方受损害的程度及损失的数额对合同标的进行降价。</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 拒收合同标的。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D. 赔偿由卖方违约引起的其他损失。</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第十二条 不可抗力</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12.2受不可抗力事件影响的合同一方对于不可抗力事件导致的任何合同义务的迟延履行或不能履行不承担责任。但该方应尽快以书面方式将不可抗力事件结束或其影响消除的情况通知另一方。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12.3合同双方应在不可抗力事件结束或其影响消除后立即继续履行其合同义务，如果不可抗力事件的影响持续超过《合同专用条款》规定的期限，合同任何一方均有权发出书面通知终止合同。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第十三条 合同的终止</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13.1如果卖方有下述违约行为之一或《合同专用条款》中规定的其他违约行为，在不妨碍买方采取其它救济手段的情况下，买方可以向卖方发出书面违约通知，全部或部分地终止合同。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A. 卖方在合同规定的交货期限后未能按《合同专用条款》中规定的最终期限交付合同标的和/或技术资料；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B. 合同标的未能达到合同附件2 规定的技术性能；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 卖方未能履行合同项下任何其它义务，并且在收到买方违约通知后未能按《合同专用条款》中规定的期限对其违约行为作出补救。</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13.2如果一方破产或发生资不抵债的情况,合同另一方有权在任何时候发出书面通知终止合同。此种情况下合同的终止不妨碍或影响行使任何可能的其它救济手段。</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13.3如果买方认定卖方在投标或执行合同中有腐败或欺诈行为,买方有权在任何时候发出书面通知终止合同。</w:t>
      </w:r>
    </w:p>
    <w:p>
      <w:pPr>
        <w:keepNext w:val="0"/>
        <w:keepLines w:val="0"/>
        <w:pageBreakBefore w:val="0"/>
        <w:widowControl w:val="0"/>
        <w:kinsoku/>
        <w:wordWrap/>
        <w:overflowPunct/>
        <w:topLinePunct w:val="0"/>
        <w:autoSpaceDE/>
        <w:autoSpaceDN/>
        <w:bidi w:val="0"/>
        <w:spacing w:line="400" w:lineRule="exact"/>
        <w:ind w:left="1" w:firstLine="537" w:firstLineChars="224"/>
        <w:textAlignment w:val="auto"/>
        <w:rPr>
          <w:rFonts w:hint="eastAsia" w:ascii="宋体" w:hAnsi="宋体" w:eastAsia="宋体" w:cs="宋体"/>
          <w:sz w:val="24"/>
        </w:rPr>
      </w:pPr>
      <w:r>
        <w:rPr>
          <w:rFonts w:hint="eastAsia" w:ascii="宋体" w:hAnsi="宋体" w:eastAsia="宋体" w:cs="宋体"/>
          <w:sz w:val="24"/>
        </w:rPr>
        <w:t>A.“腐败行为”系指在招标、采购和合同执行等过程中，为谋求利益、影响相关人员而提供、给予、接受或索取任何有价物的行为。</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B.“欺诈行为”系指为了影响招标、采购和合同执行等过程而隐瞒事实，从而给买方造成损害的行为，其中包括投标人之间的串通行为。</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13.4 在买方全部或部分终止合同的情况下，卖方应按《合同专用条款》的规定对买方给予补偿。</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第十四条 争议的解决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14.1 因执行本合同所发生的或者与本合同有关的一切争议由合同双方通过友好协商解决，如果不能协商一致，按《合同专用条款》规定的方式解决。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第十五条 适用法律</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15.1 本合同的执行和争议的解决适用中华人民共和国的法律并按中华人民共和国的法律进行解释。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第十六条  权利保证</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16.1卖方应保证买方在使用合同标的时不受第三方提出侵犯其专利权、版权、商标权或其他权利的起诉。一旦出现侵权，卖方承担全部责任。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第十七条  保密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17.2上述秘密，卖方只能用于本合同，而且只能由卖方相应的人员使用；没有必要接触的卖方人员，不得接触。</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17.3卖方应当采取适当有效的方式保护所获取的上述秘密。</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第十八条 合同生效及其他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18.1 本合同在合同协议书（合同附件1）规定的条件全部满足后生效。</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18.2合同项下全部权利义务履行完毕后，本合同自动失效。合同履行期满后，合同项下任何尚未了结的债权和债务不受合同履行期的影响，债务人仍应向债权人履行其义务。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18.3 合同双方各自承担与本合同有关的应负税费。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18.4合同双方除非《合同专用条款》另有规定，所有合同文件及相关的修订和合同双方之间的书面联络，应使用中文书就并按中文解释。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18.5对本合同的任何补充、增添或修改以书面方式进行。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18.6没有另一方的事先书面同意，合同任何一方不得将合同项下的任何权利和义务转让给第三方。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18.8合同条款中的标题和边注仅供参考使用，不应视为合同的一部分，也不影响本文的解释。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18.9合同构成买方和卖方之间就合同主要内容方面的完整协议，并且取代合同签订前所有关于这方面的通讯、协商、协议(不论是书面的，还是口头的)。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18.10买方应当自政府采购合同签订之日起2个工作日内，将政府采购合同在省级以上人民政府财政部门指定的媒体上公告，但政府采购合同中涉及国家秘密、商业秘密的内容除外。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18.11合同双方之间的一切联络往来应以书面形式按《合同专用条款》中规定的通讯地址发往合同另一方。有关重要事项的传真应及时用挂号信或快件确认。</w:t>
      </w:r>
    </w:p>
    <w:p>
      <w:pPr>
        <w:keepNext w:val="0"/>
        <w:keepLines w:val="0"/>
        <w:pageBreakBefore w:val="0"/>
        <w:widowControl w:val="0"/>
        <w:kinsoku/>
        <w:wordWrap/>
        <w:overflowPunct/>
        <w:topLinePunct w:val="0"/>
        <w:autoSpaceDE/>
        <w:autoSpaceDN/>
        <w:bidi w:val="0"/>
        <w:spacing w:line="400" w:lineRule="exact"/>
        <w:ind w:firstLine="600" w:firstLineChars="200"/>
        <w:textAlignment w:val="auto"/>
        <w:rPr>
          <w:rFonts w:hint="eastAsia" w:ascii="宋体" w:hAnsi="宋体" w:eastAsia="宋体" w:cs="宋体"/>
          <w:sz w:val="30"/>
          <w:szCs w:val="30"/>
        </w:rPr>
      </w:pPr>
    </w:p>
    <w:p>
      <w:pPr>
        <w:pStyle w:val="2"/>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400" w:lineRule="exact"/>
        <w:ind w:firstLine="600" w:firstLineChars="200"/>
        <w:jc w:val="center"/>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400" w:lineRule="exact"/>
        <w:ind w:firstLine="600" w:firstLineChars="200"/>
        <w:jc w:val="center"/>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400" w:lineRule="exact"/>
        <w:ind w:firstLine="600" w:firstLineChars="200"/>
        <w:jc w:val="center"/>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400" w:lineRule="exact"/>
        <w:ind w:firstLine="600" w:firstLineChars="200"/>
        <w:jc w:val="center"/>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360" w:lineRule="auto"/>
        <w:ind w:firstLine="600" w:firstLineChars="200"/>
        <w:jc w:val="center"/>
        <w:textAlignment w:val="auto"/>
        <w:rPr>
          <w:rFonts w:hint="eastAsia" w:ascii="宋体" w:hAnsi="宋体" w:eastAsia="宋体" w:cs="宋体"/>
          <w:sz w:val="30"/>
          <w:szCs w:val="30"/>
        </w:rPr>
      </w:pPr>
      <w:r>
        <w:rPr>
          <w:rFonts w:hint="eastAsia" w:ascii="宋体" w:hAnsi="宋体" w:eastAsia="宋体" w:cs="宋体"/>
          <w:sz w:val="30"/>
          <w:szCs w:val="30"/>
        </w:rPr>
        <w:t>合同专用条款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《合同专用条款》中的条款项号是与《合同通用条款》中的条款项号对应的，其增加的内容和条款，是对《合同通用条款》的补充、修改和完善，如果有矛盾的话，以《合同专用条款》为准。</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第一条 定义</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1.1 “买方”为。</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1.2 “卖方”为。</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1.3 “工作现场”为</w:t>
      </w:r>
      <w:r>
        <w:rPr>
          <w:rFonts w:hint="eastAsia" w:ascii="宋体" w:hAnsi="宋体" w:eastAsia="宋体" w:cs="宋体"/>
          <w:sz w:val="24"/>
          <w:u w:val="single"/>
        </w:rPr>
        <w:t>买方指定地点</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1.10 “合同货币”即</w:t>
      </w:r>
      <w:r>
        <w:rPr>
          <w:rFonts w:hint="eastAsia" w:ascii="宋体" w:hAnsi="宋体" w:eastAsia="宋体" w:cs="宋体"/>
          <w:sz w:val="24"/>
          <w:u w:val="single"/>
        </w:rPr>
        <w:t>人民币</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第三条 价格</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3.1合同总价为￥大写：人民币。</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第四条 支付（采购资金的支付方式、时间、条件）</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经双方协商一致，卖方选择以下第种付款方式：</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（一）付款方式（不提交预付款保函的）</w:t>
      </w:r>
    </w:p>
    <w:p>
      <w:pPr>
        <w:keepNext w:val="0"/>
        <w:keepLines w:val="0"/>
        <w:pageBreakBefore w:val="0"/>
        <w:widowControl w:val="0"/>
        <w:kinsoku/>
        <w:wordWrap/>
        <w:overflowPunct/>
        <w:topLinePunct w:val="0"/>
        <w:autoSpaceDE/>
        <w:autoSpaceDN/>
        <w:bidi w:val="0"/>
        <w:adjustRightInd w:val="0"/>
        <w:snapToGrid w:val="0"/>
        <w:spacing w:line="400" w:lineRule="exact"/>
        <w:ind w:left="898" w:leftChars="342" w:hanging="180" w:hangingChars="75"/>
        <w:textAlignment w:val="auto"/>
        <w:rPr>
          <w:rFonts w:hint="eastAsia" w:ascii="宋体" w:hAnsi="宋体" w:eastAsia="宋体" w:cs="宋体"/>
          <w:sz w:val="24"/>
        </w:rPr>
      </w:pPr>
      <w:r>
        <w:rPr>
          <w:rFonts w:hint="eastAsia" w:ascii="宋体" w:hAnsi="宋体" w:eastAsia="宋体" w:cs="宋体"/>
          <w:sz w:val="24"/>
        </w:rPr>
        <w:t>4.1.1合同总价的百分之</w:t>
      </w:r>
      <w:r>
        <w:rPr>
          <w:rFonts w:hint="eastAsia" w:ascii="宋体" w:hAnsi="宋体" w:eastAsia="宋体" w:cs="宋体"/>
          <w:sz w:val="24"/>
          <w:u w:val="single"/>
        </w:rPr>
        <w:t>三十</w:t>
      </w:r>
      <w:r>
        <w:rPr>
          <w:rFonts w:hint="eastAsia" w:ascii="宋体" w:hAnsi="宋体" w:eastAsia="宋体" w:cs="宋体"/>
          <w:sz w:val="24"/>
        </w:rPr>
        <w:t>(</w:t>
      </w:r>
      <w:r>
        <w:rPr>
          <w:rFonts w:hint="eastAsia" w:ascii="宋体" w:hAnsi="宋体" w:eastAsia="宋体" w:cs="宋体"/>
          <w:sz w:val="24"/>
          <w:u w:val="single"/>
        </w:rPr>
        <w:t>30</w:t>
      </w:r>
      <w:r>
        <w:rPr>
          <w:rFonts w:hint="eastAsia" w:ascii="宋体" w:hAnsi="宋体" w:eastAsia="宋体" w:cs="宋体"/>
          <w:sz w:val="24"/>
        </w:rPr>
        <w:t>%)即￥大写：人民币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rPr>
      </w:pPr>
      <w:r>
        <w:rPr>
          <w:rFonts w:hint="eastAsia" w:ascii="宋体" w:hAnsi="宋体" w:eastAsia="宋体" w:cs="宋体"/>
          <w:sz w:val="24"/>
        </w:rPr>
        <w:t>，在合同签订生效，买方自收到收据（收据金额为合同总价的</w:t>
      </w:r>
      <w:r>
        <w:rPr>
          <w:rFonts w:hint="eastAsia" w:ascii="宋体" w:hAnsi="宋体" w:eastAsia="宋体" w:cs="宋体"/>
          <w:sz w:val="24"/>
          <w:u w:val="single"/>
        </w:rPr>
        <w:t>30</w:t>
      </w:r>
      <w:r>
        <w:rPr>
          <w:rFonts w:hint="eastAsia" w:ascii="宋体" w:hAnsi="宋体" w:eastAsia="宋体" w:cs="宋体"/>
          <w:sz w:val="24"/>
        </w:rPr>
        <w:t>%）后15日内，将资金支付到合同约定的卖方账户。</w:t>
      </w:r>
    </w:p>
    <w:p>
      <w:pPr>
        <w:keepNext w:val="0"/>
        <w:keepLines w:val="0"/>
        <w:pageBreakBefore w:val="0"/>
        <w:widowControl w:val="0"/>
        <w:kinsoku/>
        <w:wordWrap/>
        <w:overflowPunct/>
        <w:topLinePunct w:val="0"/>
        <w:autoSpaceDE/>
        <w:autoSpaceDN/>
        <w:bidi w:val="0"/>
        <w:adjustRightInd w:val="0"/>
        <w:snapToGrid w:val="0"/>
        <w:spacing w:line="400" w:lineRule="exact"/>
        <w:ind w:left="181" w:leftChars="86" w:firstLine="240" w:firstLineChars="100"/>
        <w:textAlignment w:val="auto"/>
        <w:rPr>
          <w:rFonts w:hint="eastAsia" w:ascii="宋体" w:hAnsi="宋体" w:eastAsia="宋体" w:cs="宋体"/>
          <w:sz w:val="24"/>
        </w:rPr>
      </w:pPr>
      <w:r>
        <w:rPr>
          <w:rFonts w:hint="eastAsia" w:ascii="宋体" w:hAnsi="宋体" w:eastAsia="宋体" w:cs="宋体"/>
          <w:sz w:val="24"/>
        </w:rPr>
        <w:t>合同总价的百分之</w:t>
      </w:r>
      <w:r>
        <w:rPr>
          <w:rFonts w:hint="eastAsia" w:ascii="宋体" w:hAnsi="宋体" w:eastAsia="宋体" w:cs="宋体"/>
          <w:sz w:val="24"/>
          <w:u w:val="single"/>
        </w:rPr>
        <w:t>七十</w:t>
      </w:r>
      <w:r>
        <w:rPr>
          <w:rFonts w:hint="eastAsia" w:ascii="宋体" w:hAnsi="宋体" w:eastAsia="宋体" w:cs="宋体"/>
          <w:sz w:val="24"/>
        </w:rPr>
        <w:t>(</w:t>
      </w:r>
      <w:r>
        <w:rPr>
          <w:rFonts w:hint="eastAsia" w:ascii="宋体" w:hAnsi="宋体" w:eastAsia="宋体" w:cs="宋体"/>
          <w:sz w:val="24"/>
          <w:u w:val="single"/>
        </w:rPr>
        <w:t>70</w:t>
      </w:r>
      <w:r>
        <w:rPr>
          <w:rFonts w:hint="eastAsia" w:ascii="宋体" w:hAnsi="宋体" w:eastAsia="宋体" w:cs="宋体"/>
          <w:sz w:val="24"/>
        </w:rPr>
        <w:t>%)即￥大写：人民币，经买方验收合格后，买方自收到发票（发票金额为合同总价的</w:t>
      </w:r>
      <w:r>
        <w:rPr>
          <w:rFonts w:hint="eastAsia" w:ascii="宋体" w:hAnsi="宋体" w:eastAsia="宋体" w:cs="宋体"/>
          <w:sz w:val="24"/>
          <w:u w:val="single"/>
        </w:rPr>
        <w:t>100</w:t>
      </w:r>
      <w:r>
        <w:rPr>
          <w:rFonts w:hint="eastAsia" w:ascii="宋体" w:hAnsi="宋体" w:eastAsia="宋体" w:cs="宋体"/>
          <w:sz w:val="24"/>
        </w:rPr>
        <w:t>%）后 15日内，将资金支付到合同约定的卖方账户。</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卖方需提交的支付文件包括：</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（二）付款方式（提交预付款保函的）</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4.1.1合同总价的百分之</w:t>
      </w:r>
      <w:r>
        <w:rPr>
          <w:rFonts w:hint="eastAsia" w:ascii="宋体" w:hAnsi="宋体" w:eastAsia="宋体" w:cs="宋体"/>
          <w:sz w:val="24"/>
          <w:u w:val="single"/>
        </w:rPr>
        <w:t>五十</w:t>
      </w:r>
      <w:r>
        <w:rPr>
          <w:rFonts w:hint="eastAsia" w:ascii="宋体" w:hAnsi="宋体" w:eastAsia="宋体" w:cs="宋体"/>
          <w:sz w:val="24"/>
        </w:rPr>
        <w:t>(</w:t>
      </w:r>
      <w:r>
        <w:rPr>
          <w:rFonts w:hint="eastAsia" w:ascii="宋体" w:hAnsi="宋体" w:eastAsia="宋体" w:cs="宋体"/>
          <w:sz w:val="24"/>
          <w:u w:val="single"/>
        </w:rPr>
        <w:t>50</w:t>
      </w:r>
      <w:r>
        <w:rPr>
          <w:rFonts w:hint="eastAsia" w:ascii="宋体" w:hAnsi="宋体" w:eastAsia="宋体" w:cs="宋体"/>
          <w:sz w:val="24"/>
        </w:rPr>
        <w:t>%)即￥大写：人民币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rPr>
      </w:pPr>
      <w:r>
        <w:rPr>
          <w:rFonts w:hint="eastAsia" w:ascii="宋体" w:hAnsi="宋体" w:eastAsia="宋体" w:cs="宋体"/>
          <w:sz w:val="24"/>
        </w:rPr>
        <w:t>作为预付款，在合同签订生效且卖方向买方出具合同总价的百分之</w:t>
      </w:r>
      <w:r>
        <w:rPr>
          <w:rFonts w:hint="eastAsia" w:ascii="宋体" w:hAnsi="宋体" w:eastAsia="宋体" w:cs="宋体"/>
          <w:sz w:val="24"/>
          <w:u w:val="single"/>
        </w:rPr>
        <w:t xml:space="preserve"> 五十</w:t>
      </w:r>
      <w:r>
        <w:rPr>
          <w:rFonts w:hint="eastAsia" w:ascii="宋体" w:hAnsi="宋体" w:eastAsia="宋体" w:cs="宋体"/>
          <w:sz w:val="24"/>
        </w:rPr>
        <w:t>（</w:t>
      </w:r>
      <w:r>
        <w:rPr>
          <w:rFonts w:hint="eastAsia" w:ascii="宋体" w:hAnsi="宋体" w:eastAsia="宋体" w:cs="宋体"/>
          <w:sz w:val="24"/>
          <w:u w:val="single"/>
        </w:rPr>
        <w:t>50</w:t>
      </w:r>
      <w:r>
        <w:rPr>
          <w:rFonts w:hint="eastAsia" w:ascii="宋体" w:hAnsi="宋体" w:eastAsia="宋体" w:cs="宋体"/>
          <w:sz w:val="24"/>
        </w:rPr>
        <w:t xml:space="preserve"> %)即￥大写：人民币 的预付款保函，买方自收到收据（收据金额为合同总价的</w:t>
      </w:r>
      <w:r>
        <w:rPr>
          <w:rFonts w:hint="eastAsia" w:ascii="宋体" w:hAnsi="宋体" w:eastAsia="宋体" w:cs="宋体"/>
          <w:sz w:val="24"/>
          <w:u w:val="single"/>
        </w:rPr>
        <w:t xml:space="preserve"> 50 </w:t>
      </w:r>
      <w:r>
        <w:rPr>
          <w:rFonts w:hint="eastAsia" w:ascii="宋体" w:hAnsi="宋体" w:eastAsia="宋体" w:cs="宋体"/>
          <w:sz w:val="24"/>
        </w:rPr>
        <w:t>%）后15日内，将资金支付到合同约定的卖方账户。</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合同总价的百分之</w:t>
      </w:r>
      <w:r>
        <w:rPr>
          <w:rFonts w:hint="eastAsia" w:ascii="宋体" w:hAnsi="宋体" w:eastAsia="宋体" w:cs="宋体"/>
          <w:sz w:val="24"/>
          <w:u w:val="single"/>
        </w:rPr>
        <w:t>五十</w:t>
      </w:r>
      <w:r>
        <w:rPr>
          <w:rFonts w:hint="eastAsia" w:ascii="宋体" w:hAnsi="宋体" w:eastAsia="宋体" w:cs="宋体"/>
          <w:sz w:val="24"/>
        </w:rPr>
        <w:t>(</w:t>
      </w:r>
      <w:r>
        <w:rPr>
          <w:rFonts w:hint="eastAsia" w:ascii="宋体" w:hAnsi="宋体" w:eastAsia="宋体" w:cs="宋体"/>
          <w:sz w:val="24"/>
          <w:u w:val="single"/>
        </w:rPr>
        <w:t>50</w:t>
      </w:r>
      <w:r>
        <w:rPr>
          <w:rFonts w:hint="eastAsia" w:ascii="宋体" w:hAnsi="宋体" w:eastAsia="宋体" w:cs="宋体"/>
          <w:sz w:val="24"/>
        </w:rPr>
        <w:t>%)即￥大写：人民币，经买方验收合格后，买方自收到发票（发票金额为合同总价的100%）后15日内，将资金支付到合同约定的卖方账户。</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卖方需提交的支付文件包括：</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widowControl w:val="0"/>
        <w:kinsoku/>
        <w:wordWrap/>
        <w:overflowPunct/>
        <w:topLinePunct w:val="0"/>
        <w:autoSpaceDE/>
        <w:autoSpaceDN/>
        <w:bidi w:val="0"/>
        <w:adjustRightInd w:val="0"/>
        <w:snapToGrid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4.3  合同约定的卖方账户：</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开户银行：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银行帐号：</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4.4  买方逾期支付资金的，每逾期（10）天，买方向卖方支付合同总价的（0.1）%的违约金，但违约金的总数不超过合同总金额的（1）%。</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第五条 交货（货物、服务提供的时间、地点、方式）</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rPr>
      </w:pPr>
      <w:r>
        <w:rPr>
          <w:rFonts w:hint="eastAsia" w:ascii="宋体" w:hAnsi="宋体" w:eastAsia="宋体" w:cs="宋体"/>
          <w:sz w:val="24"/>
        </w:rPr>
        <w:t>5.1卖方应于</w:t>
      </w:r>
      <w:r>
        <w:rPr>
          <w:rFonts w:hint="eastAsia" w:ascii="宋体" w:hAnsi="宋体" w:eastAsia="宋体" w:cs="宋体"/>
          <w:sz w:val="24"/>
          <w:lang w:val="zh-CN" w:eastAsia="zh-CN"/>
        </w:rPr>
        <w:t>合同生效日后</w:t>
      </w:r>
      <w:r>
        <w:rPr>
          <w:rFonts w:hint="eastAsia" w:ascii="宋体" w:hAnsi="宋体" w:eastAsia="宋体" w:cs="宋体"/>
          <w:sz w:val="24"/>
          <w:u w:val="single"/>
          <w:lang w:val="zh-CN" w:eastAsia="zh-CN"/>
        </w:rPr>
        <w:t>30日内</w:t>
      </w:r>
      <w:r>
        <w:rPr>
          <w:rFonts w:hint="eastAsia" w:ascii="宋体" w:hAnsi="宋体" w:eastAsia="宋体" w:cs="宋体"/>
          <w:sz w:val="24"/>
          <w:lang w:val="zh-CN" w:eastAsia="zh-CN"/>
        </w:rPr>
        <w:t>将合同标的全部交付，安装调试完毕且验收合格。</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5.2 交货地点为</w:t>
      </w:r>
      <w:r>
        <w:rPr>
          <w:rFonts w:hint="eastAsia" w:ascii="宋体" w:hAnsi="宋体" w:eastAsia="宋体" w:cs="宋体"/>
          <w:sz w:val="24"/>
          <w:u w:val="single"/>
        </w:rPr>
        <w:t>买方指定地点</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5.3卖方应在不迟于每批合同标的备妥待运前</w:t>
      </w:r>
      <w:r>
        <w:rPr>
          <w:rFonts w:hint="eastAsia" w:ascii="宋体" w:hAnsi="宋体" w:eastAsia="宋体" w:cs="宋体"/>
          <w:sz w:val="24"/>
          <w:u w:val="single"/>
        </w:rPr>
        <w:t xml:space="preserve"> 5 </w:t>
      </w:r>
      <w:r>
        <w:rPr>
          <w:rFonts w:hint="eastAsia" w:ascii="宋体" w:hAnsi="宋体" w:eastAsia="宋体" w:cs="宋体"/>
          <w:sz w:val="24"/>
        </w:rPr>
        <w:t>日通知买方。</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5.5如果卖方未能按照合同规定的交货期限交货，卖方应按每天迟交合同标的金额的百分之</w:t>
      </w:r>
      <w:r>
        <w:rPr>
          <w:rFonts w:hint="eastAsia" w:ascii="宋体" w:hAnsi="宋体" w:eastAsia="宋体" w:cs="宋体"/>
          <w:sz w:val="24"/>
          <w:u w:val="single"/>
        </w:rPr>
        <w:t>一</w:t>
      </w:r>
      <w:r>
        <w:rPr>
          <w:rFonts w:hint="eastAsia" w:ascii="宋体" w:hAnsi="宋体" w:eastAsia="宋体" w:cs="宋体"/>
          <w:sz w:val="24"/>
        </w:rPr>
        <w:t xml:space="preserve"> (</w:t>
      </w:r>
      <w:r>
        <w:rPr>
          <w:rFonts w:hint="eastAsia" w:ascii="宋体" w:hAnsi="宋体" w:eastAsia="宋体" w:cs="宋体"/>
          <w:sz w:val="24"/>
          <w:u w:val="single"/>
        </w:rPr>
        <w:t>1</w:t>
      </w:r>
      <w:r>
        <w:rPr>
          <w:rFonts w:hint="eastAsia" w:ascii="宋体" w:hAnsi="宋体" w:eastAsia="宋体" w:cs="宋体"/>
          <w:sz w:val="24"/>
        </w:rPr>
        <w:t>%)的比率支付违约金。违约金的总金额不超过合同总价的百分之</w:t>
      </w:r>
      <w:r>
        <w:rPr>
          <w:rFonts w:hint="eastAsia" w:ascii="宋体" w:hAnsi="宋体" w:eastAsia="宋体" w:cs="宋体"/>
          <w:sz w:val="24"/>
          <w:u w:val="single"/>
        </w:rPr>
        <w:t>十</w:t>
      </w:r>
      <w:r>
        <w:rPr>
          <w:rFonts w:hint="eastAsia" w:ascii="宋体" w:hAnsi="宋体" w:eastAsia="宋体" w:cs="宋体"/>
          <w:sz w:val="24"/>
        </w:rPr>
        <w:t>(</w:t>
      </w:r>
      <w:r>
        <w:rPr>
          <w:rFonts w:hint="eastAsia" w:ascii="宋体" w:hAnsi="宋体" w:eastAsia="宋体" w:cs="宋体"/>
          <w:sz w:val="24"/>
          <w:u w:val="single"/>
        </w:rPr>
        <w:t>10</w:t>
      </w:r>
      <w:r>
        <w:rPr>
          <w:rFonts w:hint="eastAsia" w:ascii="宋体" w:hAnsi="宋体" w:eastAsia="宋体" w:cs="宋体"/>
          <w:sz w:val="24"/>
        </w:rPr>
        <w:t>%) ，违约金的支付不能免除卖方继续交付相关合同标的的义务。</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如果卖方在合同规定的交货期限后</w:t>
      </w:r>
      <w:r>
        <w:rPr>
          <w:rFonts w:hint="eastAsia" w:ascii="宋体" w:hAnsi="宋体" w:eastAsia="宋体" w:cs="宋体"/>
          <w:sz w:val="24"/>
          <w:u w:val="single"/>
        </w:rPr>
        <w:t>十</w:t>
      </w:r>
      <w:r>
        <w:rPr>
          <w:rFonts w:hint="eastAsia" w:ascii="宋体" w:hAnsi="宋体" w:eastAsia="宋体" w:cs="宋体"/>
          <w:sz w:val="24"/>
        </w:rPr>
        <w:t>日内仍未能交付全部或部分标的，在不妨碍买方采取其他救济手段的情况下，买方可以向卖方发出书面违约通知从而全部或部分地终止合同。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第六条 包装与标记</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6.4 商品（合同标的）包装具体要求：见《关于印发《商品包装政府采购需求标准（试行）》、 《快递包装政府采购需求标准（试行）》的通知》（财办库〔2020〕123号）中《商品包装政府采购需求标准（试行）》。</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6.5 快递包装具体要求：见《关于印发《商品包装政府采购需求标准（试行）》、 《快递包装政府采购需求标准（试行）》的通知》（财办库〔2020〕123号）中《快递包装政府采购需求标准（试行）》。</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第七条 技术资料</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7.1 技术资料随合同标的同时交付给买方。</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第八条 安装</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8.1卖方应于</w:t>
      </w:r>
      <w:r>
        <w:rPr>
          <w:rFonts w:hint="eastAsia" w:ascii="宋体" w:hAnsi="宋体" w:eastAsia="宋体" w:cs="宋体"/>
          <w:sz w:val="24"/>
          <w:lang w:val="zh-CN" w:eastAsia="zh-CN"/>
        </w:rPr>
        <w:t>合同生效日后</w:t>
      </w:r>
      <w:r>
        <w:rPr>
          <w:rFonts w:hint="eastAsia" w:ascii="宋体" w:hAnsi="宋体" w:eastAsia="宋体" w:cs="宋体"/>
          <w:sz w:val="24"/>
          <w:u w:val="single"/>
          <w:lang w:val="zh-CN" w:eastAsia="zh-CN"/>
        </w:rPr>
        <w:t>30日内</w:t>
      </w:r>
      <w:r>
        <w:rPr>
          <w:rFonts w:hint="eastAsia" w:ascii="宋体" w:hAnsi="宋体" w:eastAsia="宋体" w:cs="宋体"/>
          <w:sz w:val="24"/>
          <w:lang w:val="zh-CN" w:eastAsia="zh-CN"/>
        </w:rPr>
        <w:t>将合同标的全部交付，安装调试完毕且验收合格。</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8.2 项目实施：见合同附件7。</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第九条 验收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9.1合同标的的试运行、验收</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抽测中标灯具</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灯具到货后，随机抽取灯具若干件（每种型号随机抽取不低于 2 件灯具，包括配套的吊杆等主要配件），随封样样品，密封签章后同时送至一家或多家（采购人选定）合规检测机构（具有照明项目检测资质并通过 CMA 或 CNAS 认可）进行光电色、安全规范、电磁兼容性、蓝光等项目的实验室检测。验收时中标人（卖方）代表必须在场，并提供产品合格证、质量包装文件等相关证明材料。如抽检不合格，中标人（卖方）承担违约责任，并不予验收。因灯具验收不合格产生的返厂更换、器材存放地点房租以及再次灯具检测等一切费用和损失都由中标人（卖方）承担。灯具抽检全部达到或高于招标文件或投标文件技术要求，视为合格。中标人（卖方）可进行安装。</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第三方机构抽查</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采购人（买方）委托合规检测机构（具有照明项目检测资质并通过 CMA 或CNAS 认可）开展现场抽查并支付检测费用，现场抽测的教室比例不应低于该项目教室总数的 3%-5%。在抽测中应兼顾同一项目中的不同学校、以及同一学校的不同类型的教室。验收时，中标人（卖方）代表必须在场。如果现场抽查教室光环境不合格，中标人（卖方）承担违约责任，卖方应于30日内提供并安装符合要求的灯具。因灯具验收不合格产生的返厂更换、器材存放地点房租以及教室光环境再次抽检等一切费用和损失都由中标人（卖方）承担。教室光环境抽检全部达到或高于招标文件及或投标文件技术要求，视为合格。</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经采购人（买方）组织进行灯具质量检测和教室光环境验收合格后视为交付 ，验收不合格或者不符合质量要求，卖方除无条件退货、返工外，还应承担采购人一切损失，货物在交付前发生的风险均由中标人（卖方）负责。</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抽检验收费用</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采购人（买方）委托的具备相应资质的第三方质量监督检测机构等专业技术力量对货物验收和安装使用验收过程产生的一切费用由买方承担。</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第十一条 索赔</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11.1买方有权选择本条款规定的任意或全部救济方式。</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11.2卖方应在收到买方索赔要求后14日内作出书面回复，否则该索赔要求将被视为已被卖方接受。卖方应在买方发出索赔要求后14日内，按照买方选择的救济方法解决索赔事宜。</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第十二条 不可抗力</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12.3 如果不可抗力事件的影响持续超过20日，合同任何一方均有权发出书面通知终止合同。</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第十三条 合同的终止</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13.1如果卖方有下述违约行为，买方可以全部或部分地终止合同：</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卖方在合同规定的交货期限后</w:t>
      </w:r>
      <w:r>
        <w:rPr>
          <w:rFonts w:hint="eastAsia" w:ascii="宋体" w:hAnsi="宋体" w:eastAsia="宋体" w:cs="宋体"/>
          <w:sz w:val="24"/>
          <w:u w:val="single"/>
        </w:rPr>
        <w:t>10</w:t>
      </w:r>
      <w:r>
        <w:rPr>
          <w:rFonts w:hint="eastAsia" w:ascii="宋体" w:hAnsi="宋体" w:eastAsia="宋体" w:cs="宋体"/>
          <w:sz w:val="24"/>
        </w:rPr>
        <w:t>日内仍未能交付合同标的和/ 或技术资料；或者卖方未能履行合同项下任何其它义务，并且在收到买方违约通知后</w:t>
      </w:r>
      <w:r>
        <w:rPr>
          <w:rFonts w:hint="eastAsia" w:ascii="宋体" w:hAnsi="宋体" w:eastAsia="宋体" w:cs="宋体"/>
          <w:sz w:val="24"/>
          <w:u w:val="single"/>
        </w:rPr>
        <w:t>5</w:t>
      </w:r>
      <w:r>
        <w:rPr>
          <w:rFonts w:hint="eastAsia" w:ascii="宋体" w:hAnsi="宋体" w:eastAsia="宋体" w:cs="宋体"/>
          <w:sz w:val="24"/>
        </w:rPr>
        <w:t>日内仍未能对其违约行为作出补救。</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i/>
          <w:sz w:val="24"/>
          <w:u w:val="single"/>
        </w:rPr>
      </w:pPr>
      <w:r>
        <w:rPr>
          <w:rFonts w:hint="eastAsia" w:ascii="宋体" w:hAnsi="宋体" w:eastAsia="宋体" w:cs="宋体"/>
          <w:sz w:val="24"/>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第十四条 争议的解决</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14.1如果不能协商一致，合同任何一方有权向买方所在地人民法院提起诉讼。</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第十八条 合同生效及其他</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18.10 按照《财政部关于做好政府采购信息公开工作的通知》（财库〔2015〕135号），买方依据《保守国家秘密法》等法律制度规定确定本合同部分涉及国家秘密，该涉及国家秘密部分不公告；买方依据《反不正当竞争法》等法律制度的规定与卖方约定本合同部分涉及商业秘密，该涉及商业秘密部分不公告。</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18.11 合同双方的通讯地址：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买方:</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地址: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邮编: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电话: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传真: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卖方: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地址: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邮编: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电话: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 xml:space="preserve">传真: </w:t>
      </w:r>
    </w:p>
    <w:p>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18.12因买方原因导致变更、中止或者终止政府采购合同的，买方对卖方受到的实际损失予以赔偿或者补偿。</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rPr>
      </w:pPr>
      <w:r>
        <w:rPr>
          <w:rFonts w:hint="eastAsia" w:ascii="宋体" w:hAnsi="宋体" w:eastAsia="宋体" w:cs="宋体"/>
          <w:sz w:val="24"/>
        </w:rPr>
        <w:br w:type="page"/>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合同附件</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rPr>
      </w:pPr>
      <w:r>
        <w:rPr>
          <w:rFonts w:hint="eastAsia" w:ascii="宋体" w:hAnsi="宋体" w:eastAsia="宋体" w:cs="宋体"/>
          <w:sz w:val="24"/>
        </w:rPr>
        <w:t>目录</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合同附件1：合同协议书</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合同附件2：技术规格和技术性能</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(要求见招标文件第六章《采购需求》；合同见卖方投标文件中《所投产品的技术规格》。)</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合同附件3：售后服务</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(要求见招标文件第六章《采购需求》；合同见卖方投标文件中《售后服务方案》。)</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合同附件4：供货范围和价格清单</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(要求见招标文件第七章《投标文件相关格式》中《开标一览表》和《分项价格表》；合同见卖方投标文件中《开标一览表》和《分项价格表》。)</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合同附件5：验收标准（验收要求、验收标准和程序）</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30"/>
          <w:szCs w:val="30"/>
        </w:rPr>
      </w:pPr>
      <w:r>
        <w:rPr>
          <w:rFonts w:hint="eastAsia" w:ascii="宋体" w:hAnsi="宋体" w:eastAsia="宋体" w:cs="宋体"/>
          <w:sz w:val="24"/>
        </w:rPr>
        <w:t>(要求见招标文件第六章《采购需求》)</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合同附件6：采购需求</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(见招标文件第六章《采购需求》。)</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合同附件7：项目实施</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30"/>
          <w:szCs w:val="30"/>
        </w:rPr>
      </w:pPr>
      <w:r>
        <w:rPr>
          <w:rFonts w:hint="eastAsia" w:ascii="宋体" w:hAnsi="宋体" w:eastAsia="宋体" w:cs="宋体"/>
          <w:sz w:val="24"/>
        </w:rPr>
        <w:t>(要求见招标文件第六章《采购需求》；合同见卖方投标文件中《项目实施方案》。)</w:t>
      </w:r>
    </w:p>
    <w:p>
      <w:pPr>
        <w:keepNext w:val="0"/>
        <w:keepLines w:val="0"/>
        <w:pageBreakBefore w:val="0"/>
        <w:widowControl w:val="0"/>
        <w:kinsoku/>
        <w:wordWrap/>
        <w:overflowPunct/>
        <w:topLinePunct w:val="0"/>
        <w:autoSpaceDE/>
        <w:autoSpaceDN/>
        <w:bidi w:val="0"/>
        <w:spacing w:line="400" w:lineRule="exact"/>
        <w:ind w:firstLine="2700" w:firstLineChars="9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400" w:lineRule="exact"/>
        <w:ind w:firstLine="2700" w:firstLineChars="900"/>
        <w:textAlignment w:val="auto"/>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sz w:val="30"/>
          <w:szCs w:val="30"/>
        </w:rPr>
        <w:br w:type="page"/>
      </w:r>
    </w:p>
    <w:p>
      <w:pPr>
        <w:rPr>
          <w:rFonts w:hint="eastAsia" w:ascii="宋体" w:hAnsi="宋体" w:eastAsia="宋体" w:cs="宋体"/>
          <w:sz w:val="24"/>
        </w:rPr>
      </w:pPr>
      <w:r>
        <w:rPr>
          <w:rFonts w:hint="eastAsia" w:ascii="宋体" w:hAnsi="宋体" w:eastAsia="宋体" w:cs="宋体"/>
          <w:sz w:val="24"/>
        </w:rPr>
        <w:t>合同附件1：</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合同协议书</w:t>
      </w:r>
    </w:p>
    <w:p>
      <w:pPr>
        <w:spacing w:line="240" w:lineRule="auto"/>
        <w:jc w:val="right"/>
        <w:rPr>
          <w:rFonts w:hint="eastAsia" w:ascii="宋体" w:hAnsi="宋体" w:eastAsia="宋体" w:cs="宋体"/>
          <w:sz w:val="24"/>
        </w:rPr>
      </w:pPr>
      <w:r>
        <w:rPr>
          <w:rFonts w:hint="eastAsia" w:ascii="宋体" w:hAnsi="宋体" w:eastAsia="宋体" w:cs="宋体"/>
          <w:sz w:val="24"/>
        </w:rPr>
        <w:t xml:space="preserve">合同编号:____________ </w:t>
      </w:r>
    </w:p>
    <w:p>
      <w:pPr>
        <w:spacing w:line="240" w:lineRule="auto"/>
        <w:jc w:val="right"/>
        <w:rPr>
          <w:rFonts w:hint="eastAsia" w:ascii="宋体" w:hAnsi="宋体" w:eastAsia="宋体" w:cs="宋体"/>
          <w:sz w:val="24"/>
        </w:rPr>
      </w:pPr>
      <w:r>
        <w:rPr>
          <w:rFonts w:hint="eastAsia" w:ascii="宋体" w:hAnsi="宋体" w:eastAsia="宋体" w:cs="宋体"/>
          <w:sz w:val="24"/>
        </w:rPr>
        <w:t xml:space="preserve">签字日期:____________ </w:t>
      </w:r>
    </w:p>
    <w:p>
      <w:pPr>
        <w:spacing w:line="240" w:lineRule="auto"/>
        <w:jc w:val="right"/>
        <w:rPr>
          <w:rFonts w:hint="eastAsia" w:ascii="宋体" w:hAnsi="宋体" w:eastAsia="宋体" w:cs="宋体"/>
          <w:sz w:val="24"/>
        </w:rPr>
      </w:pPr>
      <w:r>
        <w:rPr>
          <w:rFonts w:hint="eastAsia" w:ascii="宋体" w:hAnsi="宋体" w:eastAsia="宋体" w:cs="宋体"/>
          <w:sz w:val="24"/>
        </w:rPr>
        <w:t xml:space="preserve">签字地点:____________ </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20"/>
        <w:textAlignment w:val="auto"/>
        <w:rPr>
          <w:rFonts w:hint="eastAsia" w:ascii="宋体" w:hAnsi="宋体" w:eastAsia="宋体" w:cs="宋体"/>
          <w:sz w:val="24"/>
        </w:rPr>
      </w:pPr>
      <w:r>
        <w:rPr>
          <w:rFonts w:hint="eastAsia" w:ascii="宋体" w:hAnsi="宋体" w:eastAsia="宋体" w:cs="宋体"/>
          <w:sz w:val="24"/>
        </w:rPr>
        <w:t>（以下简称“买方”）已接受（卖方名称）（以下简称“卖方”）对</w:t>
      </w:r>
      <w:r>
        <w:rPr>
          <w:rFonts w:hint="eastAsia" w:ascii="宋体" w:hAnsi="宋体" w:eastAsia="宋体" w:cs="宋体"/>
          <w:sz w:val="24"/>
          <w:u w:val="single"/>
        </w:rPr>
        <w:t>睢宁县2022年学校教室照明改造提升项目</w:t>
      </w:r>
      <w:r>
        <w:rPr>
          <w:rFonts w:hint="eastAsia" w:ascii="宋体" w:hAnsi="宋体" w:eastAsia="宋体" w:cs="宋体"/>
          <w:sz w:val="24"/>
        </w:rPr>
        <w:t>（项目编号：</w:t>
      </w:r>
      <w:r>
        <w:rPr>
          <w:rFonts w:hint="eastAsia" w:ascii="宋体" w:hAnsi="宋体" w:cs="宋体"/>
          <w:sz w:val="24"/>
          <w:u w:val="single"/>
          <w:lang w:eastAsia="zh-CN"/>
        </w:rPr>
        <w:t>JSZC-320324-RXGL-G2022-0008</w:t>
      </w:r>
      <w:r>
        <w:rPr>
          <w:rFonts w:hint="eastAsia" w:ascii="宋体" w:hAnsi="宋体" w:eastAsia="宋体" w:cs="宋体"/>
          <w:sz w:val="24"/>
        </w:rPr>
        <w:t>）的投标。买方和卖方共同达成如下协议。</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本合同协议书中的词语和术语的含义与合同条款中定义的相同。</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2. 以下文件应构成买方和卖方之间达成的合同，若各文件之间存在含糊不清或互相冲突之处，优先顺序应按下列文件顺序解释。</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(1) 合同协议书</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(2) 中标通知书</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(3) 合同专用条款</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(4) 合同通用条款</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(5) 除合同附件1外的合同附件</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(6) 其他文件</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3. 考虑到买方将按照本合同向卖方支付合同价款，卖方在此保证全部按照合同的规定向买方提供合同标的、技术资料、售后服务及技术培训。</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sz w:val="24"/>
        </w:rPr>
      </w:pPr>
      <w:r>
        <w:rPr>
          <w:rFonts w:hint="eastAsia" w:ascii="宋体" w:hAnsi="宋体" w:eastAsia="宋体" w:cs="宋体"/>
          <w:sz w:val="24"/>
        </w:rPr>
        <w:t>4. 考虑到卖方将按合同规定提供合同标的、技术资料、售后服务及技术培训，买方在此保证按照合同规定的时间和方式向卖方支付合同价款。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5. 本合同在下列条件全部满足后生效，生效日期以下列条件全部满足的最晚日期为准： </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rPr>
      </w:pPr>
      <w:r>
        <w:rPr>
          <w:rFonts w:hint="eastAsia" w:ascii="宋体" w:hAnsi="宋体" w:eastAsia="宋体" w:cs="宋体"/>
          <w:sz w:val="24"/>
        </w:rPr>
        <w:t xml:space="preserve">(1) 双方加盖公章或合同专用章；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宋体" w:hAnsi="宋体" w:eastAsia="宋体" w:cs="宋体"/>
          <w:sz w:val="24"/>
        </w:rPr>
      </w:pPr>
      <w:r>
        <w:rPr>
          <w:rFonts w:hint="eastAsia" w:ascii="宋体" w:hAnsi="宋体" w:eastAsia="宋体" w:cs="宋体"/>
          <w:sz w:val="24"/>
        </w:rPr>
        <w:t>(2) 买方收到卖方按政府采购合同金额（合同总价）的</w:t>
      </w:r>
      <w:r>
        <w:rPr>
          <w:rFonts w:hint="eastAsia" w:ascii="宋体" w:hAnsi="宋体" w:eastAsia="宋体" w:cs="宋体"/>
          <w:sz w:val="24"/>
          <w:u w:val="single"/>
        </w:rPr>
        <w:t>0</w:t>
      </w:r>
      <w:r>
        <w:rPr>
          <w:rFonts w:hint="eastAsia" w:ascii="宋体" w:hAnsi="宋体" w:eastAsia="宋体" w:cs="宋体"/>
          <w:sz w:val="24"/>
        </w:rPr>
        <w:t>%提交的履约保证金。</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6. 合同一式</w:t>
      </w:r>
      <w:r>
        <w:rPr>
          <w:rFonts w:hint="eastAsia" w:ascii="宋体" w:hAnsi="宋体" w:eastAsia="宋体" w:cs="宋体"/>
          <w:sz w:val="24"/>
          <w:u w:val="single"/>
        </w:rPr>
        <w:t xml:space="preserve"> 四 </w:t>
      </w:r>
      <w:r>
        <w:rPr>
          <w:rFonts w:hint="eastAsia" w:ascii="宋体" w:hAnsi="宋体" w:eastAsia="宋体" w:cs="宋体"/>
          <w:sz w:val="24"/>
        </w:rPr>
        <w:t>份，具有同等法律效力，买方</w:t>
      </w:r>
      <w:r>
        <w:rPr>
          <w:rFonts w:hint="eastAsia" w:ascii="宋体" w:hAnsi="宋体" w:eastAsia="宋体" w:cs="宋体"/>
          <w:sz w:val="24"/>
          <w:u w:val="single"/>
        </w:rPr>
        <w:t>一</w:t>
      </w:r>
      <w:r>
        <w:rPr>
          <w:rFonts w:hint="eastAsia" w:ascii="宋体" w:hAnsi="宋体" w:eastAsia="宋体" w:cs="宋体"/>
          <w:sz w:val="24"/>
        </w:rPr>
        <w:t>份，卖方</w:t>
      </w:r>
      <w:r>
        <w:rPr>
          <w:rFonts w:hint="eastAsia" w:ascii="宋体" w:hAnsi="宋体" w:eastAsia="宋体" w:cs="宋体"/>
          <w:sz w:val="24"/>
          <w:u w:val="single"/>
        </w:rPr>
        <w:t>一</w:t>
      </w:r>
      <w:r>
        <w:rPr>
          <w:rFonts w:hint="eastAsia" w:ascii="宋体" w:hAnsi="宋体" w:eastAsia="宋体" w:cs="宋体"/>
          <w:sz w:val="24"/>
        </w:rPr>
        <w:t>份，徐州市政府采购中心一份存档，政府采购管理部门一份备案。</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7. 本合同其他未尽事宜及与</w:t>
      </w:r>
      <w:r>
        <w:rPr>
          <w:rFonts w:hint="eastAsia" w:ascii="宋体" w:hAnsi="宋体" w:cs="宋体"/>
          <w:sz w:val="24"/>
          <w:lang w:eastAsia="zh-CN"/>
        </w:rPr>
        <w:t>招标文件</w:t>
      </w:r>
      <w:r>
        <w:rPr>
          <w:rFonts w:hint="eastAsia" w:ascii="宋体" w:hAnsi="宋体" w:eastAsia="宋体" w:cs="宋体"/>
          <w:sz w:val="24"/>
        </w:rPr>
        <w:t>有矛盾之处，以</w:t>
      </w:r>
      <w:r>
        <w:rPr>
          <w:rFonts w:hint="eastAsia" w:ascii="宋体" w:hAnsi="宋体" w:cs="宋体"/>
          <w:sz w:val="24"/>
          <w:lang w:eastAsia="zh-CN"/>
        </w:rPr>
        <w:t>招标文件</w:t>
      </w:r>
      <w:r>
        <w:rPr>
          <w:rFonts w:hint="eastAsia" w:ascii="宋体" w:hAnsi="宋体" w:eastAsia="宋体" w:cs="宋体"/>
          <w:sz w:val="24"/>
        </w:rPr>
        <w:t>[项目编号：</w:t>
      </w:r>
      <w:r>
        <w:rPr>
          <w:rFonts w:hint="eastAsia" w:ascii="宋体" w:hAnsi="宋体" w:cs="宋体"/>
          <w:sz w:val="24"/>
          <w:lang w:eastAsia="zh-CN"/>
        </w:rPr>
        <w:t>JSZC-320324-RXGL-G2022-0008</w:t>
      </w:r>
      <w:r>
        <w:rPr>
          <w:rFonts w:hint="eastAsia" w:ascii="宋体" w:hAnsi="宋体" w:cs="宋体"/>
          <w:sz w:val="24"/>
          <w:lang w:val="en-US" w:eastAsia="zh-CN"/>
        </w:rPr>
        <w:t>]</w:t>
      </w:r>
      <w:r>
        <w:rPr>
          <w:rFonts w:hint="eastAsia" w:ascii="宋体" w:hAnsi="宋体" w:eastAsia="宋体" w:cs="宋体"/>
          <w:sz w:val="24"/>
        </w:rPr>
        <w:t>为准。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买方和卖方由其正式授权代表于上述所写日期和地点签订本合同。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rPr>
      </w:pPr>
      <w:r>
        <w:rPr>
          <w:rFonts w:hint="eastAsia" w:ascii="宋体" w:hAnsi="宋体" w:eastAsia="宋体" w:cs="宋体"/>
          <w:sz w:val="24"/>
        </w:rPr>
        <w:t xml:space="preserve">买方（签章）：____________________________________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法定代表人或授权代表(签名)： ____________________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rPr>
      </w:pPr>
      <w:r>
        <w:rPr>
          <w:rFonts w:hint="eastAsia" w:ascii="宋体" w:hAnsi="宋体" w:eastAsia="宋体" w:cs="宋体"/>
          <w:sz w:val="24"/>
        </w:rPr>
        <w:t xml:space="preserve">卖方（签章）： ____________________________________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法定代表人或授权代表(签名)： ____________________ </w:t>
      </w:r>
    </w:p>
    <w:p>
      <w:pPr>
        <w:numPr>
          <w:ilvl w:val="0"/>
          <w:numId w:val="6"/>
        </w:numPr>
        <w:pBdr>
          <w:top w:val="none" w:color="000000" w:sz="0" w:space="0"/>
          <w:left w:val="none" w:color="000000" w:sz="0" w:space="0"/>
          <w:bottom w:val="none" w:color="000000" w:sz="0" w:space="0"/>
          <w:right w:val="none" w:color="000000" w:sz="0" w:space="0"/>
        </w:pBdr>
        <w:spacing w:line="720" w:lineRule="atLeast"/>
        <w:jc w:val="center"/>
        <w:outlineLvl w:val="0"/>
        <w:rPr>
          <w:rFonts w:hint="eastAsia" w:ascii="宋体" w:hAnsi="宋体" w:eastAsia="宋体" w:cs="宋体"/>
          <w:b/>
          <w:sz w:val="28"/>
          <w:szCs w:val="28"/>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linePitch="360" w:charSpace="0"/>
        </w:sectPr>
      </w:pPr>
    </w:p>
    <w:p>
      <w:pPr>
        <w:keepNext w:val="0"/>
        <w:keepLines w:val="0"/>
        <w:pageBreakBefore w:val="0"/>
        <w:widowControl w:val="0"/>
        <w:numPr>
          <w:ilvl w:val="0"/>
          <w:numId w:val="6"/>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szCs w:val="28"/>
        </w:rPr>
      </w:pPr>
      <w:r>
        <w:rPr>
          <w:rFonts w:hint="eastAsia" w:ascii="宋体" w:hAnsi="宋体" w:eastAsia="宋体" w:cs="宋体"/>
          <w:b/>
          <w:color w:val="000000"/>
          <w:sz w:val="30"/>
        </w:rPr>
        <w:t>采购需求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一、采购项目说明</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1.采购人：睢宁县教育局</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2.采购标的：教室灯、黑板灯;</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教室灯、黑板灯对应的中小企业划分标准所属行业为（工业）。</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注：中小企业划分标准所属行业以《工业和信息化部、国家统计局、国家发展和改革委员会、财政部关于印发中小企业划型标准规定的通知》（工信部联企业[2011]300号）的规定为准。</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3、本项目采购的是非进口产品。</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4、本项目为</w:t>
      </w:r>
      <w:r>
        <w:rPr>
          <w:rFonts w:hint="eastAsia" w:ascii="宋体" w:hAnsi="宋体" w:cs="宋体"/>
          <w:sz w:val="24"/>
          <w:lang w:val="en-US" w:eastAsia="zh-CN"/>
        </w:rPr>
        <w:t>非</w:t>
      </w:r>
      <w:r>
        <w:rPr>
          <w:rFonts w:hint="eastAsia" w:ascii="宋体" w:hAnsi="宋体" w:eastAsia="宋体" w:cs="宋体"/>
          <w:sz w:val="24"/>
        </w:rPr>
        <w:t>专门面向中小企业的项目。</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5、中标后，中标人与采购人签订政府采购合同。</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lang w:val="en-US" w:eastAsia="zh-CN"/>
        </w:rPr>
      </w:pPr>
      <w:r>
        <w:rPr>
          <w:rFonts w:hint="eastAsia" w:ascii="宋体" w:hAnsi="宋体" w:cs="宋体"/>
          <w:sz w:val="24"/>
          <w:lang w:val="en-US" w:eastAsia="zh-CN"/>
        </w:rPr>
        <w:t>6、质保期：</w:t>
      </w:r>
      <w:r>
        <w:rPr>
          <w:rFonts w:hint="eastAsia" w:ascii="宋体" w:hAnsi="宋体" w:eastAsia="宋体" w:cs="宋体"/>
          <w:sz w:val="24"/>
        </w:rPr>
        <w:t>从验收合格之日起不少于</w:t>
      </w:r>
      <w:r>
        <w:rPr>
          <w:rFonts w:hint="eastAsia" w:ascii="宋体" w:hAnsi="宋体" w:eastAsia="宋体" w:cs="宋体"/>
          <w:color w:val="auto"/>
          <w:sz w:val="24"/>
        </w:rPr>
        <w:t>3年</w:t>
      </w:r>
      <w:r>
        <w:rPr>
          <w:rFonts w:hint="eastAsia" w:ascii="宋体" w:hAnsi="宋体" w:cs="宋体"/>
          <w:sz w:val="24"/>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2" w:firstLineChars="200"/>
        <w:contextualSpacing/>
        <w:textAlignment w:val="auto"/>
        <w:rPr>
          <w:rFonts w:hint="eastAsia" w:ascii="宋体" w:hAnsi="宋体" w:eastAsia="宋体" w:cs="宋体"/>
          <w:b/>
          <w:bCs/>
          <w:sz w:val="24"/>
        </w:rPr>
      </w:pPr>
      <w:r>
        <w:rPr>
          <w:rFonts w:hint="eastAsia" w:ascii="宋体" w:hAnsi="宋体" w:eastAsia="宋体" w:cs="宋体"/>
          <w:b/>
          <w:bCs/>
          <w:sz w:val="24"/>
        </w:rPr>
        <w:t>二、采购项目预算金额及报价要求：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eastAsia="宋体" w:cs="宋体"/>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lang w:eastAsia="zh-CN"/>
        </w:rPr>
        <w:t>）：</w:t>
      </w:r>
      <w:r>
        <w:rPr>
          <w:rFonts w:hint="eastAsia" w:ascii="宋体" w:hAnsi="宋体" w:cs="宋体"/>
          <w:sz w:val="24"/>
          <w:lang w:eastAsia="zh-CN"/>
        </w:rPr>
        <w:t>610.8万元人民币（高于610.8万元作废标处理）</w:t>
      </w:r>
      <w:r>
        <w:rPr>
          <w:rFonts w:hint="eastAsia" w:ascii="宋体" w:hAnsi="宋体" w:eastAsia="宋体" w:cs="宋体"/>
          <w:sz w:val="24"/>
          <w:lang w:eastAsia="zh-CN"/>
        </w:rPr>
        <w:t>（</w:t>
      </w:r>
      <w:r>
        <w:rPr>
          <w:rFonts w:hint="eastAsia" w:ascii="宋体" w:hAnsi="宋体" w:eastAsia="宋体" w:cs="宋体"/>
          <w:sz w:val="24"/>
          <w:lang w:val="en-US" w:eastAsia="zh-CN"/>
        </w:rPr>
        <w:t>高于610.8万元作废标处理</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标段一</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204万元人民币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高于204万元人民币作废标处理</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标段二</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204万元人民币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高于204万元人民币作废标处理</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sz w:val="24"/>
          <w:lang w:eastAsia="zh-CN"/>
        </w:rPr>
      </w:pPr>
      <w:r>
        <w:rPr>
          <w:rFonts w:hint="eastAsia" w:ascii="宋体" w:hAnsi="宋体" w:eastAsia="宋体" w:cs="宋体"/>
          <w:b/>
          <w:bCs/>
          <w:sz w:val="24"/>
        </w:rPr>
        <w:t>标段三</w:t>
      </w:r>
      <w:r>
        <w:rPr>
          <w:rFonts w:hint="eastAsia" w:ascii="宋体" w:hAnsi="宋体" w:eastAsia="宋体" w:cs="宋体"/>
          <w:b/>
          <w:bCs/>
          <w:sz w:val="24"/>
          <w:lang w:eastAsia="zh-CN"/>
        </w:rPr>
        <w:t>：</w:t>
      </w:r>
      <w:r>
        <w:rPr>
          <w:rFonts w:hint="eastAsia" w:ascii="宋体" w:hAnsi="宋体" w:eastAsia="宋体" w:cs="宋体"/>
          <w:sz w:val="24"/>
          <w:lang w:val="en-US" w:eastAsia="zh-CN"/>
        </w:rPr>
        <w:t>最高投标限价</w:t>
      </w:r>
      <w:r>
        <w:rPr>
          <w:rFonts w:hint="eastAsia" w:ascii="宋体" w:hAnsi="宋体" w:eastAsia="宋体" w:cs="宋体"/>
          <w:sz w:val="24"/>
        </w:rPr>
        <w:t>202.8万元人民币</w:t>
      </w:r>
      <w:r>
        <w:rPr>
          <w:rFonts w:hint="eastAsia" w:ascii="宋体" w:hAnsi="宋体" w:eastAsia="宋体" w:cs="宋体"/>
          <w:sz w:val="24"/>
          <w:lang w:eastAsia="zh-CN"/>
        </w:rPr>
        <w:t>（</w:t>
      </w:r>
      <w:r>
        <w:rPr>
          <w:rFonts w:hint="eastAsia" w:ascii="宋体" w:hAnsi="宋体" w:eastAsia="宋体" w:cs="宋体"/>
          <w:sz w:val="24"/>
          <w:lang w:val="en-US" w:eastAsia="zh-CN"/>
        </w:rPr>
        <w:t>高于202.8万元人民币作废标处理</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4F0FBD"/>
          <w:sz w:val="28"/>
          <w:szCs w:val="28"/>
          <w:highlight w:val="lightGray"/>
          <w:lang w:eastAsia="zh-CN"/>
        </w:rPr>
      </w:pPr>
      <w:r>
        <w:rPr>
          <w:rFonts w:hint="eastAsia" w:ascii="宋体" w:hAnsi="宋体" w:cs="宋体"/>
          <w:b/>
          <w:bCs/>
          <w:color w:val="4F0FBD"/>
          <w:sz w:val="28"/>
          <w:szCs w:val="28"/>
          <w:highlight w:val="lightGray"/>
          <w:lang w:eastAsia="zh-CN"/>
        </w:rPr>
        <w:t>各供应商可以同时参与三个标段的投标，但按评标的先后顺序只能中一个标段，且同一品牌只能中一个标段。</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4F0FBD"/>
          <w:sz w:val="28"/>
          <w:szCs w:val="28"/>
          <w:highlight w:val="lightGray"/>
        </w:rPr>
      </w:pPr>
      <w:r>
        <w:rPr>
          <w:rFonts w:hint="eastAsia" w:ascii="宋体" w:hAnsi="宋体" w:cs="宋体"/>
          <w:b/>
          <w:bCs/>
          <w:color w:val="4F0FBD"/>
          <w:sz w:val="28"/>
          <w:szCs w:val="28"/>
          <w:highlight w:val="lightGray"/>
          <w:lang w:eastAsia="zh-CN"/>
        </w:rPr>
        <w:t>开标、评标先后顺序为：第一标段、第二标段、第三标段</w:t>
      </w:r>
      <w:r>
        <w:rPr>
          <w:rFonts w:hint="eastAsia" w:ascii="宋体" w:hAnsi="宋体" w:eastAsia="宋体" w:cs="宋体"/>
          <w:b/>
          <w:bCs/>
          <w:color w:val="4F0FBD"/>
          <w:sz w:val="28"/>
          <w:szCs w:val="28"/>
          <w:highlight w:val="lightGray"/>
        </w:rPr>
        <w:t>。</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4F0FBD"/>
          <w:sz w:val="28"/>
          <w:szCs w:val="28"/>
          <w:highlight w:val="lightGray"/>
        </w:rPr>
      </w:pPr>
      <w:r>
        <w:rPr>
          <w:rFonts w:hint="eastAsia" w:ascii="宋体" w:hAnsi="宋体" w:eastAsia="宋体" w:cs="宋体"/>
          <w:b/>
          <w:bCs/>
          <w:color w:val="4F0FBD"/>
          <w:sz w:val="28"/>
          <w:szCs w:val="28"/>
          <w:highlight w:val="lightGray"/>
        </w:rPr>
        <w:t>同时参与多个标段投标的供应商，如前一标段中标，</w:t>
      </w:r>
      <w:r>
        <w:rPr>
          <w:rFonts w:hint="eastAsia" w:ascii="宋体" w:hAnsi="宋体" w:eastAsia="宋体" w:cs="宋体"/>
          <w:b/>
          <w:bCs/>
          <w:color w:val="4F0FBD"/>
          <w:sz w:val="28"/>
          <w:szCs w:val="28"/>
          <w:highlight w:val="lightGray"/>
          <w:lang w:val="en-US" w:eastAsia="zh-CN"/>
        </w:rPr>
        <w:t>仍需</w:t>
      </w:r>
      <w:r>
        <w:rPr>
          <w:rFonts w:hint="eastAsia" w:ascii="宋体" w:hAnsi="宋体" w:eastAsia="宋体" w:cs="宋体"/>
          <w:b/>
          <w:bCs/>
          <w:color w:val="4F0FBD"/>
          <w:sz w:val="28"/>
          <w:szCs w:val="28"/>
          <w:highlight w:val="lightGray"/>
        </w:rPr>
        <w:t>参与下一标段的评标，否则所有投标、中标均无效。</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报价包括灯具、光源及电线、线槽、固定支架、膨胀螺栓、接线端子、开关等安装所需配件、教室原灯具拆除、材料损耗、材料保管、运输、安装、调试、验收、保险、人工费用、机械费用、食宿与交通、安装后垃圾清理、管理、质保、税费、利润、完成合同所需的一切本身和不可或缺的所有工作开支、政策性文件规定及合同包含的所有风险、责任等各项全部费用。采购人不再支付报价以外的任何费用。</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sz w:val="24"/>
        </w:rPr>
      </w:pPr>
      <w:r>
        <w:rPr>
          <w:rFonts w:hint="eastAsia" w:ascii="宋体" w:hAnsi="宋体" w:eastAsia="宋体" w:cs="宋体"/>
          <w:b/>
          <w:color w:val="000000"/>
          <w:sz w:val="24"/>
        </w:rPr>
        <w:t>说明：本“二、采购项目预算金额及报价要求”为不允许偏离的实质性要求和条件，如有偏离，在符合性审查时按照投标无效处理。</w:t>
      </w:r>
    </w:p>
    <w:p>
      <w:pPr>
        <w:ind w:firstLine="482" w:firstLineChars="200"/>
        <w:rPr>
          <w:rFonts w:hint="eastAsia" w:ascii="宋体" w:hAnsi="宋体" w:eastAsia="宋体" w:cs="宋体"/>
          <w:b/>
          <w:bCs/>
          <w:sz w:val="24"/>
        </w:rPr>
      </w:pPr>
      <w:r>
        <w:rPr>
          <w:rFonts w:hint="eastAsia" w:ascii="宋体" w:hAnsi="宋体" w:eastAsia="宋体" w:cs="宋体"/>
          <w:b/>
          <w:bCs/>
          <w:sz w:val="24"/>
        </w:rPr>
        <w:t>三、数量要求：</w:t>
      </w:r>
    </w:p>
    <w:tbl>
      <w:tblPr>
        <w:tblStyle w:val="42"/>
        <w:tblW w:w="9164" w:type="dxa"/>
        <w:jc w:val="center"/>
        <w:tblLayout w:type="fixed"/>
        <w:tblCellMar>
          <w:top w:w="0" w:type="dxa"/>
          <w:left w:w="108" w:type="dxa"/>
          <w:bottom w:w="0" w:type="dxa"/>
          <w:right w:w="108" w:type="dxa"/>
        </w:tblCellMar>
      </w:tblPr>
      <w:tblGrid>
        <w:gridCol w:w="810"/>
        <w:gridCol w:w="990"/>
        <w:gridCol w:w="2025"/>
        <w:gridCol w:w="1755"/>
        <w:gridCol w:w="1785"/>
        <w:gridCol w:w="1799"/>
      </w:tblGrid>
      <w:tr>
        <w:tblPrEx>
          <w:tblCellMar>
            <w:top w:w="0" w:type="dxa"/>
            <w:left w:w="108" w:type="dxa"/>
            <w:bottom w:w="0" w:type="dxa"/>
            <w:right w:w="108" w:type="dxa"/>
          </w:tblCellMar>
        </w:tblPrEx>
        <w:trPr>
          <w:trHeight w:val="47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标段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学校名称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教室数（间）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黑板灯（盏）</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教室灯（盏）</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标段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县二中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675</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新城区初中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540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高作初中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135</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沙集中学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凌北中学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198</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邱集中学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99</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官山中学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342</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王林中学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李集二中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207</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桃园中学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162</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朱集中学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王集二中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234</w:t>
            </w:r>
          </w:p>
        </w:tc>
      </w:tr>
      <w:tr>
        <w:tblPrEx>
          <w:tblCellMar>
            <w:top w:w="0" w:type="dxa"/>
            <w:left w:w="108" w:type="dxa"/>
            <w:bottom w:w="0" w:type="dxa"/>
            <w:right w:w="108" w:type="dxa"/>
          </w:tblCellMar>
        </w:tblPrEx>
        <w:trPr>
          <w:trHeight w:val="40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9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1020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3060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9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标段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岚山中学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117</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双沟二中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153</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姚集中学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216</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魏集中学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梁集中学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庆安中学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135</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古邳中学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153</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睢中初中部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睢中附中初中部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396</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县一中附中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243</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南门学校初中部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288</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城西学校初中部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450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高集学校初中部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162</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高铁学校初中部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171</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99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特教中心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198</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9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rPr>
            </w:pPr>
            <w:r>
              <w:rPr>
                <w:rFonts w:hint="eastAsia" w:ascii="宋体" w:hAnsi="宋体" w:eastAsia="宋体" w:cs="宋体"/>
                <w:b/>
                <w:bCs/>
                <w:color w:val="000000"/>
                <w:sz w:val="24"/>
                <w:szCs w:val="24"/>
              </w:rPr>
              <w:t>340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1020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3060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28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标段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睢宁中学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540</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29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第一中学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228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684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李集中学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123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369</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王集中学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93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279</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空港一中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54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162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486</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空港一中新校区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72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216</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凌城中学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105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315</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苏塘中学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99</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36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刘圩学校初中部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54</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338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1014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3042</w:t>
            </w:r>
          </w:p>
        </w:tc>
      </w:tr>
      <w:tr>
        <w:tblPrEx>
          <w:tblCellMar>
            <w:top w:w="0" w:type="dxa"/>
            <w:left w:w="108" w:type="dxa"/>
            <w:bottom w:w="0" w:type="dxa"/>
            <w:right w:w="108" w:type="dxa"/>
          </w:tblCellMar>
        </w:tblPrEx>
        <w:trPr>
          <w:trHeight w:val="31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bidi="ar-SA"/>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总计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rPr>
              <w:t>1018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3054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9162</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sz w:val="24"/>
        </w:rPr>
      </w:pPr>
      <w:r>
        <w:rPr>
          <w:rFonts w:hint="eastAsia" w:ascii="宋体" w:hAnsi="宋体" w:eastAsia="宋体" w:cs="宋体"/>
          <w:b/>
          <w:color w:val="000000"/>
          <w:sz w:val="24"/>
        </w:rPr>
        <w:t>说明：本“</w:t>
      </w:r>
      <w:r>
        <w:rPr>
          <w:rFonts w:hint="eastAsia" w:ascii="宋体" w:hAnsi="宋体" w:eastAsia="宋体" w:cs="宋体"/>
          <w:b/>
          <w:sz w:val="24"/>
        </w:rPr>
        <w:t>三、数量要求</w:t>
      </w:r>
      <w:r>
        <w:rPr>
          <w:rFonts w:hint="eastAsia" w:ascii="宋体" w:hAnsi="宋体" w:eastAsia="宋体" w:cs="宋体"/>
          <w:b/>
          <w:color w:val="000000"/>
          <w:sz w:val="24"/>
        </w:rPr>
        <w:t>”为不允许负偏离的实质性要求和条件，如有偏离，在符合性审查时按照投标无效处理。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四、技术规格(技术性能)要求</w:t>
      </w:r>
    </w:p>
    <w:p>
      <w:pPr>
        <w:pStyle w:val="19"/>
        <w:keepNext w:val="0"/>
        <w:keepLines w:val="0"/>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bCs/>
          <w:sz w:val="24"/>
        </w:rPr>
      </w:pPr>
      <w:r>
        <w:rPr>
          <w:rFonts w:hint="eastAsia" w:ascii="宋体" w:hAnsi="宋体" w:eastAsia="宋体" w:cs="宋体"/>
          <w:b/>
          <w:bCs/>
          <w:sz w:val="24"/>
        </w:rPr>
        <w:t>（一）总体要求：</w:t>
      </w:r>
    </w:p>
    <w:p>
      <w:pPr>
        <w:pStyle w:val="19"/>
        <w:keepNext w:val="0"/>
        <w:keepLines w:val="0"/>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b w:val="0"/>
          <w:bCs w:val="0"/>
          <w:color w:val="auto"/>
          <w:sz w:val="24"/>
        </w:rPr>
      </w:pPr>
      <w:r>
        <w:rPr>
          <w:rFonts w:hint="eastAsia" w:ascii="宋体" w:hAnsi="宋体" w:eastAsia="宋体" w:cs="宋体"/>
          <w:sz w:val="24"/>
        </w:rPr>
        <w:t>1．每个标段</w:t>
      </w:r>
      <w:r>
        <w:rPr>
          <w:rFonts w:hint="eastAsia" w:ascii="宋体" w:hAnsi="宋体" w:eastAsia="宋体" w:cs="宋体"/>
          <w:b w:val="0"/>
          <w:bCs w:val="0"/>
          <w:color w:val="auto"/>
          <w:sz w:val="24"/>
        </w:rPr>
        <w:t>所投教室灯和黑板灯为同一产品制造企业的同一品牌产品。</w:t>
      </w:r>
    </w:p>
    <w:p>
      <w:pPr>
        <w:pStyle w:val="19"/>
        <w:keepNext w:val="0"/>
        <w:keepLines w:val="0"/>
        <w:pageBreakBefore w:val="0"/>
        <w:widowControl w:val="0"/>
        <w:kinsoku/>
        <w:wordWrap/>
        <w:overflowPunct/>
        <w:topLinePunct w:val="0"/>
        <w:autoSpaceDE/>
        <w:autoSpaceDN/>
        <w:bidi w:val="0"/>
        <w:adjustRightInd/>
        <w:snapToGrid/>
        <w:spacing w:after="0" w:line="400" w:lineRule="exact"/>
        <w:ind w:left="0" w:right="0" w:firstLine="482" w:firstLineChars="200"/>
        <w:textAlignment w:val="auto"/>
        <w:rPr>
          <w:rFonts w:hint="eastAsia" w:ascii="宋体" w:hAnsi="宋体" w:eastAsia="宋体" w:cs="宋体"/>
          <w:b/>
          <w:sz w:val="24"/>
        </w:rPr>
      </w:pPr>
      <w:r>
        <w:rPr>
          <w:rFonts w:hint="eastAsia" w:ascii="宋体" w:hAnsi="宋体" w:eastAsia="宋体" w:cs="宋体"/>
          <w:b/>
          <w:sz w:val="24"/>
        </w:rPr>
        <w:t>本条为不允许偏离的实质性要求和条件，如有偏离，在符合性审查时按照投标无效处理。</w:t>
      </w:r>
    </w:p>
    <w:p>
      <w:pPr>
        <w:pStyle w:val="19"/>
        <w:keepNext w:val="0"/>
        <w:keepLines w:val="0"/>
        <w:pageBreakBefore w:val="0"/>
        <w:widowControl w:val="0"/>
        <w:kinsoku/>
        <w:wordWrap/>
        <w:overflowPunct/>
        <w:topLinePunct w:val="0"/>
        <w:autoSpaceDE/>
        <w:autoSpaceDN/>
        <w:bidi w:val="0"/>
        <w:adjustRightInd/>
        <w:snapToGrid/>
        <w:spacing w:after="0" w:line="400" w:lineRule="exact"/>
        <w:ind w:left="0" w:right="0" w:firstLine="480" w:firstLineChars="200"/>
        <w:textAlignment w:val="auto"/>
        <w:rPr>
          <w:rFonts w:hint="eastAsia" w:ascii="宋体" w:hAnsi="宋体" w:eastAsia="宋体" w:cs="宋体"/>
          <w:sz w:val="24"/>
        </w:rPr>
      </w:pPr>
      <w:r>
        <w:rPr>
          <w:rFonts w:hint="eastAsia" w:ascii="宋体" w:hAnsi="宋体" w:eastAsia="宋体" w:cs="宋体"/>
          <w:kern w:val="2"/>
          <w:sz w:val="24"/>
        </w:rPr>
        <w:t>2. 每间教室安装合适数量的教室灯和黑板灯，达到并不低于国标GB 50034-2013 《建筑照明设计标准》、GB 7793-2010 《中小学校教室采光和照明卫生标准》等要求。</w:t>
      </w:r>
    </w:p>
    <w:p>
      <w:pPr>
        <w:pStyle w:val="19"/>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b/>
          <w:bCs/>
          <w:sz w:val="24"/>
        </w:rPr>
      </w:pPr>
      <w:r>
        <w:rPr>
          <w:rFonts w:hint="eastAsia" w:ascii="宋体" w:hAnsi="宋体" w:eastAsia="宋体" w:cs="宋体"/>
          <w:b/>
          <w:bCs/>
          <w:sz w:val="24"/>
        </w:rPr>
        <w:t>（二）技术规格具体要求（标段一、标段二、标段三）</w:t>
      </w:r>
    </w:p>
    <w:tbl>
      <w:tblPr>
        <w:tblStyle w:val="4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69"/>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79" w:type="dxa"/>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6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系统</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772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6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LED教室灯</w:t>
            </w:r>
          </w:p>
        </w:tc>
        <w:tc>
          <w:tcPr>
            <w:tcW w:w="7729"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1.教室灯为</w:t>
            </w:r>
            <w:r>
              <w:rPr>
                <w:rFonts w:hint="eastAsia" w:ascii="宋体" w:hAnsi="宋体" w:eastAsia="宋体" w:cs="宋体"/>
                <w:sz w:val="24"/>
                <w:szCs w:val="24"/>
              </w:rPr>
              <w:t>一体式LED微晶防眩面板灯。</w:t>
            </w:r>
            <w:r>
              <w:rPr>
                <w:rFonts w:hint="eastAsia" w:ascii="宋体" w:hAnsi="宋体" w:eastAsia="宋体" w:cs="宋体"/>
                <w:color w:val="000000"/>
                <w:sz w:val="24"/>
                <w:szCs w:val="24"/>
              </w:rPr>
              <w:t>灯具主体材料为不易变形抗氧化金属材质，边框采用铝合金等轻型金属材料，表面进行氧化或喷漆等防锈处理，整体无可触及的尖角锐角。整体结构坚固稳定。连接方式为嵌入加螺丝螺帽连接固定，避免安全隐患。</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2.教室灯功率＜45W。</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教室灯显色指数Ra＞90，特殊显色指数R9＞50。</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4.教室灯光效（或灯具效能）＞75 lm/W。</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5.教室灯应满足6000小时光通维持率＞92%。</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6.为防止灯体本身因灰尘等原因造成光衰，应具备IP40以上防护等级。</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7.教室灯蓝光危害等级为RG0（或0类危险）。</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8.教室灯频闪无危害。</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9.为了防止眩光和避免产生用眼不适，教室灯需为经过科学匀光处理、视感舒适的照明灯具，采用光学防眩透光板。</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10.教室灯驱动电源需为隔离型恒流驱动，电源有外壳并可靠固定。</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教室灯选用足够数量小功率LED灯珠，灯珠实际使用功率不宜超过额定功率的50%，以提高其发光效率和降低灯具光衰，且教室灯须通过CCC认证。</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教室灯色温（或相关色温）4300K-5300K。</w:t>
            </w:r>
          </w:p>
          <w:p>
            <w:pPr>
              <w:pStyle w:val="269"/>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13.教室灯安装完成后，课桌面的维持平均照度≥300Lx（维护系数取值0.8），照度均匀度≥0.7，普通教室照明功率密度（不含板书灯））≤7W/m2。教室照明统一眩光等级UGR&lt;19。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6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LED黑板灯</w:t>
            </w:r>
          </w:p>
        </w:tc>
        <w:tc>
          <w:tcPr>
            <w:tcW w:w="7729"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1.黑板灯为</w:t>
            </w:r>
            <w:r>
              <w:rPr>
                <w:rFonts w:hint="eastAsia" w:ascii="宋体" w:hAnsi="宋体" w:eastAsia="宋体" w:cs="宋体"/>
                <w:sz w:val="24"/>
                <w:szCs w:val="24"/>
              </w:rPr>
              <w:t>一体式LED防眩灯具</w:t>
            </w:r>
            <w:r>
              <w:rPr>
                <w:rFonts w:hint="eastAsia" w:ascii="宋体" w:hAnsi="宋体" w:eastAsia="宋体" w:cs="宋体"/>
                <w:color w:val="000000"/>
                <w:sz w:val="24"/>
                <w:szCs w:val="24"/>
              </w:rPr>
              <w:t>。灯具主体材料为不易变形抗氧化金属材质，边框采用铝合金等轻型金属材料，表面进行氧化或喷漆等防锈处理，整体无可触及的尖角锐角。整体结构坚固稳定。连接方式为嵌入加螺丝螺帽连接固定，避免安全隐患。</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黑板</w:t>
            </w:r>
            <w:r>
              <w:rPr>
                <w:rFonts w:hint="eastAsia" w:ascii="宋体" w:hAnsi="宋体" w:eastAsia="宋体" w:cs="宋体"/>
                <w:sz w:val="24"/>
                <w:szCs w:val="24"/>
              </w:rPr>
              <w:t>灯功率＜45W。</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color w:val="000000"/>
                <w:sz w:val="24"/>
                <w:szCs w:val="24"/>
              </w:rPr>
              <w:t>黑板</w:t>
            </w:r>
            <w:r>
              <w:rPr>
                <w:rFonts w:hint="eastAsia" w:ascii="宋体" w:hAnsi="宋体" w:eastAsia="宋体" w:cs="宋体"/>
                <w:sz w:val="24"/>
                <w:szCs w:val="24"/>
              </w:rPr>
              <w:t>灯显色指数Ra＞90，特殊显色指数R9＞50。</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4.</w:t>
            </w:r>
            <w:r>
              <w:rPr>
                <w:rFonts w:hint="eastAsia" w:ascii="宋体" w:hAnsi="宋体" w:eastAsia="宋体" w:cs="宋体"/>
                <w:color w:val="000000"/>
                <w:sz w:val="24"/>
                <w:szCs w:val="24"/>
              </w:rPr>
              <w:t>黑板</w:t>
            </w:r>
            <w:r>
              <w:rPr>
                <w:rFonts w:hint="eastAsia" w:ascii="宋体" w:hAnsi="宋体" w:eastAsia="宋体" w:cs="宋体"/>
                <w:sz w:val="24"/>
                <w:szCs w:val="24"/>
              </w:rPr>
              <w:t>灯光效（或灯具效能）＞75 lm/W。</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5.</w:t>
            </w:r>
            <w:r>
              <w:rPr>
                <w:rFonts w:hint="eastAsia" w:ascii="宋体" w:hAnsi="宋体" w:eastAsia="宋体" w:cs="宋体"/>
                <w:color w:val="000000"/>
                <w:sz w:val="24"/>
                <w:szCs w:val="24"/>
              </w:rPr>
              <w:t>黑板</w:t>
            </w:r>
            <w:r>
              <w:rPr>
                <w:rFonts w:hint="eastAsia" w:ascii="宋体" w:hAnsi="宋体" w:eastAsia="宋体" w:cs="宋体"/>
                <w:sz w:val="24"/>
                <w:szCs w:val="24"/>
              </w:rPr>
              <w:t>灯应满足6000小时光通维持率＞92%。</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6.为防止灯体本身因灰尘等原因造成光衰，应具备IP40以上防护等级。</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7.</w:t>
            </w:r>
            <w:r>
              <w:rPr>
                <w:rFonts w:hint="eastAsia" w:ascii="宋体" w:hAnsi="宋体" w:eastAsia="宋体" w:cs="宋体"/>
                <w:color w:val="000000"/>
                <w:sz w:val="24"/>
                <w:szCs w:val="24"/>
              </w:rPr>
              <w:t>黑板</w:t>
            </w:r>
            <w:r>
              <w:rPr>
                <w:rFonts w:hint="eastAsia" w:ascii="宋体" w:hAnsi="宋体" w:eastAsia="宋体" w:cs="宋体"/>
                <w:sz w:val="24"/>
                <w:szCs w:val="24"/>
              </w:rPr>
              <w:t>灯蓝光危害等级为RG0（或0类危险）。</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8.</w:t>
            </w:r>
            <w:r>
              <w:rPr>
                <w:rFonts w:hint="eastAsia" w:ascii="宋体" w:hAnsi="宋体" w:eastAsia="宋体" w:cs="宋体"/>
                <w:color w:val="000000"/>
                <w:sz w:val="24"/>
                <w:szCs w:val="24"/>
              </w:rPr>
              <w:t>黑板</w:t>
            </w:r>
            <w:r>
              <w:rPr>
                <w:rFonts w:hint="eastAsia" w:ascii="宋体" w:hAnsi="宋体" w:eastAsia="宋体" w:cs="宋体"/>
                <w:sz w:val="24"/>
                <w:szCs w:val="24"/>
              </w:rPr>
              <w:t>灯频闪无危害。</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9.为了防止眩光和避免产生用眼不适，</w:t>
            </w:r>
            <w:r>
              <w:rPr>
                <w:rFonts w:hint="eastAsia" w:ascii="宋体" w:hAnsi="宋体" w:eastAsia="宋体" w:cs="宋体"/>
                <w:color w:val="000000"/>
                <w:sz w:val="24"/>
                <w:szCs w:val="24"/>
              </w:rPr>
              <w:t>黑板</w:t>
            </w:r>
            <w:r>
              <w:rPr>
                <w:rFonts w:hint="eastAsia" w:ascii="宋体" w:hAnsi="宋体" w:eastAsia="宋体" w:cs="宋体"/>
                <w:sz w:val="24"/>
                <w:szCs w:val="24"/>
              </w:rPr>
              <w:t>灯需为经过科学匀光处理、视感舒适的照明灯具，采用光学防眩透光板。</w:t>
            </w:r>
            <w:r>
              <w:rPr>
                <w:rFonts w:hint="eastAsia" w:ascii="宋体" w:hAnsi="宋体" w:eastAsia="宋体" w:cs="宋体"/>
                <w:color w:val="000000"/>
                <w:sz w:val="24"/>
                <w:szCs w:val="24"/>
              </w:rPr>
              <w:t>采用格栅或其他防眩光结构。</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000000"/>
                <w:sz w:val="24"/>
                <w:szCs w:val="24"/>
              </w:rPr>
              <w:t>黑板</w:t>
            </w:r>
            <w:r>
              <w:rPr>
                <w:rFonts w:hint="eastAsia" w:ascii="宋体" w:hAnsi="宋体" w:eastAsia="宋体" w:cs="宋体"/>
                <w:sz w:val="24"/>
                <w:szCs w:val="24"/>
              </w:rPr>
              <w:t>灯驱动电源需为隔离型恒流驱动，电源有外壳并可靠固定。</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color w:val="000000"/>
                <w:sz w:val="24"/>
                <w:szCs w:val="24"/>
              </w:rPr>
              <w:t>黑板</w:t>
            </w:r>
            <w:r>
              <w:rPr>
                <w:rFonts w:hint="eastAsia" w:ascii="宋体" w:hAnsi="宋体" w:eastAsia="宋体" w:cs="宋体"/>
                <w:sz w:val="24"/>
                <w:szCs w:val="24"/>
              </w:rPr>
              <w:t>灯选用足够数量小功率LED灯珠，灯珠实际使用功率不宜超过额定功率的50%，以提高其发光效率和降低灯具光衰，且教室灯须通过CCC认证。</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color w:val="000000"/>
                <w:sz w:val="24"/>
                <w:szCs w:val="24"/>
              </w:rPr>
              <w:t>黑板</w:t>
            </w:r>
            <w:r>
              <w:rPr>
                <w:rFonts w:hint="eastAsia" w:ascii="宋体" w:hAnsi="宋体" w:eastAsia="宋体" w:cs="宋体"/>
                <w:sz w:val="24"/>
                <w:szCs w:val="24"/>
              </w:rPr>
              <w:t>灯色温（或相关色温）4300K-5300K。</w:t>
            </w:r>
          </w:p>
          <w:p>
            <w:pPr>
              <w:pStyle w:val="269"/>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13.</w:t>
            </w:r>
            <w:r>
              <w:rPr>
                <w:rFonts w:hint="eastAsia" w:ascii="宋体" w:hAnsi="宋体" w:eastAsia="宋体" w:cs="宋体"/>
                <w:color w:val="000000"/>
                <w:sz w:val="24"/>
                <w:szCs w:val="24"/>
              </w:rPr>
              <w:t>黑板</w:t>
            </w:r>
            <w:r>
              <w:rPr>
                <w:rFonts w:hint="eastAsia" w:ascii="宋体" w:hAnsi="宋体" w:eastAsia="宋体" w:cs="宋体"/>
                <w:sz w:val="24"/>
                <w:szCs w:val="24"/>
              </w:rPr>
              <w:t>灯安装完成后，教室板书区域维持平均照度≥500Lx（维护系数取值0.8），教室板书区域照度均匀度≥0.8。</w:t>
            </w:r>
          </w:p>
        </w:tc>
      </w:tr>
    </w:tbl>
    <w:p>
      <w:pPr>
        <w:spacing w:line="360" w:lineRule="exact"/>
        <w:ind w:firstLine="470" w:firstLineChars="196"/>
        <w:rPr>
          <w:rFonts w:hint="eastAsia" w:ascii="宋体" w:hAnsi="宋体" w:eastAsia="宋体" w:cs="宋体"/>
          <w:sz w:val="24"/>
        </w:rPr>
      </w:pPr>
      <w:r>
        <w:rPr>
          <w:rFonts w:hint="eastAsia" w:ascii="宋体" w:hAnsi="宋体" w:eastAsia="宋体" w:cs="宋体"/>
          <w:sz w:val="24"/>
        </w:rPr>
        <w:t>说明：</w:t>
      </w:r>
    </w:p>
    <w:p>
      <w:pPr>
        <w:keepNext w:val="0"/>
        <w:keepLines w:val="0"/>
        <w:pageBreakBefore w:val="0"/>
        <w:kinsoku/>
        <w:wordWrap/>
        <w:overflowPunct/>
        <w:topLinePunct w:val="0"/>
        <w:autoSpaceDE w:val="0"/>
        <w:autoSpaceDN w:val="0"/>
        <w:bidi w:val="0"/>
        <w:adjustRightInd w:val="0"/>
        <w:snapToGrid w:val="0"/>
        <w:spacing w:line="400" w:lineRule="exact"/>
        <w:ind w:firstLine="470" w:firstLineChars="196"/>
        <w:jc w:val="left"/>
        <w:textAlignment w:val="auto"/>
        <w:rPr>
          <w:rFonts w:hint="eastAsia" w:ascii="宋体" w:hAnsi="宋体" w:eastAsia="宋体" w:cs="宋体"/>
          <w:sz w:val="24"/>
        </w:rPr>
      </w:pPr>
      <w:r>
        <w:rPr>
          <w:rFonts w:hint="eastAsia" w:ascii="宋体" w:hAnsi="宋体" w:eastAsia="宋体" w:cs="宋体"/>
          <w:sz w:val="24"/>
        </w:rPr>
        <w:t>（1）以上加“★”标志的为重要响应指标。</w:t>
      </w:r>
    </w:p>
    <w:p>
      <w:pPr>
        <w:keepNext w:val="0"/>
        <w:keepLines w:val="0"/>
        <w:pageBreakBefore w:val="0"/>
        <w:kinsoku/>
        <w:wordWrap/>
        <w:overflowPunct/>
        <w:topLinePunct w:val="0"/>
        <w:autoSpaceDE w:val="0"/>
        <w:autoSpaceDN w:val="0"/>
        <w:bidi w:val="0"/>
        <w:adjustRightInd w:val="0"/>
        <w:snapToGrid w:val="0"/>
        <w:spacing w:line="400" w:lineRule="exact"/>
        <w:ind w:firstLine="470" w:firstLineChars="196"/>
        <w:jc w:val="left"/>
        <w:textAlignment w:val="auto"/>
        <w:rPr>
          <w:rFonts w:hint="eastAsia" w:ascii="宋体" w:hAnsi="宋体" w:eastAsia="宋体" w:cs="宋体"/>
          <w:sz w:val="24"/>
        </w:rPr>
      </w:pPr>
      <w:r>
        <w:rPr>
          <w:rFonts w:hint="eastAsia" w:ascii="宋体" w:hAnsi="宋体" w:eastAsia="宋体" w:cs="宋体"/>
          <w:sz w:val="24"/>
        </w:rPr>
        <w:t>（2）以上无“★”标志的为非重要响应指标。</w:t>
      </w:r>
    </w:p>
    <w:p>
      <w:pPr>
        <w:keepNext w:val="0"/>
        <w:keepLines w:val="0"/>
        <w:pageBreakBefore w:val="0"/>
        <w:kinsoku/>
        <w:wordWrap/>
        <w:overflowPunct/>
        <w:topLinePunct w:val="0"/>
        <w:autoSpaceDE w:val="0"/>
        <w:autoSpaceDN w:val="0"/>
        <w:bidi w:val="0"/>
        <w:adjustRightInd w:val="0"/>
        <w:snapToGrid w:val="0"/>
        <w:spacing w:line="400" w:lineRule="exact"/>
        <w:ind w:firstLine="470" w:firstLineChars="196"/>
        <w:jc w:val="left"/>
        <w:textAlignment w:val="auto"/>
        <w:rPr>
          <w:rFonts w:hint="eastAsia" w:ascii="宋体" w:hAnsi="宋体" w:eastAsia="宋体" w:cs="宋体"/>
          <w:bCs/>
          <w:sz w:val="24"/>
        </w:rPr>
      </w:pPr>
      <w:r>
        <w:rPr>
          <w:rFonts w:hint="eastAsia" w:ascii="宋体" w:hAnsi="宋体" w:eastAsia="宋体" w:cs="宋体"/>
          <w:sz w:val="24"/>
        </w:rPr>
        <w:t>（3）以上加“★”指标都需提供国家法定认证机构出具的认证证书或第三方检测机构出具的封面带有CMA、ILAC-MRA及CNAS标识的检测报告。（报告上明确标明检测依据的规范标准、产品图片、检验检测数据等，标注的所检测产品型号，与所投产品规格型号一致。）。所投教室灯、黑板灯具有CCC认证证书。投标文件中提供以上认证证书或检测报告原件的扫描件</w:t>
      </w:r>
      <w:r>
        <w:rPr>
          <w:rFonts w:hint="eastAsia" w:ascii="宋体" w:hAnsi="宋体" w:eastAsia="宋体" w:cs="宋体"/>
          <w:bCs/>
          <w:sz w:val="24"/>
        </w:rPr>
        <w:t>。</w:t>
      </w:r>
    </w:p>
    <w:p>
      <w:pPr>
        <w:pStyle w:val="18"/>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rPr>
      </w:pPr>
      <w:r>
        <w:rPr>
          <w:rFonts w:hint="eastAsia" w:ascii="宋体" w:hAnsi="宋体" w:eastAsia="宋体" w:cs="宋体"/>
          <w:bCs/>
          <w:sz w:val="24"/>
        </w:rPr>
        <w:t>（4）所有</w:t>
      </w:r>
      <w:r>
        <w:rPr>
          <w:rFonts w:hint="eastAsia" w:ascii="宋体" w:hAnsi="宋体" w:eastAsia="宋体" w:cs="宋体"/>
          <w:sz w:val="24"/>
        </w:rPr>
        <w:t>认证证书或检测报告的</w:t>
      </w:r>
      <w:r>
        <w:rPr>
          <w:rFonts w:hint="eastAsia" w:ascii="宋体" w:hAnsi="宋体" w:eastAsia="宋体" w:cs="宋体"/>
          <w:bCs/>
          <w:sz w:val="24"/>
        </w:rPr>
        <w:t>扫描件，投标时需提供原件核查后方为有效。</w:t>
      </w:r>
    </w:p>
    <w:p>
      <w:pPr>
        <w:keepNext w:val="0"/>
        <w:keepLines w:val="0"/>
        <w:pageBreakBefore w:val="0"/>
        <w:kinsoku/>
        <w:wordWrap/>
        <w:overflowPunct/>
        <w:topLinePunct w:val="0"/>
        <w:bidi w:val="0"/>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（三）投标文件要求：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1.投标文件中提供《所投产品的技术规格》文件。</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2.《所投产品的技术规格》内容对照以上“（一）总体要求”和“（二）技术规格具体要求” 编制。</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五、执行标准</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 教室照明产品参考标准</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1.IEC/TR 62778：2014《应用IEC 62471评估光源和灯具的蓝光危害》</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2.IEEE Std 1789-2015《IEEE推荐的高光LED减少使用者健康风险调制电流方法》</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3.GB 19510.14-2009《LED模块用直流或交流电子控制装置的特殊要求》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4.GB 7000.1-2015《灯具第 1 部分：一般要求与试验》</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5.GB 7000.201-2008《灯具第2-1 部分：特殊要求</w:t>
      </w:r>
      <w:r>
        <w:rPr>
          <w:rFonts w:hint="eastAsia" w:ascii="宋体" w:hAnsi="宋体" w:cs="宋体"/>
          <w:sz w:val="24"/>
          <w:lang w:val="en-US" w:eastAsia="zh-CN"/>
        </w:rPr>
        <w:t xml:space="preserve"> </w:t>
      </w:r>
      <w:r>
        <w:rPr>
          <w:rFonts w:hint="eastAsia" w:ascii="宋体" w:hAnsi="宋体" w:eastAsia="宋体" w:cs="宋体"/>
          <w:sz w:val="24"/>
        </w:rPr>
        <w:t>固定式通用灯具》</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6.GB/T 31831-2015《LED室内照明应用技术要求》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（二）教室照明质量参考标准</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1.GB 50034-2013 《建筑照明设计标准》</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2.GB 7793-2010 《中小学校教室采光和照明卫生标准》</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3.GB/T 5700-2008 《照明测量方法》</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4.GB∕T 36876-2018 《中小学校普通教室照明设计安装卫生要求》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5.GB40070-2021《儿童青少年学习用品近视防控卫生要求》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6.T∕JYBZ 005-2018 《中小学教室照明技术规范》</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7.DB3201/T 1006—2020《中小学幼儿园教室照明验收管理规范》</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cs="宋体"/>
          <w:b/>
          <w:bCs/>
          <w:sz w:val="24"/>
          <w:lang w:val="en-US" w:eastAsia="zh-CN"/>
        </w:rPr>
        <w:t>六</w:t>
      </w:r>
      <w:r>
        <w:rPr>
          <w:rFonts w:hint="eastAsia" w:ascii="宋体" w:hAnsi="宋体" w:eastAsia="宋体" w:cs="宋体"/>
          <w:b/>
          <w:bCs/>
          <w:sz w:val="24"/>
        </w:rPr>
        <w:t>、项目实施要求</w:t>
      </w:r>
    </w:p>
    <w:p>
      <w:pPr>
        <w:keepNext w:val="0"/>
        <w:keepLines w:val="0"/>
        <w:pageBreakBefore w:val="0"/>
        <w:kinsoku/>
        <w:wordWrap/>
        <w:overflowPunct/>
        <w:topLinePunct w:val="0"/>
        <w:bidi w:val="0"/>
        <w:spacing w:line="4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（一）交货要求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rPr>
        <w:t>1.交货时间要求：</w:t>
      </w:r>
      <w:r>
        <w:rPr>
          <w:rFonts w:hint="eastAsia" w:ascii="宋体" w:hAnsi="宋体" w:eastAsia="宋体" w:cs="宋体"/>
          <w:sz w:val="24"/>
          <w:lang w:val="zh-CN" w:eastAsia="zh-CN"/>
        </w:rPr>
        <w:t>合同生效日后30日内将合同标的全部交付，安装调试完毕且验收合格。</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2.交货安装地点：采购人指定地点。</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color w:val="000000"/>
          <w:sz w:val="24"/>
        </w:rPr>
        <w:t>说明：本“（一）交货要求”为不允许偏离的实质性要求和条件，如有偏离，</w:t>
      </w:r>
      <w:r>
        <w:rPr>
          <w:rFonts w:hint="eastAsia" w:ascii="宋体" w:hAnsi="宋体" w:eastAsia="宋体" w:cs="宋体"/>
          <w:b/>
          <w:bCs/>
          <w:sz w:val="24"/>
        </w:rPr>
        <w:t>在符合性审查时按照投标无效处理。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（二）</w:t>
      </w:r>
      <w:r>
        <w:rPr>
          <w:rFonts w:hint="eastAsia" w:ascii="宋体" w:hAnsi="宋体" w:eastAsia="宋体" w:cs="宋体"/>
          <w:sz w:val="24"/>
        </w:rPr>
        <w:t>项目具体实施安装要求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1.拆除要求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对原有教室灯和黑板灯进行拆除，更换符合改造要求的教室灯和黑板灯（含光源）。</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包含普通教室中原有黑板灯、教室灯和其他影响灯具安装的物品（吊扇、投影机架和电视机架等，需征得学校同意）的拆除。</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拆除的灯具和其他物品应完好交学校留存。</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2.线缆及辅料实施要求：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（1）为实施本项目过程中需要的所有相关的线缆及辅料全部由卖方（中标人）承担。</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（2）电源线开关：通过3C认证、非回料阻燃PC材质外壳、多开单控，布线后，原有86型开关全部更换；黑板灯开关必须在黑板一侧，便于使用显示设备时关闭对应黑板灯。</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（3）布线：电源线通过3C认证，应采用截面积≥2.5mm</w:t>
      </w:r>
      <w:r>
        <w:rPr>
          <w:rFonts w:hint="eastAsia" w:ascii="宋体" w:hAnsi="宋体" w:eastAsia="宋体" w:cs="宋体"/>
          <w:sz w:val="24"/>
          <w:vertAlign w:val="superscript"/>
        </w:rPr>
        <w:t>2</w:t>
      </w:r>
      <w:r>
        <w:rPr>
          <w:rFonts w:hint="eastAsia" w:ascii="宋体" w:hAnsi="宋体" w:eastAsia="宋体" w:cs="宋体"/>
          <w:sz w:val="24"/>
        </w:rPr>
        <w:t>电源线。可借用原有暗管，如不能使用，需敷设明管；原有电源线线径低于2.5mm</w:t>
      </w:r>
      <w:r>
        <w:rPr>
          <w:rFonts w:hint="eastAsia" w:ascii="宋体" w:hAnsi="宋体" w:eastAsia="宋体" w:cs="宋体"/>
          <w:sz w:val="24"/>
          <w:vertAlign w:val="superscript"/>
        </w:rPr>
        <w:t>2</w:t>
      </w:r>
      <w:r>
        <w:rPr>
          <w:rFonts w:hint="eastAsia" w:ascii="宋体" w:hAnsi="宋体" w:eastAsia="宋体" w:cs="宋体"/>
          <w:sz w:val="24"/>
        </w:rPr>
        <w:t>必须更换；墙面、顶面新敷设电源线应放入阻燃PVC线槽内，槽内所有敷设线缆最大截面积之和不大于线槽截面的75%。PVC线槽转阴角阳角、平面折弯、分支三通、堵头等节点，使用标准转接配件，非手工倒角加工；顶部明线安装中线槽大小和接线盒孔径相匹配并连接紧密；（原电源线，电源布线应保证相线、零线、地线三线颜色一致，并加以区别。）电源线两端与电源和灯具导线的连接必须用接线端子，接线端子不可悬空吊挂，应用螺丝进行固定。电源线除接线板及设备连接处外，连线中间要求无接头，导线绝缘保护良好，两电源线连接时导线连接应紧密、牢固，接头的电阻值不应大于相同长度导线的电阻值；两电源线接头的绝缘强度应与非连接处的绝缘强度相同。电源线置于吊杆中，不得缠绕于吊杆或悬空裸露在外。吊杆两端应有绝缘护套管保护。对实施过程中造成的墙面破损要修复到位。</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（4）线槽</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线槽连接处要使用连接配件，槽体连接处应严密平整、无缝隙。</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线槽敷设应紧贴建筑物表面，线槽敷设走线横平竖直，槽沿经过建筑物表面进行固定。转弯与接缝处须有附件固定点，线槽每单段至少需要两个固定点；单段超过1米长时，平均每米至少需要两个固定点。固定采用膨胀螺丝或木楔子方式，禁止使用双面胶方式固定。</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（5）分路控制要求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每个黑板灯具应由单独开关回路控制，每个照明86型开关所控制教室灯具数不应多于3个。</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黑板灯不能与教室灯使用同一电源线和控制开关，教室改造时如黑板灯电源线与教室灯电源线未分开的，应重新铺设黑板灯的电源线和线槽；如黑板灯与教室灯控制开关未分开的，应加装（或调整）控制开关，最终能实现黑板灯与教室灯分路控制。</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原有教室灯间有分路控制时，改造时有增加、减少、移位应按原有灯具分路控制进行线路施工，保持改造后教室灯分路控制的一致性。</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 通电试运行</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灯具安装完毕后应通电试运行。检查灯具内光源运行是否正常，黑板灯投射方向及角度是否正确，灯具运行完好率应达到100%。</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3.灯具安装要求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（1）灯具距课桌面的最低悬挂高度为 1.7m，非嵌入式灯具应使用刚性吊杆安装，吊杆应与灯面垂直，不得倾斜，两杆间距偏差±5 mm；灯具排列采用长轴垂直于板书区域布置；灯具对称安装，其横（纵）向中心轴线宜在同一直线上，偏斜不应大于 20mm。</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（2）吊杆安装的灯具应采用不小于6mm 膨胀螺栓固定，预埋件承重能力不低于灯具重量的 10 倍。</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（3）灯具及其附件应安装齐全，并无损伤、变形、涂层剥落和灯罩破裂等缺陷；灯具接线牢固、接触良好。</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灯具安装时，要注意避免对其他设备（如：监控摄像机、投影机、顶装空调）的遮挡；如果光线受到建筑构件遮挡，应注意在限值内调整灯具的水平安装位置或降低灯具的安装高度；安装风扇的教室中，出光口面应低于风扇叶面。</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 质量管控</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在实施现场质量管理上，严格按照规范要求，建立完善的质量管理体系，全面把控实施过程，保证每道工序的实施质量符合标准。每个阶段实施的质量应自检自查，采购人（买方）全程跟踪监管，严格质量管控。</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（1）安装阶段质量监管</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每个学校安装完成后的 2 个工作日内，学校对教室的平均照度值、均匀度等进行核验，并对安装安全要求、开关安装位置、风扇位置处理等环节进行记录和拍照。</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b/>
          <w:color w:val="00B0F0"/>
          <w:sz w:val="24"/>
        </w:rPr>
      </w:pPr>
      <w:r>
        <w:rPr>
          <w:rFonts w:hint="eastAsia" w:ascii="宋体" w:hAnsi="宋体" w:eastAsia="宋体" w:cs="宋体"/>
          <w:sz w:val="24"/>
        </w:rPr>
        <w:fldChar w:fldCharType="begin"/>
      </w:r>
      <w:r>
        <w:rPr>
          <w:rFonts w:hint="eastAsia" w:ascii="宋体" w:hAnsi="宋体" w:eastAsia="宋体" w:cs="宋体"/>
          <w:sz w:val="24"/>
        </w:rPr>
        <w:instrText xml:space="preserve">= 2 \* GB3</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各学校相关负责人参加安装质量监管工作，不定期检查安装过程中有无违反安装程序、规范、规程的现象，做好安全保护措施，对质量不合格的项目和事故苗头等问题做到及时整改。</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（2）安装测试条件</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中标人（卖方）需具备光谱照度闪烁测试设备，对每种类型教室安装后进行自测，并将自测数据及时提交给采购人（买方），采购人（买方）进行随机复测。</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（三）投标文件要求：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1.投标文件中提供《项目实施方案》文件。</w:t>
      </w:r>
    </w:p>
    <w:p>
      <w:pPr>
        <w:keepNext w:val="0"/>
        <w:keepLines w:val="0"/>
        <w:pageBreakBefore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宋体" w:hAnsi="宋体" w:eastAsia="宋体" w:cs="宋体"/>
          <w:sz w:val="24"/>
        </w:rPr>
      </w:pPr>
      <w:r>
        <w:rPr>
          <w:rFonts w:hint="eastAsia" w:ascii="宋体" w:hAnsi="宋体" w:eastAsia="宋体" w:cs="宋体"/>
          <w:sz w:val="24"/>
        </w:rPr>
        <w:t>2.《项目实施方案》包括以下内容：</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(1)时间进度安排；</w:t>
      </w:r>
    </w:p>
    <w:p>
      <w:pPr>
        <w:pStyle w:val="37"/>
        <w:keepNext w:val="0"/>
        <w:keepLines w:val="0"/>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rPr>
      </w:pPr>
      <w:r>
        <w:rPr>
          <w:rFonts w:hint="eastAsia" w:ascii="宋体" w:hAnsi="宋体" w:eastAsia="宋体" w:cs="宋体"/>
        </w:rPr>
        <w:t>(2)具体实施安装方案</w:t>
      </w:r>
    </w:p>
    <w:p>
      <w:pPr>
        <w:pStyle w:val="37"/>
        <w:keepNext w:val="0"/>
        <w:keepLines w:val="0"/>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1 \* GB3</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拆除方案；</w:t>
      </w:r>
    </w:p>
    <w:p>
      <w:pPr>
        <w:pStyle w:val="37"/>
        <w:keepNext w:val="0"/>
        <w:keepLines w:val="0"/>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2 \* GB3</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线缆及辅料实施方案（需注明名称，规格、型号、产品制造企业名称（全称）、数量等内容）；</w:t>
      </w:r>
    </w:p>
    <w:p>
      <w:pPr>
        <w:pStyle w:val="37"/>
        <w:keepNext w:val="0"/>
        <w:keepLines w:val="0"/>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3 \* GB3</w:instrText>
      </w:r>
      <w:r>
        <w:rPr>
          <w:rFonts w:hint="eastAsia" w:ascii="宋体" w:hAnsi="宋体" w:eastAsia="宋体" w:cs="宋体"/>
        </w:rPr>
        <w:fldChar w:fldCharType="separate"/>
      </w:r>
      <w:r>
        <w:rPr>
          <w:rFonts w:hint="eastAsia" w:ascii="宋体" w:hAnsi="宋体" w:eastAsia="宋体" w:cs="宋体"/>
        </w:rPr>
        <w:t>③</w:t>
      </w:r>
      <w:r>
        <w:rPr>
          <w:rFonts w:hint="eastAsia" w:ascii="宋体" w:hAnsi="宋体" w:eastAsia="宋体" w:cs="宋体"/>
        </w:rPr>
        <w:fldChar w:fldCharType="end"/>
      </w:r>
      <w:r>
        <w:rPr>
          <w:rFonts w:hint="eastAsia" w:ascii="宋体" w:hAnsi="宋体" w:eastAsia="宋体" w:cs="宋体"/>
        </w:rPr>
        <w:t>灯具安装方案;</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4 \* GB3</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质量管控措施。</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cs="宋体"/>
          <w:b/>
          <w:bCs/>
          <w:sz w:val="24"/>
          <w:lang w:val="en-US" w:eastAsia="zh-CN"/>
        </w:rPr>
        <w:t>七</w:t>
      </w:r>
      <w:r>
        <w:rPr>
          <w:rFonts w:hint="eastAsia" w:ascii="宋体" w:hAnsi="宋体" w:eastAsia="宋体" w:cs="宋体"/>
          <w:b/>
          <w:bCs/>
          <w:sz w:val="24"/>
        </w:rPr>
        <w:t>、售后服务要求</w:t>
      </w:r>
    </w:p>
    <w:p>
      <w:pPr>
        <w:keepNext w:val="0"/>
        <w:keepLines w:val="0"/>
        <w:pageBreakBefore w:val="0"/>
        <w:kinsoku/>
        <w:wordWrap/>
        <w:overflowPunct/>
        <w:topLinePunct w:val="0"/>
        <w:bidi w:val="0"/>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(一)售后服务具体要求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sz w:val="24"/>
        </w:rPr>
        <w:t xml:space="preserve">1. </w:t>
      </w:r>
      <w:r>
        <w:rPr>
          <w:rFonts w:hint="eastAsia" w:ascii="宋体" w:hAnsi="宋体" w:eastAsia="宋体" w:cs="宋体"/>
          <w:color w:val="000000"/>
          <w:sz w:val="24"/>
        </w:rPr>
        <w:t>质保期要求：</w:t>
      </w:r>
      <w:r>
        <w:rPr>
          <w:rFonts w:hint="eastAsia" w:ascii="宋体" w:hAnsi="宋体" w:eastAsia="宋体" w:cs="宋体"/>
          <w:sz w:val="24"/>
        </w:rPr>
        <w:t>从验收合格之日起不少于</w:t>
      </w:r>
      <w:r>
        <w:rPr>
          <w:rFonts w:hint="eastAsia" w:ascii="宋体" w:hAnsi="宋体" w:eastAsia="宋体" w:cs="宋体"/>
          <w:color w:val="auto"/>
          <w:sz w:val="24"/>
        </w:rPr>
        <w:t>3年，提供原厂质保函并加盖产品生产厂家公章。</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sz w:val="24"/>
        </w:rPr>
        <w:t xml:space="preserve"> 质保期内</w:t>
      </w:r>
      <w:r>
        <w:rPr>
          <w:rFonts w:hint="eastAsia" w:ascii="宋体" w:hAnsi="宋体" w:eastAsia="宋体" w:cs="宋体"/>
          <w:color w:val="000000"/>
          <w:sz w:val="24"/>
        </w:rPr>
        <w:t>售后服务要求：质保期内，产品售后服务响应时间为2小时，24小时内到现场，48小时内完成维修，不能维修的，予以更换</w:t>
      </w:r>
      <w:r>
        <w:rPr>
          <w:rFonts w:hint="eastAsia" w:ascii="宋体" w:hAnsi="宋体" w:eastAsia="宋体" w:cs="宋体"/>
          <w:sz w:val="24"/>
        </w:rPr>
        <w:t>同品牌同型号产品或性能更优的产品。</w:t>
      </w:r>
    </w:p>
    <w:p>
      <w:pPr>
        <w:keepNext w:val="0"/>
        <w:keepLines w:val="0"/>
        <w:pageBreakBefore w:val="0"/>
        <w:kinsoku/>
        <w:wordWrap/>
        <w:overflowPunct/>
        <w:topLinePunct w:val="0"/>
        <w:bidi w:val="0"/>
        <w:spacing w:line="4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（二）投标文件要求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1.投标文件中提供《售后服务方案》文件。</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 《售后服务方案》包括以下内容：</w:t>
      </w:r>
    </w:p>
    <w:p>
      <w:pPr>
        <w:keepNext w:val="0"/>
        <w:keepLines w:val="0"/>
        <w:pageBreakBefore w:val="0"/>
        <w:kinsoku/>
        <w:wordWrap/>
        <w:overflowPunct/>
        <w:topLinePunct w:val="0"/>
        <w:bidi w:val="0"/>
        <w:spacing w:line="4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(1) 质保期；</w:t>
      </w:r>
    </w:p>
    <w:p>
      <w:pPr>
        <w:keepNext w:val="0"/>
        <w:keepLines w:val="0"/>
        <w:pageBreakBefore w:val="0"/>
        <w:kinsoku/>
        <w:wordWrap/>
        <w:overflowPunct/>
        <w:topLinePunct w:val="0"/>
        <w:bidi w:val="0"/>
        <w:spacing w:line="4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（2）除质保期外的售后服务方案（包含但不限于质保期内售后服务方案、质保期后售后服务方案、售后服务保障措施）。</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cs="宋体"/>
          <w:b/>
          <w:bCs/>
          <w:sz w:val="24"/>
          <w:lang w:val="en-US" w:eastAsia="zh-CN"/>
        </w:rPr>
        <w:t>八</w:t>
      </w:r>
      <w:r>
        <w:rPr>
          <w:rFonts w:hint="eastAsia" w:ascii="宋体" w:hAnsi="宋体" w:eastAsia="宋体" w:cs="宋体"/>
          <w:b/>
          <w:bCs/>
          <w:sz w:val="24"/>
        </w:rPr>
        <w:t>、样品要求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采购人认为需要对样品进行主观判断以确认是否满足采购需求，要求投标人提供样品，具体样品要求如下：</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（一）提供以下样品：</w:t>
      </w:r>
    </w:p>
    <w:tbl>
      <w:tblPr>
        <w:tblStyle w:val="42"/>
        <w:tblW w:w="9145" w:type="dxa"/>
        <w:jc w:val="center"/>
        <w:tblLayout w:type="autofit"/>
        <w:tblCellMar>
          <w:top w:w="0" w:type="dxa"/>
          <w:left w:w="10" w:type="dxa"/>
          <w:bottom w:w="0" w:type="dxa"/>
          <w:right w:w="10" w:type="dxa"/>
        </w:tblCellMar>
      </w:tblPr>
      <w:tblGrid>
        <w:gridCol w:w="1418"/>
        <w:gridCol w:w="2706"/>
        <w:gridCol w:w="1796"/>
        <w:gridCol w:w="3225"/>
      </w:tblGrid>
      <w:tr>
        <w:tblPrEx>
          <w:tblCellMar>
            <w:top w:w="0" w:type="dxa"/>
            <w:left w:w="10" w:type="dxa"/>
            <w:bottom w:w="0" w:type="dxa"/>
            <w:right w:w="10" w:type="dxa"/>
          </w:tblCellMar>
        </w:tblPrEx>
        <w:trPr>
          <w:trHeight w:val="285" w:hRule="atLeast"/>
          <w:jc w:val="center"/>
        </w:trPr>
        <w:tc>
          <w:tcPr>
            <w:tcW w:w="141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序号</w:t>
            </w:r>
          </w:p>
        </w:tc>
        <w:tc>
          <w:tcPr>
            <w:tcW w:w="2706" w:type="dxa"/>
            <w:tcBorders>
              <w:top w:val="single" w:color="000000" w:sz="8" w:space="0"/>
              <w:left w:val="single" w:color="000000" w:sz="0" w:space="0"/>
              <w:bottom w:val="single" w:color="000000" w:sz="8" w:space="0"/>
              <w:right w:val="single" w:color="000000"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样品名称</w:t>
            </w:r>
          </w:p>
        </w:tc>
        <w:tc>
          <w:tcPr>
            <w:tcW w:w="1796" w:type="dxa"/>
            <w:tcBorders>
              <w:top w:val="single" w:color="000000" w:sz="8" w:space="0"/>
              <w:left w:val="single" w:color="000000" w:sz="4" w:space="0"/>
              <w:bottom w:val="single" w:color="000000" w:sz="8" w:space="0"/>
              <w:right w:val="single" w:color="auto"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数量</w:t>
            </w:r>
          </w:p>
        </w:tc>
        <w:tc>
          <w:tcPr>
            <w:tcW w:w="3225" w:type="dxa"/>
            <w:tcBorders>
              <w:top w:val="single" w:color="000000" w:sz="8" w:space="0"/>
              <w:left w:val="single" w:color="auto" w:sz="4" w:space="0"/>
              <w:bottom w:val="single" w:color="000000" w:sz="8" w:space="0"/>
              <w:right w:val="single" w:color="000000" w:sz="8" w:space="0"/>
            </w:tcBorders>
            <w:shd w:val="clear" w:color="000000" w:fill="FFFFFF"/>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样品具体要求</w:t>
            </w:r>
          </w:p>
        </w:tc>
      </w:tr>
      <w:tr>
        <w:tblPrEx>
          <w:tblCellMar>
            <w:top w:w="0" w:type="dxa"/>
            <w:left w:w="10" w:type="dxa"/>
            <w:bottom w:w="0" w:type="dxa"/>
            <w:right w:w="10" w:type="dxa"/>
          </w:tblCellMar>
        </w:tblPrEx>
        <w:trPr>
          <w:trHeight w:val="833" w:hRule="atLeast"/>
          <w:jc w:val="center"/>
        </w:trPr>
        <w:tc>
          <w:tcPr>
            <w:tcW w:w="1418" w:type="dxa"/>
            <w:tcBorders>
              <w:top w:val="single" w:color="000000" w:sz="0" w:space="0"/>
              <w:left w:val="single" w:color="000000" w:sz="8" w:space="0"/>
              <w:bottom w:val="single" w:color="auto" w:sz="4" w:space="0"/>
              <w:right w:val="single" w:color="000000" w:sz="8"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1</w:t>
            </w:r>
          </w:p>
        </w:tc>
        <w:tc>
          <w:tcPr>
            <w:tcW w:w="2706" w:type="dxa"/>
            <w:tcBorders>
              <w:top w:val="single" w:color="000000" w:sz="0" w:space="0"/>
              <w:left w:val="single" w:color="000000" w:sz="0" w:space="0"/>
              <w:bottom w:val="single" w:color="auto" w:sz="4" w:space="0"/>
              <w:right w:val="single" w:color="000000"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bCs/>
                <w:sz w:val="24"/>
              </w:rPr>
              <w:t>教室灯（含吊杆）</w:t>
            </w:r>
          </w:p>
        </w:tc>
        <w:tc>
          <w:tcPr>
            <w:tcW w:w="1796" w:type="dxa"/>
            <w:tcBorders>
              <w:top w:val="single" w:color="000000" w:sz="0" w:space="0"/>
              <w:left w:val="single" w:color="000000" w:sz="4" w:space="0"/>
              <w:bottom w:val="single" w:color="auto" w:sz="4" w:space="0"/>
              <w:right w:val="single" w:color="auto"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1套</w:t>
            </w:r>
          </w:p>
        </w:tc>
        <w:tc>
          <w:tcPr>
            <w:tcW w:w="3225" w:type="dxa"/>
            <w:vMerge w:val="restart"/>
            <w:tcBorders>
              <w:top w:val="single" w:color="000000" w:sz="0" w:space="0"/>
              <w:left w:val="single" w:color="000000" w:sz="4" w:space="0"/>
              <w:right w:val="single" w:color="auto" w:sz="4" w:space="0"/>
            </w:tcBorders>
            <w:shd w:val="clear" w:color="000000" w:fill="FFFFFF"/>
          </w:tcPr>
          <w:p>
            <w:pPr>
              <w:tabs>
                <w:tab w:val="left" w:pos="0"/>
              </w:tabs>
              <w:spacing w:before="240"/>
              <w:jc w:val="left"/>
              <w:rPr>
                <w:rFonts w:hint="eastAsia" w:ascii="宋体" w:hAnsi="宋体" w:eastAsia="宋体" w:cs="宋体"/>
                <w:sz w:val="24"/>
              </w:rPr>
            </w:pPr>
            <w:r>
              <w:rPr>
                <w:rFonts w:hint="eastAsia" w:ascii="宋体" w:hAnsi="宋体" w:eastAsia="宋体" w:cs="宋体"/>
                <w:sz w:val="24"/>
              </w:rPr>
              <w:t>结构稳定性安全性要求、工艺要求、外观设计、材质要求见</w:t>
            </w:r>
            <w:r>
              <w:rPr>
                <w:rFonts w:hint="eastAsia" w:ascii="宋体" w:hAnsi="宋体" w:eastAsia="宋体" w:cs="宋体"/>
                <w:color w:val="000000"/>
                <w:sz w:val="24"/>
              </w:rPr>
              <w:t>招标文件第六章《采购需求》中“</w:t>
            </w:r>
            <w:r>
              <w:rPr>
                <w:rFonts w:hint="eastAsia" w:ascii="宋体" w:hAnsi="宋体" w:eastAsia="宋体" w:cs="宋体"/>
                <w:sz w:val="24"/>
              </w:rPr>
              <w:t>四、技术规格(技术性能)要求</w:t>
            </w:r>
            <w:r>
              <w:rPr>
                <w:rFonts w:hint="eastAsia" w:ascii="宋体" w:hAnsi="宋体" w:eastAsia="宋体" w:cs="宋体"/>
                <w:color w:val="000000"/>
                <w:sz w:val="24"/>
              </w:rPr>
              <w:t>”。</w:t>
            </w:r>
          </w:p>
        </w:tc>
      </w:tr>
      <w:tr>
        <w:tblPrEx>
          <w:tblCellMar>
            <w:top w:w="0" w:type="dxa"/>
            <w:left w:w="10" w:type="dxa"/>
            <w:bottom w:w="0" w:type="dxa"/>
            <w:right w:w="10" w:type="dxa"/>
          </w:tblCellMar>
        </w:tblPrEx>
        <w:trPr>
          <w:trHeight w:val="330" w:hRule="atLeast"/>
          <w:jc w:val="center"/>
        </w:trPr>
        <w:tc>
          <w:tcPr>
            <w:tcW w:w="1418" w:type="dxa"/>
            <w:tcBorders>
              <w:top w:val="single" w:color="auto" w:sz="4" w:space="0"/>
              <w:left w:val="single" w:color="000000" w:sz="8" w:space="0"/>
              <w:bottom w:val="single" w:color="000000" w:sz="8" w:space="0"/>
              <w:right w:val="single" w:color="000000" w:sz="8"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2</w:t>
            </w:r>
          </w:p>
        </w:tc>
        <w:tc>
          <w:tcPr>
            <w:tcW w:w="2706" w:type="dxa"/>
            <w:tcBorders>
              <w:top w:val="single" w:color="auto" w:sz="4" w:space="0"/>
              <w:left w:val="single" w:color="000000" w:sz="0" w:space="0"/>
              <w:bottom w:val="single" w:color="000000" w:sz="8" w:space="0"/>
              <w:right w:val="single" w:color="000000"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bCs/>
                <w:sz w:val="24"/>
              </w:rPr>
              <w:t>黑板灯（含吊杆）</w:t>
            </w:r>
          </w:p>
        </w:tc>
        <w:tc>
          <w:tcPr>
            <w:tcW w:w="1796" w:type="dxa"/>
            <w:tcBorders>
              <w:top w:val="single" w:color="auto" w:sz="4" w:space="0"/>
              <w:left w:val="single" w:color="000000" w:sz="4" w:space="0"/>
              <w:bottom w:val="single" w:color="000000" w:sz="8" w:space="0"/>
              <w:right w:val="single" w:color="auto" w:sz="4" w:space="0"/>
            </w:tcBorders>
            <w:shd w:val="clear" w:color="000000" w:fill="FFFFFF"/>
            <w:tcMar>
              <w:left w:w="108" w:type="dxa"/>
              <w:right w:w="108" w:type="dxa"/>
            </w:tcMar>
          </w:tcPr>
          <w:p>
            <w:pPr>
              <w:tabs>
                <w:tab w:val="left" w:pos="0"/>
              </w:tabs>
              <w:spacing w:before="240"/>
              <w:jc w:val="center"/>
              <w:rPr>
                <w:rFonts w:hint="eastAsia" w:ascii="宋体" w:hAnsi="宋体" w:eastAsia="宋体" w:cs="宋体"/>
                <w:sz w:val="24"/>
              </w:rPr>
            </w:pPr>
            <w:r>
              <w:rPr>
                <w:rFonts w:hint="eastAsia" w:ascii="宋体" w:hAnsi="宋体" w:eastAsia="宋体" w:cs="宋体"/>
                <w:sz w:val="24"/>
              </w:rPr>
              <w:t>1套</w:t>
            </w:r>
          </w:p>
        </w:tc>
        <w:tc>
          <w:tcPr>
            <w:tcW w:w="3225" w:type="dxa"/>
            <w:vMerge w:val="continue"/>
            <w:tcBorders>
              <w:left w:val="single" w:color="000000" w:sz="4" w:space="0"/>
              <w:bottom w:val="single" w:color="000000" w:sz="8" w:space="0"/>
              <w:right w:val="single" w:color="auto" w:sz="4" w:space="0"/>
            </w:tcBorders>
            <w:shd w:val="clear" w:color="000000" w:fill="FFFFFF"/>
          </w:tcPr>
          <w:p>
            <w:pPr>
              <w:tabs>
                <w:tab w:val="left" w:pos="0"/>
              </w:tabs>
              <w:spacing w:before="240"/>
              <w:jc w:val="center"/>
              <w:rPr>
                <w:rFonts w:hint="eastAsia" w:ascii="宋体" w:hAnsi="宋体" w:eastAsia="宋体" w:cs="宋体"/>
                <w:sz w:val="24"/>
              </w:rPr>
            </w:pPr>
          </w:p>
        </w:tc>
      </w:tr>
    </w:tbl>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（二）样品应符合招标文件第六章《采购需求》中“四、技术规格(技术性能)要求”。投标人样品应与检测报告中的品牌、型号、规格一致。</w:t>
      </w:r>
    </w:p>
    <w:p>
      <w:pPr>
        <w:keepNext w:val="0"/>
        <w:keepLines w:val="0"/>
        <w:pageBreakBefore w:val="0"/>
        <w:kinsoku/>
        <w:wordWrap/>
        <w:overflowPunct/>
        <w:topLinePunct w:val="0"/>
        <w:bidi w:val="0"/>
        <w:spacing w:line="400" w:lineRule="exact"/>
        <w:ind w:firstLine="540" w:firstLineChars="225"/>
        <w:jc w:val="left"/>
        <w:textAlignment w:val="auto"/>
        <w:rPr>
          <w:rFonts w:hint="eastAsia" w:ascii="宋体" w:hAnsi="宋体" w:eastAsia="宋体" w:cs="宋体"/>
          <w:bCs/>
          <w:sz w:val="24"/>
        </w:rPr>
      </w:pPr>
      <w:r>
        <w:rPr>
          <w:rFonts w:hint="eastAsia" w:ascii="宋体" w:hAnsi="宋体" w:eastAsia="宋体" w:cs="宋体"/>
          <w:bCs/>
          <w:sz w:val="24"/>
        </w:rPr>
        <w:t>（三）样品现场点亮演示并封存送检。（灯具带连接线缆和插头，可点亮状态，由评委现场点亮。样品递送时请投标人自行准备插排一个）评标现场仅提供电源。</w:t>
      </w:r>
    </w:p>
    <w:p>
      <w:pPr>
        <w:pStyle w:val="240"/>
        <w:keepNext w:val="0"/>
        <w:keepLines w:val="0"/>
        <w:pageBreakBefore w:val="0"/>
        <w:kinsoku/>
        <w:wordWrap/>
        <w:overflowPunct/>
        <w:topLinePunct w:val="0"/>
        <w:bidi w:val="0"/>
        <w:spacing w:line="400" w:lineRule="exact"/>
        <w:ind w:firstLine="480" w:firstLineChars="200"/>
        <w:textAlignment w:val="auto"/>
        <w:rPr>
          <w:rFonts w:hint="default" w:ascii="宋体" w:hAnsi="宋体" w:eastAsia="宋体" w:cs="宋体"/>
          <w:color w:val="FF0000"/>
          <w:sz w:val="24"/>
          <w:lang w:val="en-US" w:eastAsia="zh-CN"/>
        </w:rPr>
      </w:pPr>
      <w:r>
        <w:rPr>
          <w:rFonts w:hint="eastAsia" w:ascii="宋体" w:hAnsi="宋体" w:eastAsia="宋体" w:cs="宋体"/>
          <w:bCs/>
          <w:sz w:val="24"/>
        </w:rPr>
        <w:t>（四</w:t>
      </w:r>
      <w:r>
        <w:rPr>
          <w:rFonts w:hint="eastAsia" w:ascii="宋体" w:hAnsi="宋体" w:cs="宋体"/>
          <w:bCs/>
          <w:sz w:val="24"/>
          <w:lang w:eastAsia="zh-CN"/>
        </w:rPr>
        <w:t>）</w:t>
      </w:r>
      <w:r>
        <w:rPr>
          <w:rFonts w:hint="eastAsia" w:ascii="宋体" w:hAnsi="宋体" w:cs="宋体"/>
          <w:bCs/>
          <w:sz w:val="24"/>
          <w:lang w:val="en-US" w:eastAsia="zh-CN"/>
        </w:rPr>
        <w:t>样品接收详细信息：详见第三章《投标资料表》。</w:t>
      </w:r>
    </w:p>
    <w:p>
      <w:pPr>
        <w:pStyle w:val="240"/>
        <w:keepNext w:val="0"/>
        <w:keepLines w:val="0"/>
        <w:pageBreakBefore w:val="0"/>
        <w:kinsoku/>
        <w:wordWrap/>
        <w:overflowPunct/>
        <w:topLinePunct w:val="0"/>
        <w:bidi w:val="0"/>
        <w:spacing w:line="400" w:lineRule="exact"/>
        <w:ind w:left="839" w:leftChars="228" w:hanging="360" w:hangingChars="15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五</w:t>
      </w:r>
      <w:r>
        <w:rPr>
          <w:rFonts w:hint="eastAsia" w:ascii="宋体" w:hAnsi="宋体" w:eastAsia="宋体" w:cs="宋体"/>
          <w:sz w:val="24"/>
        </w:rPr>
        <w:t>）采购人要求</w:t>
      </w:r>
    </w:p>
    <w:p>
      <w:pPr>
        <w:pStyle w:val="240"/>
        <w:keepNext w:val="0"/>
        <w:keepLines w:val="0"/>
        <w:pageBreakBefore w:val="0"/>
        <w:kinsoku/>
        <w:wordWrap/>
        <w:overflowPunct/>
        <w:topLinePunct w:val="0"/>
        <w:bidi w:val="0"/>
        <w:spacing w:line="400" w:lineRule="exact"/>
        <w:ind w:left="1" w:firstLine="477" w:firstLineChars="199"/>
        <w:textAlignment w:val="auto"/>
        <w:rPr>
          <w:rFonts w:hint="eastAsia" w:ascii="宋体" w:hAnsi="宋体" w:eastAsia="宋体" w:cs="宋体"/>
          <w:sz w:val="24"/>
        </w:rPr>
      </w:pPr>
      <w:r>
        <w:rPr>
          <w:rFonts w:hint="eastAsia" w:ascii="宋体" w:hAnsi="宋体" w:eastAsia="宋体" w:cs="宋体"/>
          <w:sz w:val="24"/>
        </w:rPr>
        <w:t>1.投标人需自行搬运样品，样品摆放位置由</w:t>
      </w:r>
      <w:r>
        <w:rPr>
          <w:rFonts w:hint="eastAsia" w:ascii="宋体" w:hAnsi="宋体" w:cs="宋体"/>
          <w:sz w:val="24"/>
          <w:lang w:val="en-US" w:eastAsia="zh-CN"/>
        </w:rPr>
        <w:t>睢宁县公共资源交易中心</w:t>
      </w:r>
      <w:r>
        <w:rPr>
          <w:rFonts w:hint="eastAsia" w:ascii="宋体" w:hAnsi="宋体" w:eastAsia="宋体" w:cs="宋体"/>
          <w:sz w:val="24"/>
        </w:rPr>
        <w:t>指定。</w:t>
      </w:r>
    </w:p>
    <w:p>
      <w:pPr>
        <w:pStyle w:val="240"/>
        <w:keepNext w:val="0"/>
        <w:keepLines w:val="0"/>
        <w:pageBreakBefore w:val="0"/>
        <w:kinsoku/>
        <w:wordWrap/>
        <w:overflowPunct/>
        <w:topLinePunct w:val="0"/>
        <w:bidi w:val="0"/>
        <w:spacing w:line="400" w:lineRule="exact"/>
        <w:ind w:left="1" w:firstLine="477" w:firstLineChars="199"/>
        <w:textAlignment w:val="auto"/>
        <w:rPr>
          <w:rFonts w:hint="eastAsia" w:ascii="宋体" w:hAnsi="宋体" w:eastAsia="宋体" w:cs="宋体"/>
          <w:sz w:val="24"/>
        </w:rPr>
      </w:pPr>
      <w:r>
        <w:rPr>
          <w:rFonts w:hint="eastAsia" w:ascii="宋体" w:hAnsi="宋体" w:eastAsia="宋体" w:cs="宋体"/>
          <w:sz w:val="24"/>
        </w:rPr>
        <w:t>2.样品不可直接摆放在地面上，投标人自行提供保护措施。如因投标人原因损坏地面等相关设施，投标人照价赔偿。</w:t>
      </w:r>
    </w:p>
    <w:p>
      <w:pPr>
        <w:pStyle w:val="240"/>
        <w:keepNext w:val="0"/>
        <w:keepLines w:val="0"/>
        <w:pageBreakBefore w:val="0"/>
        <w:kinsoku/>
        <w:wordWrap/>
        <w:overflowPunct/>
        <w:topLinePunct w:val="0"/>
        <w:bidi w:val="0"/>
        <w:spacing w:line="400" w:lineRule="exact"/>
        <w:ind w:left="839" w:leftChars="228" w:hanging="360" w:hangingChars="15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六</w:t>
      </w:r>
      <w:r>
        <w:rPr>
          <w:rFonts w:hint="eastAsia" w:ascii="宋体" w:hAnsi="宋体" w:eastAsia="宋体" w:cs="宋体"/>
          <w:sz w:val="24"/>
        </w:rPr>
        <w:t>）说明：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采购活动结束后，中标人提供的样品由睢宁县教育局进行保管、封存，并作为履约验收参考。未中标供应商的样品应在宣布评标结果后取回，具体取回的时间由</w:t>
      </w:r>
      <w:r>
        <w:rPr>
          <w:rFonts w:hint="eastAsia" w:ascii="宋体" w:hAnsi="宋体" w:eastAsia="宋体" w:cs="宋体"/>
          <w:color w:val="auto"/>
          <w:sz w:val="24"/>
          <w:lang w:eastAsia="zh-CN"/>
        </w:rPr>
        <w:t>江苏润轩项目管理有限公司</w:t>
      </w:r>
      <w:r>
        <w:rPr>
          <w:rFonts w:hint="eastAsia" w:ascii="宋体" w:hAnsi="宋体" w:eastAsia="宋体" w:cs="宋体"/>
          <w:color w:val="auto"/>
          <w:sz w:val="24"/>
        </w:rPr>
        <w:t>确定,未按</w:t>
      </w:r>
      <w:r>
        <w:rPr>
          <w:rFonts w:hint="eastAsia" w:ascii="宋体" w:hAnsi="宋体" w:eastAsia="宋体" w:cs="宋体"/>
          <w:color w:val="auto"/>
          <w:sz w:val="24"/>
          <w:lang w:eastAsia="zh-CN"/>
        </w:rPr>
        <w:t>江苏润轩项目管理有限公司</w:t>
      </w:r>
      <w:r>
        <w:rPr>
          <w:rFonts w:hint="eastAsia" w:ascii="宋体" w:hAnsi="宋体" w:eastAsia="宋体" w:cs="宋体"/>
          <w:color w:val="auto"/>
          <w:sz w:val="24"/>
        </w:rPr>
        <w:t xml:space="preserve">规定的时间取回的样品, </w:t>
      </w:r>
      <w:r>
        <w:rPr>
          <w:rFonts w:hint="eastAsia" w:ascii="宋体" w:hAnsi="宋体" w:eastAsia="宋体" w:cs="宋体"/>
          <w:color w:val="auto"/>
          <w:sz w:val="24"/>
          <w:lang w:eastAsia="zh-CN"/>
        </w:rPr>
        <w:t>江苏润轩项目管理有限公司</w:t>
      </w:r>
      <w:r>
        <w:rPr>
          <w:rFonts w:hint="eastAsia" w:ascii="宋体" w:hAnsi="宋体" w:eastAsia="宋体" w:cs="宋体"/>
          <w:color w:val="auto"/>
          <w:sz w:val="24"/>
        </w:rPr>
        <w:t>有权自行处置，并不承担任何责任。</w:t>
      </w:r>
    </w:p>
    <w:p>
      <w:pPr>
        <w:pStyle w:val="240"/>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（十）特别说明</w:t>
      </w:r>
    </w:p>
    <w:p>
      <w:pPr>
        <w:pStyle w:val="240"/>
        <w:keepNext w:val="0"/>
        <w:keepLines w:val="0"/>
        <w:pageBreakBefore w:val="0"/>
        <w:kinsoku/>
        <w:wordWrap/>
        <w:overflowPunct/>
        <w:topLinePunct w:val="0"/>
        <w:bidi w:val="0"/>
        <w:spacing w:line="400" w:lineRule="exact"/>
        <w:ind w:left="479" w:leftChars="228"/>
        <w:textAlignment w:val="auto"/>
        <w:rPr>
          <w:rFonts w:hint="eastAsia" w:ascii="宋体" w:hAnsi="宋体" w:eastAsia="宋体" w:cs="宋体"/>
          <w:kern w:val="2"/>
          <w:sz w:val="24"/>
          <w:szCs w:val="24"/>
        </w:rPr>
      </w:pPr>
      <w:r>
        <w:rPr>
          <w:rFonts w:hint="eastAsia" w:ascii="宋体" w:hAnsi="宋体" w:eastAsia="宋体" w:cs="宋体"/>
          <w:kern w:val="2"/>
          <w:sz w:val="24"/>
          <w:szCs w:val="24"/>
        </w:rPr>
        <w:t>1.采购人认定本项目的采购活动在疫情防控期间确需开展。</w:t>
      </w:r>
    </w:p>
    <w:p>
      <w:pPr>
        <w:pStyle w:val="240"/>
        <w:keepNext w:val="0"/>
        <w:keepLines w:val="0"/>
        <w:pageBreakBefore w:val="0"/>
        <w:kinsoku/>
        <w:wordWrap/>
        <w:overflowPunct/>
        <w:topLinePunct w:val="0"/>
        <w:bidi w:val="0"/>
        <w:spacing w:line="400" w:lineRule="exact"/>
        <w:ind w:left="479" w:leftChars="228"/>
        <w:textAlignment w:val="auto"/>
        <w:rPr>
          <w:rFonts w:hint="eastAsia" w:ascii="宋体" w:hAnsi="宋体" w:eastAsia="宋体" w:cs="宋体"/>
          <w:kern w:val="2"/>
          <w:sz w:val="24"/>
          <w:szCs w:val="24"/>
        </w:rPr>
      </w:pPr>
      <w:r>
        <w:rPr>
          <w:rFonts w:hint="eastAsia" w:ascii="宋体" w:hAnsi="宋体" w:eastAsia="宋体" w:cs="宋体"/>
          <w:kern w:val="2"/>
          <w:sz w:val="24"/>
          <w:szCs w:val="24"/>
        </w:rPr>
        <w:t>2.按照《江苏省财政厅关于疫情防控期间开展政府采购活动有关工作的通知》（苏财购</w:t>
      </w:r>
    </w:p>
    <w:p>
      <w:pPr>
        <w:pStyle w:val="240"/>
        <w:keepNext w:val="0"/>
        <w:keepLines w:val="0"/>
        <w:pageBreakBefore w:val="0"/>
        <w:kinsoku/>
        <w:wordWrap/>
        <w:overflowPunct/>
        <w:topLinePunct w:val="0"/>
        <w:bidi w:val="0"/>
        <w:spacing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〔2020〕13号）的要求，建立登记询问制度。</w:t>
      </w:r>
    </w:p>
    <w:p>
      <w:pPr>
        <w:pStyle w:val="240"/>
        <w:keepNext w:val="0"/>
        <w:keepLines w:val="0"/>
        <w:pageBreakBefore w:val="0"/>
        <w:kinsoku/>
        <w:wordWrap/>
        <w:overflowPunct/>
        <w:topLinePunct w:val="0"/>
        <w:bidi w:val="0"/>
        <w:spacing w:line="400" w:lineRule="exact"/>
        <w:ind w:left="239" w:leftChars="114" w:firstLine="240" w:firstLineChars="100"/>
        <w:textAlignment w:val="auto"/>
        <w:rPr>
          <w:rFonts w:hint="eastAsia" w:ascii="宋体" w:hAnsi="宋体" w:eastAsia="宋体" w:cs="宋体"/>
          <w:kern w:val="2"/>
          <w:sz w:val="24"/>
          <w:szCs w:val="24"/>
        </w:rPr>
      </w:pPr>
      <w:r>
        <w:rPr>
          <w:rFonts w:hint="eastAsia" w:ascii="宋体" w:hAnsi="宋体" w:eastAsia="宋体" w:cs="宋体"/>
          <w:kern w:val="2"/>
          <w:sz w:val="24"/>
          <w:szCs w:val="24"/>
        </w:rPr>
        <w:t>3.请参加政府采购活动的供应商代表做好个人防护，严格执行疫情报告、人员隔离等要</w:t>
      </w:r>
    </w:p>
    <w:p>
      <w:pPr>
        <w:pStyle w:val="240"/>
        <w:keepNext w:val="0"/>
        <w:keepLines w:val="0"/>
        <w:pageBreakBefore w:val="0"/>
        <w:kinsoku/>
        <w:wordWrap/>
        <w:overflowPunct/>
        <w:topLinePunct w:val="0"/>
        <w:bidi w:val="0"/>
        <w:spacing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十、验收标准（验收要求、验收标准和程序）要求：</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 履约验收的时间、方式、程序要求：见招标文件第五章《拟签订的合同文本》第九条。</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 验收标准要求：以投标人（合同卖方（中标人），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中标人提供的样品由采购人进行保管、封存，并作为履约验收的参考。</w:t>
      </w:r>
    </w:p>
    <w:p>
      <w:pPr>
        <w:keepNext w:val="0"/>
        <w:keepLines w:val="0"/>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(三) 验收程序要求：合同标的全部交付并安装完毕后，卖方（中标人,下同）可向买方（采购人，下同）书面提出试运行、验收要求，买方在接到书面要求后3日内进行试运行、验收。合同卖方（中标人）需向买方（采购人）提交合同标的的相关资料、文件、说明书等。</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1.抽测中标灯具</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灯具到货后，随机抽取灯具若干件（每种型号随机抽取不低于 2 件灯具，包括配套的吊杆等主要配件），随封样样品，密封签章后同时送至一家或多家（采购人选定）合规检测机构（具有照明项目检测资质并通过 CMA 或 CNAS 认可）进行光电色、安全规范、电磁兼容性、蓝光等项目的实验室检测。验收时中标人（卖方）代表必须在场，并提供产品合格证、质量包装文件等相关证明材料。如抽检不合格，中标人（卖方）承担违约责任</w:t>
      </w:r>
      <w:bookmarkStart w:id="2" w:name="_Hlk82166371"/>
      <w:r>
        <w:rPr>
          <w:rFonts w:hint="eastAsia" w:ascii="宋体" w:hAnsi="宋体" w:eastAsia="宋体" w:cs="宋体"/>
          <w:sz w:val="24"/>
        </w:rPr>
        <w:t>，并不予验收。因灯具验收不合格产生的返厂更换、器材存放地点房租以及再次灯具检测等一切费用和损失都由中标人（卖方）承担。灯具抽检全部达到或高于招标文件或投标文件技术要求，视为合格。中标人（卖方）可进行安装。</w:t>
      </w:r>
    </w:p>
    <w:bookmarkEnd w:id="2"/>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2.第三方机构抽查</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采购人（买方）委托合规检测机构（具有照明项目检测资质并通过 CMA 或CNAS 认可）开展现场抽查并支付检测费用，现场抽测的教室比例不应低于该项目教室总数的 3%-5%。在抽测中应兼顾同一项目中的不同学校、以及同一学校的不同类型的教室。验收时，中标人（卖方）代表必须在场。如果现场抽查教室光环境不合格，中标人（卖方）承担违约责任，卖方应于30日内提供并安装符合要求的灯具。因灯具验收不合格产生的返厂更换、器材存放地点房租以及教室光环境再次抽检等一切费用和损失都由中标人（卖方）承担。教室光环境抽检全部达到或高于招标文件及或投标文件技术要求，视为合格。</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经采购人（买方）组织进行灯具质量检测和教室光环境验收合格后视为交付 ，验收不合格或者不符合质量要求，卖方除无条件退货、返工外，还应承担采购人一切损失，货物在交付前发生的风险均由中标人（卖方）负责。</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3.抽检验收费用</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采购人（买方）委托的具备相应资质的第三方质量监督检测机构等专业技术力量对货物验收和安装使用验收过程产生的一切费用由买方承担。</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（四）商品包装验收标准：见招标文件第五章《拟签订的合同文本》中“第六条 包装与标记”中“6.4 商品（合同标的）包装具体要求”。</w:t>
      </w:r>
    </w:p>
    <w:p>
      <w:pPr>
        <w:keepNext w:val="0"/>
        <w:keepLines w:val="0"/>
        <w:pageBreakBefore w:val="0"/>
        <w:tabs>
          <w:tab w:val="left" w:pos="0"/>
        </w:tabs>
        <w:kinsoku/>
        <w:wordWrap/>
        <w:overflowPunct/>
        <w:topLinePunct w:val="0"/>
        <w:autoSpaceDE w:val="0"/>
        <w:autoSpaceDN w:val="0"/>
        <w:bidi w:val="0"/>
        <w:adjustRightInd w:val="0"/>
        <w:snapToGrid w:val="0"/>
        <w:spacing w:line="400" w:lineRule="exact"/>
        <w:ind w:firstLine="451" w:firstLineChars="188"/>
        <w:jc w:val="left"/>
        <w:textAlignment w:val="auto"/>
        <w:rPr>
          <w:rFonts w:hint="eastAsia" w:ascii="宋体" w:hAnsi="宋体" w:eastAsia="宋体" w:cs="宋体"/>
          <w:sz w:val="24"/>
        </w:rPr>
      </w:pPr>
      <w:r>
        <w:rPr>
          <w:rFonts w:hint="eastAsia" w:ascii="宋体" w:hAnsi="宋体" w:eastAsia="宋体" w:cs="宋体"/>
          <w:sz w:val="24"/>
        </w:rPr>
        <w:t>（五）快递包装验收标准：见招标文件第五章《拟签订的合同文本》中“第六条 包装与标记”中“6.5 快递包装具体要求”。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十一、商品包装具体要求：见招标文件第五章《拟签订的合同文本》中“第六条 包装与标记”中“6.4 商品（合同标的）包装具体要求”。快递包装具体要求：见招标文件第五章《拟签订的合同文本》中“第六条 包装与标记”中“6.5 快递包装具体要求”。</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十二、招标文件中第五章《拟签订的合同文本》中“《合同专用条款》”中 “第四条 支付（采购资金的支付方式、时间、条件）及“第五条 交货（货物、服务提供的时间、地点、方式）” 为不允许偏离的实质性要求和条件，如有偏离，在符合性审查时按照投标无效处理。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十三、</w:t>
      </w:r>
      <w:r>
        <w:rPr>
          <w:rFonts w:hint="eastAsia" w:ascii="宋体" w:hAnsi="宋体" w:eastAsia="宋体" w:cs="宋体"/>
          <w:bCs/>
          <w:sz w:val="24"/>
        </w:rPr>
        <w:t>其他要求：见招标文件第五章《拟签订的合同文本》。</w:t>
      </w:r>
    </w:p>
    <w:p>
      <w:pPr>
        <w:widowControl/>
        <w:jc w:val="left"/>
        <w:rPr>
          <w:rFonts w:hint="eastAsia" w:ascii="宋体" w:hAnsi="宋体" w:eastAsia="宋体" w:cs="宋体"/>
          <w:sz w:val="24"/>
        </w:rPr>
      </w:pPr>
    </w:p>
    <w:p>
      <w:pPr>
        <w:pStyle w:val="2"/>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pStyle w:val="3"/>
        <w:rPr>
          <w:rFonts w:hint="eastAsia" w:ascii="宋体" w:hAnsi="宋体" w:eastAsia="宋体" w:cs="宋体"/>
          <w:sz w:val="24"/>
        </w:rPr>
      </w:pPr>
    </w:p>
    <w:p>
      <w:pPr>
        <w:tabs>
          <w:tab w:val="left" w:pos="0"/>
        </w:tabs>
        <w:autoSpaceDE w:val="0"/>
        <w:autoSpaceDN w:val="0"/>
        <w:adjustRightInd w:val="0"/>
        <w:snapToGrid w:val="0"/>
        <w:ind w:firstLine="600" w:firstLineChars="200"/>
        <w:jc w:val="center"/>
        <w:rPr>
          <w:rFonts w:hint="eastAsia" w:ascii="宋体" w:hAnsi="宋体" w:eastAsia="宋体" w:cs="宋体"/>
          <w:sz w:val="30"/>
          <w:szCs w:val="30"/>
        </w:rPr>
      </w:pPr>
    </w:p>
    <w:p>
      <w:pPr>
        <w:tabs>
          <w:tab w:val="left" w:pos="0"/>
        </w:tabs>
        <w:autoSpaceDE w:val="0"/>
        <w:autoSpaceDN w:val="0"/>
        <w:adjustRightInd w:val="0"/>
        <w:snapToGrid w:val="0"/>
        <w:ind w:firstLine="600" w:firstLineChars="200"/>
        <w:jc w:val="center"/>
        <w:rPr>
          <w:rFonts w:hint="eastAsia" w:ascii="宋体" w:hAnsi="宋体" w:eastAsia="宋体" w:cs="宋体"/>
          <w:sz w:val="30"/>
          <w:szCs w:val="30"/>
        </w:rPr>
      </w:pPr>
    </w:p>
    <w:p>
      <w:pPr>
        <w:tabs>
          <w:tab w:val="left" w:pos="0"/>
        </w:tabs>
        <w:autoSpaceDE w:val="0"/>
        <w:autoSpaceDN w:val="0"/>
        <w:adjustRightInd w:val="0"/>
        <w:snapToGrid w:val="0"/>
        <w:ind w:firstLine="600" w:firstLineChars="200"/>
        <w:jc w:val="center"/>
        <w:rPr>
          <w:rFonts w:hint="eastAsia" w:ascii="宋体" w:hAnsi="宋体" w:eastAsia="宋体" w:cs="宋体"/>
          <w:sz w:val="30"/>
          <w:szCs w:val="30"/>
        </w:rPr>
      </w:pPr>
      <w:r>
        <w:rPr>
          <w:rFonts w:hint="eastAsia" w:ascii="宋体" w:hAnsi="宋体" w:eastAsia="宋体" w:cs="宋体"/>
          <w:sz w:val="30"/>
          <w:szCs w:val="30"/>
        </w:rPr>
        <w:t>第七章  投标文件相关格式</w:t>
      </w:r>
    </w:p>
    <w:p>
      <w:pPr>
        <w:jc w:val="center"/>
        <w:rPr>
          <w:rFonts w:hint="eastAsia" w:ascii="宋体" w:hAnsi="宋体" w:eastAsia="宋体" w:cs="宋体"/>
          <w:sz w:val="24"/>
        </w:rPr>
      </w:pPr>
    </w:p>
    <w:p>
      <w:pPr>
        <w:jc w:val="center"/>
        <w:rPr>
          <w:rFonts w:hint="eastAsia" w:ascii="宋体" w:hAnsi="宋体" w:eastAsia="宋体" w:cs="宋体"/>
          <w:sz w:val="28"/>
          <w:szCs w:val="28"/>
        </w:rPr>
      </w:pPr>
      <w:r>
        <w:rPr>
          <w:rFonts w:hint="eastAsia" w:ascii="宋体" w:hAnsi="宋体" w:eastAsia="宋体" w:cs="宋体"/>
          <w:sz w:val="28"/>
          <w:szCs w:val="28"/>
        </w:rPr>
        <w:t>目录</w:t>
      </w:r>
    </w:p>
    <w:p>
      <w:pPr>
        <w:rPr>
          <w:rFonts w:hint="eastAsia" w:ascii="宋体" w:hAnsi="宋体" w:eastAsia="宋体" w:cs="宋体"/>
          <w:sz w:val="24"/>
        </w:rPr>
      </w:pP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1. 投标函</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2. 开标一览表</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3. 分项价格表</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4．偏离表</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5. 法定代表人授权书</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6. 中小企业声明函</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7. 投标人参加政府采购活动前3年内在经营活动中没有重大违法记录的书面声明</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8. 残疾人福利性单位声明函</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9. 具备履行合同所必需的设备和专业技术能力的书面声明（附证明材料原件的扫描件）</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10.投标人相关承诺</w:t>
      </w:r>
    </w:p>
    <w:p>
      <w:pPr>
        <w:numPr>
          <w:ilvl w:val="0"/>
          <w:numId w:val="0"/>
        </w:numPr>
        <w:spacing w:line="360" w:lineRule="auto"/>
        <w:ind w:leftChars="300"/>
        <w:rPr>
          <w:rFonts w:hint="eastAsia" w:ascii="宋体" w:hAnsi="宋体" w:eastAsia="宋体" w:cs="宋体"/>
          <w:sz w:val="24"/>
        </w:rPr>
      </w:pPr>
      <w:r>
        <w:rPr>
          <w:rFonts w:hint="eastAsia" w:ascii="宋体" w:hAnsi="宋体" w:eastAsia="宋体" w:cs="宋体"/>
          <w:sz w:val="24"/>
        </w:rPr>
        <w:t>11.投标人书面声明</w:t>
      </w:r>
    </w:p>
    <w:p>
      <w:pPr>
        <w:numPr>
          <w:ilvl w:val="0"/>
          <w:numId w:val="0"/>
        </w:numPr>
        <w:spacing w:line="360" w:lineRule="auto"/>
        <w:ind w:leftChars="300"/>
        <w:rPr>
          <w:rFonts w:hint="eastAsia" w:ascii="宋体" w:hAnsi="宋体" w:eastAsia="宋体" w:cs="宋体"/>
          <w:sz w:val="24"/>
        </w:rPr>
      </w:pPr>
    </w:p>
    <w:p>
      <w:pPr>
        <w:spacing w:line="360" w:lineRule="auto"/>
        <w:ind w:leftChars="30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pacing w:line="480" w:lineRule="auto"/>
        <w:jc w:val="center"/>
        <w:textAlignment w:val="auto"/>
        <w:rPr>
          <w:rFonts w:hint="eastAsia" w:ascii="宋体" w:hAnsi="宋体" w:eastAsia="宋体" w:cs="宋体"/>
          <w:sz w:val="28"/>
          <w:szCs w:val="28"/>
        </w:rPr>
      </w:pPr>
      <w:r>
        <w:rPr>
          <w:rFonts w:hint="eastAsia" w:ascii="宋体" w:hAnsi="宋体" w:eastAsia="宋体" w:cs="宋体"/>
          <w:sz w:val="24"/>
        </w:rPr>
        <w:br w:type="page"/>
      </w:r>
      <w:r>
        <w:rPr>
          <w:rFonts w:hint="eastAsia" w:ascii="宋体" w:hAnsi="宋体" w:eastAsia="宋体" w:cs="宋体"/>
          <w:sz w:val="28"/>
          <w:szCs w:val="28"/>
        </w:rPr>
        <w:t xml:space="preserve">1. </w:t>
      </w:r>
      <w:r>
        <w:rPr>
          <w:rFonts w:hint="eastAsia" w:ascii="宋体" w:hAnsi="宋体" w:eastAsia="宋体" w:cs="宋体"/>
          <w:sz w:val="30"/>
          <w:szCs w:val="30"/>
        </w:rPr>
        <w:t>投标</w:t>
      </w:r>
      <w:r>
        <w:rPr>
          <w:rFonts w:hint="eastAsia" w:ascii="宋体" w:hAnsi="宋体" w:eastAsia="宋体" w:cs="宋体"/>
          <w:sz w:val="28"/>
          <w:szCs w:val="28"/>
        </w:rPr>
        <w:t>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江苏润轩项目管理有限公司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睢宁县2022年学校教室照明改造提升项目</w:t>
      </w:r>
      <w:r>
        <w:rPr>
          <w:rFonts w:hint="eastAsia" w:ascii="宋体" w:hAnsi="宋体" w:eastAsia="宋体" w:cs="宋体"/>
          <w:sz w:val="24"/>
          <w:szCs w:val="24"/>
        </w:rPr>
        <w:t>[项目编号：</w:t>
      </w:r>
      <w:r>
        <w:rPr>
          <w:rFonts w:hint="eastAsia" w:ascii="宋体" w:hAnsi="宋体" w:cs="宋体"/>
          <w:color w:val="auto"/>
          <w:sz w:val="24"/>
          <w:szCs w:val="24"/>
          <w:u w:val="single"/>
          <w:lang w:eastAsia="zh-CN"/>
        </w:rPr>
        <w:t>JSZC-320324-RXGL-G2022-0008</w:t>
      </w:r>
      <w:r>
        <w:rPr>
          <w:rFonts w:hint="eastAsia" w:ascii="宋体" w:hAnsi="宋体" w:eastAsia="宋体" w:cs="宋体"/>
          <w:color w:val="auto"/>
          <w:sz w:val="24"/>
          <w:szCs w:val="24"/>
        </w:rPr>
        <w:t>]</w:t>
      </w:r>
      <w:r>
        <w:rPr>
          <w:rFonts w:hint="eastAsia" w:ascii="宋体" w:hAnsi="宋体" w:eastAsia="宋体" w:cs="宋体"/>
          <w:sz w:val="24"/>
          <w:szCs w:val="24"/>
        </w:rPr>
        <w:t>招标文件， (姓名)代表我方______________（投标人的名称）全权处理本次投标的有关事宜。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据此函，投标人承诺并同意如下：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投标人唯一投标报价见《开标一览表》。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投标人将按招标文件的规定履行合同责任和义务。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投标人已详细审查全部招标文件，包括第[插入编号] [补遗书][如果有的话]。投标人完全理解并同意放弃对这方面有不明及误解的权力。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投标有效期为90天。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投标人同意提供按照贵方可能要求的与其投标有关的一切数据或资料，完全理解贵方不一定接受最低价的投标或收到的任何投标。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6.招标文件中关于“投标文件的密封要求”的规定由徐州市政府采购中心解释，投标人完全理解招标文件中关于“投标文件的密封要求”的规定。</w:t>
      </w:r>
    </w:p>
    <w:p>
      <w:pPr>
        <w:keepNext w:val="0"/>
        <w:keepLines w:val="0"/>
        <w:pageBreakBefore w:val="0"/>
        <w:widowControl w:val="0"/>
        <w:kinsoku/>
        <w:wordWrap/>
        <w:overflowPunct/>
        <w:topLinePunct w:val="0"/>
        <w:autoSpaceDE/>
        <w:autoSpaceDN/>
        <w:bidi w:val="0"/>
        <w:adjustRightInd w:val="0"/>
        <w:snapToGrid w:val="0"/>
        <w:spacing w:line="360" w:lineRule="auto"/>
        <w:ind w:right="29" w:rightChars="1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徐州市政府采购中心有权将我单位本项目投标文件中的《开标一览表》和《分项价格表》予以公示，公示的方式由徐州市政府采购中心确定。如我单位被确定为中标、成交供应商，徐州市政府采购中心有权将我单位本项目投标文件中的《中小企业声明函》（如有），《残疾人福利性单位声明函》（如有）和我单位注册所在县扶贫部门出具的聘用建档立卡贫困人员具体数量的证明（如有）作为《中标（成交）结果公告》的附件予以公告。</w:t>
      </w:r>
    </w:p>
    <w:p>
      <w:pPr>
        <w:keepNext w:val="0"/>
        <w:keepLines w:val="0"/>
        <w:pageBreakBefore w:val="0"/>
        <w:widowControl w:val="0"/>
        <w:kinsoku/>
        <w:wordWrap/>
        <w:overflowPunct/>
        <w:topLinePunct w:val="0"/>
        <w:autoSpaceDE/>
        <w:autoSpaceDN/>
        <w:bidi w:val="0"/>
        <w:adjustRightInd w:val="0"/>
        <w:snapToGrid w:val="0"/>
        <w:spacing w:line="360" w:lineRule="auto"/>
        <w:ind w:right="29" w:rightChars="1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与本投标有关的一切正式往来信函请寄：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手机号码：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传真： </w:t>
      </w:r>
    </w:p>
    <w:p>
      <w:pPr>
        <w:keepNext w:val="0"/>
        <w:keepLines w:val="0"/>
        <w:pageBreakBefore w:val="0"/>
        <w:widowControl w:val="0"/>
        <w:kinsoku/>
        <w:wordWrap/>
        <w:overflowPunct/>
        <w:topLinePunct w:val="0"/>
        <w:autoSpaceDE/>
        <w:autoSpaceDN/>
        <w:bidi w:val="0"/>
        <w:spacing w:line="400" w:lineRule="exact"/>
        <w:ind w:firstLine="3120" w:firstLineChars="1300"/>
        <w:textAlignment w:val="auto"/>
        <w:rPr>
          <w:rFonts w:hint="eastAsia" w:ascii="宋体" w:hAnsi="宋体" w:eastAsia="宋体" w:cs="宋体"/>
          <w:sz w:val="24"/>
        </w:rPr>
      </w:pPr>
      <w:r>
        <w:rPr>
          <w:rFonts w:hint="eastAsia" w:ascii="宋体" w:hAnsi="宋体" w:eastAsia="宋体" w:cs="宋体"/>
          <w:sz w:val="24"/>
        </w:rPr>
        <w:t>投标人：（电子签章）</w:t>
      </w:r>
    </w:p>
    <w:p>
      <w:pPr>
        <w:keepNext w:val="0"/>
        <w:keepLines w:val="0"/>
        <w:pageBreakBefore w:val="0"/>
        <w:widowControl w:val="0"/>
        <w:kinsoku/>
        <w:wordWrap/>
        <w:overflowPunct/>
        <w:topLinePunct w:val="0"/>
        <w:autoSpaceDE/>
        <w:autoSpaceDN/>
        <w:bidi w:val="0"/>
        <w:spacing w:line="400" w:lineRule="exact"/>
        <w:ind w:firstLine="3120" w:firstLineChars="1300"/>
        <w:textAlignment w:val="auto"/>
        <w:rPr>
          <w:rFonts w:hint="eastAsia" w:ascii="宋体" w:hAnsi="宋体" w:eastAsia="宋体" w:cs="宋体"/>
          <w:sz w:val="24"/>
        </w:rPr>
      </w:pPr>
      <w:r>
        <w:rPr>
          <w:rFonts w:hint="eastAsia" w:ascii="宋体" w:hAnsi="宋体" w:eastAsia="宋体" w:cs="宋体"/>
          <w:sz w:val="24"/>
        </w:rPr>
        <w:t>日期：   年  月  日</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2．开标一览表</w:t>
      </w:r>
    </w:p>
    <w:p>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睢宁县2022年学校教室照明改造提升项目</w:t>
      </w:r>
    </w:p>
    <w:p>
      <w:pPr>
        <w:spacing w:line="360" w:lineRule="auto"/>
        <w:rPr>
          <w:rFonts w:hint="eastAsia" w:ascii="宋体" w:hAnsi="宋体" w:eastAsia="宋体" w:cs="宋体"/>
          <w:sz w:val="24"/>
          <w:u w:val="single"/>
          <w:lang w:eastAsia="zh-CN"/>
        </w:rPr>
      </w:pPr>
      <w:r>
        <w:rPr>
          <w:rFonts w:hint="eastAsia" w:ascii="宋体" w:hAnsi="宋体" w:eastAsia="宋体" w:cs="宋体"/>
          <w:sz w:val="24"/>
        </w:rPr>
        <w:t>项目编号：</w:t>
      </w:r>
      <w:r>
        <w:rPr>
          <w:rFonts w:hint="eastAsia" w:ascii="宋体" w:hAnsi="宋体" w:cs="宋体"/>
          <w:sz w:val="24"/>
          <w:u w:val="single"/>
          <w:lang w:eastAsia="zh-CN"/>
        </w:rPr>
        <w:t>JSZC-320324-RXGL-G2022-0008</w:t>
      </w:r>
    </w:p>
    <w:p>
      <w:pPr>
        <w:rPr>
          <w:rFonts w:hint="eastAsia" w:ascii="宋体" w:hAnsi="宋体" w:eastAsia="宋体" w:cs="宋体"/>
        </w:rPr>
      </w:pPr>
    </w:p>
    <w:tbl>
      <w:tblPr>
        <w:tblStyle w:val="42"/>
        <w:tblW w:w="9109"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autofit"/>
        <w:tblCellMar>
          <w:top w:w="0" w:type="dxa"/>
          <w:left w:w="108" w:type="dxa"/>
          <w:bottom w:w="0" w:type="dxa"/>
          <w:right w:w="108" w:type="dxa"/>
        </w:tblCellMar>
      </w:tblPr>
      <w:tblGrid>
        <w:gridCol w:w="3123"/>
        <w:gridCol w:w="5986"/>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593" w:hRule="atLeast"/>
          <w:jc w:val="center"/>
        </w:trPr>
        <w:tc>
          <w:tcPr>
            <w:tcW w:w="3123" w:type="dxa"/>
            <w:vMerge w:val="restart"/>
            <w:tcBorders>
              <w:top w:val="double" w:color="000000" w:sz="6" w:space="0"/>
              <w:left w:val="double" w:color="000000" w:sz="6"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报价内容</w:t>
            </w:r>
          </w:p>
        </w:tc>
        <w:tc>
          <w:tcPr>
            <w:tcW w:w="5986" w:type="dxa"/>
            <w:tcBorders>
              <w:top w:val="double" w:color="000000" w:sz="6" w:space="0"/>
              <w:left w:val="double" w:color="auto" w:sz="4" w:space="0"/>
              <w:bottom w:val="double" w:color="000000" w:sz="2"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投标价格</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521" w:hRule="atLeast"/>
          <w:jc w:val="center"/>
        </w:trPr>
        <w:tc>
          <w:tcPr>
            <w:tcW w:w="3123" w:type="dxa"/>
            <w:vMerge w:val="continue"/>
            <w:tcBorders>
              <w:left w:val="double" w:color="000000" w:sz="6" w:space="0"/>
              <w:right w:val="double" w:color="000000" w:sz="2" w:space="0"/>
            </w:tcBorders>
            <w:vAlign w:val="center"/>
          </w:tcPr>
          <w:p>
            <w:pPr>
              <w:jc w:val="center"/>
              <w:rPr>
                <w:rFonts w:hint="eastAsia" w:ascii="宋体" w:hAnsi="宋体" w:eastAsia="宋体" w:cs="宋体"/>
                <w:sz w:val="24"/>
              </w:rPr>
            </w:pPr>
          </w:p>
        </w:tc>
        <w:tc>
          <w:tcPr>
            <w:tcW w:w="5986" w:type="dxa"/>
            <w:tcBorders>
              <w:top w:val="double" w:color="000000" w:sz="6" w:space="0"/>
              <w:left w:val="double" w:color="auto" w:sz="4" w:space="0"/>
              <w:bottom w:val="double" w:color="000000" w:sz="2" w:space="0"/>
              <w:right w:val="double" w:color="000000" w:sz="2" w:space="0"/>
            </w:tcBorders>
            <w:vAlign w:val="center"/>
          </w:tcPr>
          <w:p>
            <w:pPr>
              <w:jc w:val="center"/>
              <w:rPr>
                <w:rFonts w:hint="eastAsia" w:ascii="宋体" w:hAnsi="宋体" w:eastAsia="宋体" w:cs="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498" w:hRule="atLeast"/>
          <w:jc w:val="center"/>
        </w:trPr>
        <w:tc>
          <w:tcPr>
            <w:tcW w:w="3123" w:type="dxa"/>
            <w:vMerge w:val="continue"/>
            <w:tcBorders>
              <w:left w:val="double" w:color="000000" w:sz="6" w:space="0"/>
              <w:right w:val="double" w:color="000000" w:sz="2" w:space="0"/>
            </w:tcBorders>
            <w:vAlign w:val="center"/>
          </w:tcPr>
          <w:p>
            <w:pPr>
              <w:jc w:val="center"/>
              <w:rPr>
                <w:rFonts w:hint="eastAsia" w:ascii="宋体" w:hAnsi="宋体" w:eastAsia="宋体" w:cs="宋体"/>
                <w:sz w:val="24"/>
              </w:rPr>
            </w:pPr>
          </w:p>
        </w:tc>
        <w:tc>
          <w:tcPr>
            <w:tcW w:w="5986" w:type="dxa"/>
            <w:tcBorders>
              <w:top w:val="double" w:color="000000" w:sz="6" w:space="0"/>
              <w:left w:val="double" w:color="auto" w:sz="4" w:space="0"/>
              <w:bottom w:val="double" w:color="000000" w:sz="2"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总价</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51" w:hRule="atLeast"/>
          <w:jc w:val="center"/>
        </w:trPr>
        <w:tc>
          <w:tcPr>
            <w:tcW w:w="3123" w:type="dxa"/>
            <w:tcBorders>
              <w:left w:val="double" w:color="000000" w:sz="6" w:space="0"/>
              <w:bottom w:val="double" w:color="000000" w:sz="2"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 xml:space="preserve">报价单位 </w:t>
            </w:r>
          </w:p>
        </w:tc>
        <w:tc>
          <w:tcPr>
            <w:tcW w:w="5986" w:type="dxa"/>
            <w:tcBorders>
              <w:top w:val="double" w:color="000000" w:sz="6" w:space="0"/>
              <w:left w:val="double" w:color="auto" w:sz="4" w:space="0"/>
              <w:bottom w:val="double" w:color="000000" w:sz="2" w:space="0"/>
              <w:right w:val="double" w:color="000000" w:sz="2" w:space="0"/>
            </w:tcBorders>
            <w:vAlign w:val="center"/>
          </w:tcPr>
          <w:p>
            <w:pPr>
              <w:jc w:val="center"/>
              <w:rPr>
                <w:rFonts w:hint="eastAsia" w:ascii="宋体" w:hAnsi="宋体" w:eastAsia="宋体" w:cs="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123" w:type="dxa"/>
            <w:tcBorders>
              <w:top w:val="double" w:color="000000" w:sz="2" w:space="0"/>
              <w:left w:val="double" w:color="000000" w:sz="6"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总价（小写）</w:t>
            </w:r>
          </w:p>
        </w:tc>
        <w:tc>
          <w:tcPr>
            <w:tcW w:w="5986" w:type="dxa"/>
            <w:tcBorders>
              <w:top w:val="double" w:color="000000" w:sz="2" w:space="0"/>
              <w:left w:val="double" w:color="auto" w:sz="4" w:space="0"/>
              <w:right w:val="double" w:color="000000" w:sz="2" w:space="0"/>
            </w:tcBorders>
            <w:vAlign w:val="center"/>
          </w:tcPr>
          <w:p>
            <w:pPr>
              <w:jc w:val="center"/>
              <w:rPr>
                <w:rFonts w:hint="eastAsia" w:ascii="宋体" w:hAnsi="宋体" w:eastAsia="宋体" w:cs="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000" w:hRule="atLeast"/>
          <w:jc w:val="center"/>
        </w:trPr>
        <w:tc>
          <w:tcPr>
            <w:tcW w:w="3123" w:type="dxa"/>
            <w:tcBorders>
              <w:top w:val="double" w:color="000000" w:sz="2" w:space="0"/>
              <w:left w:val="double" w:color="000000" w:sz="6" w:space="0"/>
              <w:bottom w:val="double" w:color="000000" w:sz="2" w:space="0"/>
              <w:right w:val="double" w:color="000000" w:sz="2" w:space="0"/>
            </w:tcBorders>
            <w:vAlign w:val="center"/>
          </w:tcPr>
          <w:p>
            <w:pPr>
              <w:jc w:val="center"/>
              <w:rPr>
                <w:rFonts w:hint="eastAsia" w:ascii="宋体" w:hAnsi="宋体" w:eastAsia="宋体" w:cs="宋体"/>
                <w:sz w:val="24"/>
              </w:rPr>
            </w:pPr>
            <w:r>
              <w:rPr>
                <w:rFonts w:hint="eastAsia" w:ascii="宋体" w:hAnsi="宋体" w:eastAsia="宋体" w:cs="宋体"/>
                <w:sz w:val="24"/>
              </w:rPr>
              <w:t>总价（大写）</w:t>
            </w:r>
          </w:p>
        </w:tc>
        <w:tc>
          <w:tcPr>
            <w:tcW w:w="5986" w:type="dxa"/>
            <w:tcBorders>
              <w:top w:val="double" w:color="000000" w:sz="2" w:space="0"/>
              <w:left w:val="double" w:color="000000" w:sz="2" w:space="0"/>
              <w:bottom w:val="double" w:color="000000" w:sz="2" w:space="0"/>
              <w:right w:val="double" w:color="000000" w:sz="2" w:space="0"/>
            </w:tcBorders>
            <w:vAlign w:val="center"/>
          </w:tcPr>
          <w:p>
            <w:pPr>
              <w:jc w:val="center"/>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360" w:lineRule="auto"/>
        <w:ind w:firstLine="3120" w:firstLineChars="1300"/>
        <w:rPr>
          <w:rFonts w:hint="eastAsia" w:ascii="宋体" w:hAnsi="宋体" w:eastAsia="宋体" w:cs="宋体"/>
          <w:sz w:val="24"/>
        </w:rPr>
      </w:pPr>
      <w:r>
        <w:rPr>
          <w:rFonts w:hint="eastAsia" w:ascii="宋体" w:hAnsi="宋体" w:eastAsia="宋体" w:cs="宋体"/>
          <w:sz w:val="24"/>
        </w:rPr>
        <w:t>投标人：（电子签章）</w:t>
      </w:r>
    </w:p>
    <w:p>
      <w:pPr>
        <w:spacing w:line="360" w:lineRule="auto"/>
        <w:ind w:firstLine="3120" w:firstLineChars="13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sz w:val="24"/>
        </w:rPr>
      </w:pPr>
    </w:p>
    <w:p>
      <w:pPr>
        <w:spacing w:line="360" w:lineRule="auto"/>
        <w:jc w:val="center"/>
        <w:rPr>
          <w:rFonts w:hint="eastAsia" w:ascii="宋体" w:hAnsi="宋体" w:eastAsia="宋体" w:cs="宋体"/>
          <w:sz w:val="28"/>
          <w:szCs w:val="28"/>
        </w:rPr>
      </w:pPr>
      <w:r>
        <w:rPr>
          <w:rFonts w:hint="eastAsia" w:ascii="宋体" w:hAnsi="宋体" w:eastAsia="宋体" w:cs="宋体"/>
          <w:sz w:val="24"/>
        </w:rPr>
        <w:br w:type="page"/>
      </w:r>
      <w:r>
        <w:rPr>
          <w:rFonts w:hint="eastAsia" w:ascii="宋体" w:hAnsi="宋体" w:eastAsia="宋体" w:cs="宋体"/>
          <w:sz w:val="28"/>
          <w:szCs w:val="28"/>
        </w:rPr>
        <w:t>3．分项价格表</w:t>
      </w:r>
    </w:p>
    <w:p>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睢宁县2022年学校教室照明改造提升项目</w:t>
      </w:r>
    </w:p>
    <w:p>
      <w:pPr>
        <w:spacing w:line="360" w:lineRule="auto"/>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cs="宋体"/>
          <w:sz w:val="24"/>
          <w:u w:val="single"/>
          <w:lang w:eastAsia="zh-CN"/>
        </w:rPr>
        <w:t>JSZC-320324-RXGL-G2022-0008</w:t>
      </w:r>
      <w:r>
        <w:rPr>
          <w:rFonts w:hint="eastAsia" w:ascii="宋体" w:hAnsi="宋体" w:eastAsia="宋体" w:cs="宋体"/>
          <w:sz w:val="24"/>
        </w:rPr>
        <w:t xml:space="preserve">         </w:t>
      </w:r>
    </w:p>
    <w:p>
      <w:pPr>
        <w:ind w:firstLine="1560" w:firstLineChars="650"/>
        <w:rPr>
          <w:rFonts w:hint="eastAsia" w:ascii="宋体" w:hAnsi="宋体" w:eastAsia="宋体" w:cs="宋体"/>
          <w:sz w:val="24"/>
        </w:rPr>
      </w:pPr>
      <w:r>
        <w:rPr>
          <w:rFonts w:hint="eastAsia" w:ascii="宋体" w:hAnsi="宋体" w:eastAsia="宋体" w:cs="宋体"/>
          <w:sz w:val="24"/>
        </w:rPr>
        <w:t xml:space="preserve">                　                  货币单位：人民币元</w:t>
      </w:r>
    </w:p>
    <w:tbl>
      <w:tblPr>
        <w:tblStyle w:val="42"/>
        <w:tblW w:w="9855"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0"/>
        <w:gridCol w:w="740"/>
        <w:gridCol w:w="502"/>
        <w:gridCol w:w="1005"/>
        <w:gridCol w:w="1140"/>
        <w:gridCol w:w="1462"/>
        <w:gridCol w:w="708"/>
        <w:gridCol w:w="542"/>
        <w:gridCol w:w="1015"/>
        <w:gridCol w:w="787"/>
        <w:gridCol w:w="1134"/>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5" w:hRule="atLeast"/>
          <w:jc w:val="center"/>
        </w:trPr>
        <w:tc>
          <w:tcPr>
            <w:tcW w:w="820" w:type="dxa"/>
            <w:shd w:val="clear" w:color="auto" w:fill="FFFFFF" w:themeFill="background1"/>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采购人</w:t>
            </w:r>
          </w:p>
        </w:tc>
        <w:tc>
          <w:tcPr>
            <w:tcW w:w="740" w:type="dxa"/>
            <w:shd w:val="clear" w:color="auto" w:fill="FFFFFF" w:themeFill="background1"/>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502" w:type="dxa"/>
            <w:shd w:val="clear" w:color="auto" w:fill="FFFFFF" w:themeFill="background1"/>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005" w:type="dxa"/>
            <w:shd w:val="clear" w:color="auto" w:fill="FFFFFF" w:themeFill="background1"/>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品牌、规格、型号</w:t>
            </w:r>
          </w:p>
        </w:tc>
        <w:tc>
          <w:tcPr>
            <w:tcW w:w="1140" w:type="dxa"/>
            <w:shd w:val="clear" w:color="auto" w:fill="FFFFFF" w:themeFill="background1"/>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产品制造企业名称（全称）</w:t>
            </w:r>
          </w:p>
        </w:tc>
        <w:tc>
          <w:tcPr>
            <w:tcW w:w="1462" w:type="dxa"/>
            <w:shd w:val="clear" w:color="auto" w:fill="FFFFFF" w:themeFill="background1"/>
            <w:tcMar>
              <w:top w:w="15" w:type="dxa"/>
              <w:left w:w="15" w:type="dxa"/>
              <w:bottom w:w="0" w:type="dxa"/>
              <w:right w:w="15" w:type="dxa"/>
            </w:tcMar>
          </w:tcPr>
          <w:p>
            <w:pPr>
              <w:jc w:val="center"/>
              <w:rPr>
                <w:rFonts w:hint="eastAsia" w:ascii="宋体" w:hAnsi="宋体" w:eastAsia="宋体" w:cs="宋体"/>
                <w:sz w:val="24"/>
              </w:rPr>
            </w:pPr>
            <w:r>
              <w:rPr>
                <w:rFonts w:hint="eastAsia" w:ascii="宋体" w:hAnsi="宋体" w:eastAsia="宋体" w:cs="宋体"/>
                <w:sz w:val="24"/>
              </w:rPr>
              <w:t>产品制造企业的划分（大型、中型、小型、微型、监狱企业、享受政府采购支持政策的残疾人福利性单位）</w:t>
            </w:r>
          </w:p>
        </w:tc>
        <w:tc>
          <w:tcPr>
            <w:tcW w:w="708" w:type="dxa"/>
            <w:shd w:val="clear" w:color="auto" w:fill="FFFFFF" w:themeFill="background1"/>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542" w:type="dxa"/>
            <w:shd w:val="clear" w:color="auto" w:fill="FFFFFF" w:themeFill="background1"/>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数量单位</w:t>
            </w:r>
          </w:p>
        </w:tc>
        <w:tc>
          <w:tcPr>
            <w:tcW w:w="1015" w:type="dxa"/>
            <w:shd w:val="clear" w:color="auto" w:fill="FFFFFF" w:themeFill="background1"/>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787" w:type="dxa"/>
            <w:shd w:val="clear" w:color="auto" w:fill="FFFFFF" w:themeFill="background1"/>
            <w:vAlign w:val="center"/>
          </w:tcPr>
          <w:p>
            <w:pPr>
              <w:jc w:val="center"/>
              <w:rPr>
                <w:rFonts w:hint="eastAsia" w:ascii="宋体" w:hAnsi="宋体" w:eastAsia="宋体" w:cs="宋体"/>
                <w:sz w:val="24"/>
              </w:rPr>
            </w:pPr>
            <w:r>
              <w:rPr>
                <w:rFonts w:hint="eastAsia" w:ascii="宋体" w:hAnsi="宋体" w:eastAsia="宋体" w:cs="宋体"/>
                <w:sz w:val="24"/>
              </w:rPr>
              <w:t>总价</w:t>
            </w:r>
          </w:p>
        </w:tc>
        <w:tc>
          <w:tcPr>
            <w:tcW w:w="1134" w:type="dxa"/>
            <w:shd w:val="clear" w:color="auto" w:fill="FFFFFF" w:themeFill="background1"/>
            <w:vAlign w:val="center"/>
          </w:tcPr>
          <w:p>
            <w:pPr>
              <w:jc w:val="center"/>
              <w:rPr>
                <w:rFonts w:hint="eastAsia" w:ascii="宋体" w:hAnsi="宋体" w:eastAsia="宋体" w:cs="宋体"/>
                <w:sz w:val="24"/>
              </w:rPr>
            </w:pPr>
            <w:r>
              <w:rPr>
                <w:rFonts w:hint="eastAsia" w:ascii="宋体" w:hAnsi="宋体" w:eastAsia="宋体" w:cs="宋体"/>
                <w:sz w:val="24"/>
              </w:rPr>
              <w:t>各采购人总价合计</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820" w:type="dxa"/>
            <w:vMerge w:val="restart"/>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502" w:type="dxa"/>
            <w:tcMar>
              <w:top w:w="15" w:type="dxa"/>
              <w:left w:w="15" w:type="dxa"/>
              <w:bottom w:w="0" w:type="dxa"/>
              <w:right w:w="15" w:type="dxa"/>
            </w:tcMar>
            <w:vAlign w:val="center"/>
          </w:tcPr>
          <w:p>
            <w:pPr>
              <w:jc w:val="center"/>
              <w:rPr>
                <w:rFonts w:hint="eastAsia" w:ascii="宋体" w:hAnsi="宋体" w:eastAsia="宋体" w:cs="宋体"/>
                <w:sz w:val="24"/>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Mar>
              <w:top w:w="15" w:type="dxa"/>
              <w:left w:w="15" w:type="dxa"/>
              <w:bottom w:w="0" w:type="dxa"/>
              <w:right w:w="15" w:type="dxa"/>
            </w:tcMar>
          </w:tcPr>
          <w:p>
            <w:pPr>
              <w:jc w:val="center"/>
              <w:rPr>
                <w:rFonts w:hint="eastAsia" w:ascii="宋体" w:hAnsi="宋体" w:eastAsia="宋体" w:cs="宋体"/>
                <w:sz w:val="24"/>
              </w:rPr>
            </w:pPr>
          </w:p>
        </w:tc>
        <w:tc>
          <w:tcPr>
            <w:tcW w:w="1462" w:type="dxa"/>
            <w:tcMar>
              <w:top w:w="15" w:type="dxa"/>
              <w:left w:w="15" w:type="dxa"/>
              <w:bottom w:w="0" w:type="dxa"/>
              <w:right w:w="15" w:type="dxa"/>
            </w:tcMar>
          </w:tcPr>
          <w:p>
            <w:pPr>
              <w:jc w:val="center"/>
              <w:rPr>
                <w:rFonts w:hint="eastAsia" w:ascii="宋体" w:hAnsi="宋体" w:eastAsia="宋体" w:cs="宋体"/>
                <w:sz w:val="24"/>
              </w:rPr>
            </w:pPr>
          </w:p>
        </w:tc>
        <w:tc>
          <w:tcPr>
            <w:tcW w:w="708" w:type="dxa"/>
            <w:noWrap/>
            <w:tcMar>
              <w:top w:w="15" w:type="dxa"/>
              <w:left w:w="15" w:type="dxa"/>
              <w:bottom w:w="0" w:type="dxa"/>
              <w:right w:w="15" w:type="dxa"/>
            </w:tcMar>
            <w:vAlign w:val="center"/>
          </w:tcPr>
          <w:p>
            <w:pPr>
              <w:jc w:val="center"/>
              <w:rPr>
                <w:rFonts w:hint="eastAsia" w:ascii="宋体" w:hAnsi="宋体" w:eastAsia="宋体" w:cs="宋体"/>
                <w:sz w:val="24"/>
              </w:rPr>
            </w:pPr>
          </w:p>
        </w:tc>
        <w:tc>
          <w:tcPr>
            <w:tcW w:w="54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1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restart"/>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502" w:type="dxa"/>
            <w:tcMar>
              <w:top w:w="15" w:type="dxa"/>
              <w:left w:w="15" w:type="dxa"/>
              <w:bottom w:w="0" w:type="dxa"/>
              <w:right w:w="15" w:type="dxa"/>
            </w:tcMar>
            <w:vAlign w:val="center"/>
          </w:tcPr>
          <w:p>
            <w:pPr>
              <w:jc w:val="center"/>
              <w:rPr>
                <w:rFonts w:hint="eastAsia" w:ascii="宋体" w:hAnsi="宋体" w:eastAsia="宋体" w:cs="宋体"/>
                <w:sz w:val="24"/>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Mar>
              <w:top w:w="15" w:type="dxa"/>
              <w:left w:w="15" w:type="dxa"/>
              <w:bottom w:w="0" w:type="dxa"/>
              <w:right w:w="15" w:type="dxa"/>
            </w:tcMar>
          </w:tcPr>
          <w:p>
            <w:pPr>
              <w:jc w:val="center"/>
              <w:rPr>
                <w:rFonts w:hint="eastAsia" w:ascii="宋体" w:hAnsi="宋体" w:eastAsia="宋体" w:cs="宋体"/>
                <w:sz w:val="24"/>
              </w:rPr>
            </w:pPr>
          </w:p>
        </w:tc>
        <w:tc>
          <w:tcPr>
            <w:tcW w:w="1462" w:type="dxa"/>
            <w:tcMar>
              <w:top w:w="15" w:type="dxa"/>
              <w:left w:w="15" w:type="dxa"/>
              <w:bottom w:w="0" w:type="dxa"/>
              <w:right w:w="15" w:type="dxa"/>
            </w:tcMar>
          </w:tcPr>
          <w:p>
            <w:pPr>
              <w:jc w:val="center"/>
              <w:rPr>
                <w:rFonts w:hint="eastAsia" w:ascii="宋体" w:hAnsi="宋体" w:eastAsia="宋体" w:cs="宋体"/>
                <w:sz w:val="24"/>
              </w:rPr>
            </w:pPr>
          </w:p>
        </w:tc>
        <w:tc>
          <w:tcPr>
            <w:tcW w:w="708" w:type="dxa"/>
            <w:noWrap/>
            <w:tcMar>
              <w:top w:w="15" w:type="dxa"/>
              <w:left w:w="15" w:type="dxa"/>
              <w:bottom w:w="0" w:type="dxa"/>
              <w:right w:w="15" w:type="dxa"/>
            </w:tcMar>
            <w:vAlign w:val="center"/>
          </w:tcPr>
          <w:p>
            <w:pPr>
              <w:jc w:val="center"/>
              <w:rPr>
                <w:rFonts w:hint="eastAsia" w:ascii="宋体" w:hAnsi="宋体" w:eastAsia="宋体" w:cs="宋体"/>
                <w:sz w:val="24"/>
              </w:rPr>
            </w:pPr>
          </w:p>
        </w:tc>
        <w:tc>
          <w:tcPr>
            <w:tcW w:w="54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1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502" w:type="dxa"/>
            <w:tcMar>
              <w:top w:w="15" w:type="dxa"/>
              <w:left w:w="15" w:type="dxa"/>
              <w:bottom w:w="0" w:type="dxa"/>
              <w:right w:w="15" w:type="dxa"/>
            </w:tcMar>
            <w:vAlign w:val="center"/>
          </w:tcPr>
          <w:p>
            <w:pPr>
              <w:jc w:val="center"/>
              <w:rPr>
                <w:rFonts w:hint="eastAsia" w:ascii="宋体" w:hAnsi="宋体" w:eastAsia="宋体" w:cs="宋体"/>
                <w:sz w:val="24"/>
              </w:rPr>
            </w:pPr>
          </w:p>
        </w:tc>
        <w:tc>
          <w:tcPr>
            <w:tcW w:w="1005" w:type="dxa"/>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Mar>
              <w:top w:w="15" w:type="dxa"/>
              <w:left w:w="15" w:type="dxa"/>
              <w:bottom w:w="0" w:type="dxa"/>
              <w:right w:w="15" w:type="dxa"/>
            </w:tcMar>
          </w:tcPr>
          <w:p>
            <w:pPr>
              <w:jc w:val="center"/>
              <w:rPr>
                <w:rFonts w:hint="eastAsia" w:ascii="宋体" w:hAnsi="宋体" w:eastAsia="宋体" w:cs="宋体"/>
                <w:sz w:val="24"/>
              </w:rPr>
            </w:pPr>
          </w:p>
        </w:tc>
        <w:tc>
          <w:tcPr>
            <w:tcW w:w="1462" w:type="dxa"/>
            <w:tcMar>
              <w:top w:w="15" w:type="dxa"/>
              <w:left w:w="15" w:type="dxa"/>
              <w:bottom w:w="0" w:type="dxa"/>
              <w:right w:w="15" w:type="dxa"/>
            </w:tcMar>
          </w:tcPr>
          <w:p>
            <w:pPr>
              <w:jc w:val="center"/>
              <w:rPr>
                <w:rFonts w:hint="eastAsia" w:ascii="宋体" w:hAnsi="宋体" w:eastAsia="宋体" w:cs="宋体"/>
                <w:sz w:val="24"/>
              </w:rPr>
            </w:pPr>
          </w:p>
        </w:tc>
        <w:tc>
          <w:tcPr>
            <w:tcW w:w="708" w:type="dxa"/>
            <w:noWrap/>
            <w:tcMar>
              <w:top w:w="15" w:type="dxa"/>
              <w:left w:w="15" w:type="dxa"/>
              <w:bottom w:w="0" w:type="dxa"/>
              <w:right w:w="15" w:type="dxa"/>
            </w:tcMar>
            <w:vAlign w:val="center"/>
          </w:tcPr>
          <w:p>
            <w:pPr>
              <w:jc w:val="center"/>
              <w:rPr>
                <w:rFonts w:hint="eastAsia" w:ascii="宋体" w:hAnsi="宋体" w:eastAsia="宋体" w:cs="宋体"/>
                <w:sz w:val="24"/>
              </w:rPr>
            </w:pPr>
          </w:p>
        </w:tc>
        <w:tc>
          <w:tcPr>
            <w:tcW w:w="54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1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502" w:type="dxa"/>
            <w:noWrap/>
            <w:tcMar>
              <w:top w:w="15" w:type="dxa"/>
              <w:left w:w="15" w:type="dxa"/>
              <w:bottom w:w="0" w:type="dxa"/>
              <w:right w:w="15" w:type="dxa"/>
            </w:tcMar>
            <w:vAlign w:val="center"/>
          </w:tcPr>
          <w:p>
            <w:pPr>
              <w:jc w:val="center"/>
              <w:rPr>
                <w:rFonts w:hint="eastAsia" w:ascii="宋体" w:hAnsi="宋体" w:eastAsia="宋体" w:cs="宋体"/>
                <w:sz w:val="24"/>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noWrap/>
            <w:tcMar>
              <w:top w:w="15" w:type="dxa"/>
              <w:left w:w="15" w:type="dxa"/>
              <w:bottom w:w="0" w:type="dxa"/>
              <w:right w:w="15" w:type="dxa"/>
            </w:tcMar>
          </w:tcPr>
          <w:p>
            <w:pPr>
              <w:jc w:val="center"/>
              <w:rPr>
                <w:rFonts w:hint="eastAsia" w:ascii="宋体" w:hAnsi="宋体" w:eastAsia="宋体" w:cs="宋体"/>
                <w:sz w:val="24"/>
              </w:rPr>
            </w:pPr>
          </w:p>
        </w:tc>
        <w:tc>
          <w:tcPr>
            <w:tcW w:w="1462" w:type="dxa"/>
          </w:tcPr>
          <w:p>
            <w:pPr>
              <w:jc w:val="center"/>
              <w:rPr>
                <w:rFonts w:hint="eastAsia" w:ascii="宋体" w:hAnsi="宋体" w:eastAsia="宋体" w:cs="宋体"/>
                <w:sz w:val="24"/>
              </w:rPr>
            </w:pPr>
          </w:p>
        </w:tc>
        <w:tc>
          <w:tcPr>
            <w:tcW w:w="708" w:type="dxa"/>
            <w:vAlign w:val="center"/>
          </w:tcPr>
          <w:p>
            <w:pPr>
              <w:jc w:val="center"/>
              <w:rPr>
                <w:rFonts w:hint="eastAsia" w:ascii="宋体" w:hAnsi="宋体" w:eastAsia="宋体" w:cs="宋体"/>
                <w:sz w:val="24"/>
              </w:rPr>
            </w:pPr>
          </w:p>
        </w:tc>
        <w:tc>
          <w:tcPr>
            <w:tcW w:w="542" w:type="dxa"/>
            <w:vAlign w:val="center"/>
          </w:tcPr>
          <w:p>
            <w:pPr>
              <w:jc w:val="center"/>
              <w:rPr>
                <w:rFonts w:hint="eastAsia" w:ascii="宋体" w:hAnsi="宋体" w:eastAsia="宋体" w:cs="宋体"/>
                <w:sz w:val="18"/>
                <w:szCs w:val="18"/>
              </w:rPr>
            </w:pPr>
          </w:p>
        </w:tc>
        <w:tc>
          <w:tcPr>
            <w:tcW w:w="1015" w:type="dxa"/>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820" w:type="dxa"/>
            <w:vMerge w:val="restart"/>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50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noWrap/>
            <w:tcMar>
              <w:top w:w="15" w:type="dxa"/>
              <w:left w:w="15" w:type="dxa"/>
              <w:bottom w:w="0" w:type="dxa"/>
              <w:right w:w="15" w:type="dxa"/>
            </w:tcMar>
          </w:tcPr>
          <w:p>
            <w:pPr>
              <w:jc w:val="center"/>
              <w:rPr>
                <w:rFonts w:hint="eastAsia" w:ascii="宋体" w:hAnsi="宋体" w:eastAsia="宋体" w:cs="宋体"/>
                <w:sz w:val="24"/>
              </w:rPr>
            </w:pPr>
          </w:p>
        </w:tc>
        <w:tc>
          <w:tcPr>
            <w:tcW w:w="1462" w:type="dxa"/>
          </w:tcPr>
          <w:p>
            <w:pPr>
              <w:jc w:val="center"/>
              <w:rPr>
                <w:rFonts w:hint="eastAsia" w:ascii="宋体" w:hAnsi="宋体" w:eastAsia="宋体" w:cs="宋体"/>
                <w:sz w:val="24"/>
              </w:rPr>
            </w:pPr>
          </w:p>
        </w:tc>
        <w:tc>
          <w:tcPr>
            <w:tcW w:w="708" w:type="dxa"/>
            <w:vAlign w:val="center"/>
          </w:tcPr>
          <w:p>
            <w:pPr>
              <w:jc w:val="center"/>
              <w:rPr>
                <w:rFonts w:hint="eastAsia" w:ascii="宋体" w:hAnsi="宋体" w:eastAsia="宋体" w:cs="宋体"/>
                <w:sz w:val="18"/>
                <w:szCs w:val="18"/>
              </w:rPr>
            </w:pPr>
          </w:p>
        </w:tc>
        <w:tc>
          <w:tcPr>
            <w:tcW w:w="542" w:type="dxa"/>
            <w:vAlign w:val="center"/>
          </w:tcPr>
          <w:p>
            <w:pPr>
              <w:jc w:val="center"/>
              <w:rPr>
                <w:rFonts w:hint="eastAsia" w:ascii="宋体" w:hAnsi="宋体" w:eastAsia="宋体" w:cs="宋体"/>
                <w:sz w:val="18"/>
                <w:szCs w:val="18"/>
              </w:rPr>
            </w:pPr>
          </w:p>
        </w:tc>
        <w:tc>
          <w:tcPr>
            <w:tcW w:w="1015" w:type="dxa"/>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restart"/>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50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noWrap/>
            <w:tcMar>
              <w:top w:w="15" w:type="dxa"/>
              <w:left w:w="15" w:type="dxa"/>
              <w:bottom w:w="0" w:type="dxa"/>
              <w:right w:w="15" w:type="dxa"/>
            </w:tcMar>
          </w:tcPr>
          <w:p>
            <w:pPr>
              <w:jc w:val="center"/>
              <w:rPr>
                <w:rFonts w:hint="eastAsia" w:ascii="宋体" w:hAnsi="宋体" w:eastAsia="宋体" w:cs="宋体"/>
                <w:sz w:val="24"/>
              </w:rPr>
            </w:pPr>
          </w:p>
        </w:tc>
        <w:tc>
          <w:tcPr>
            <w:tcW w:w="1462" w:type="dxa"/>
          </w:tcPr>
          <w:p>
            <w:pPr>
              <w:jc w:val="center"/>
              <w:rPr>
                <w:rFonts w:hint="eastAsia" w:ascii="宋体" w:hAnsi="宋体" w:eastAsia="宋体" w:cs="宋体"/>
                <w:sz w:val="24"/>
              </w:rPr>
            </w:pPr>
          </w:p>
        </w:tc>
        <w:tc>
          <w:tcPr>
            <w:tcW w:w="708" w:type="dxa"/>
            <w:vAlign w:val="center"/>
          </w:tcPr>
          <w:p>
            <w:pPr>
              <w:jc w:val="center"/>
              <w:rPr>
                <w:rFonts w:hint="eastAsia" w:ascii="宋体" w:hAnsi="宋体" w:eastAsia="宋体" w:cs="宋体"/>
                <w:sz w:val="18"/>
                <w:szCs w:val="18"/>
              </w:rPr>
            </w:pPr>
          </w:p>
        </w:tc>
        <w:tc>
          <w:tcPr>
            <w:tcW w:w="542" w:type="dxa"/>
            <w:vAlign w:val="center"/>
          </w:tcPr>
          <w:p>
            <w:pPr>
              <w:jc w:val="center"/>
              <w:rPr>
                <w:rFonts w:hint="eastAsia" w:ascii="宋体" w:hAnsi="宋体" w:eastAsia="宋体" w:cs="宋体"/>
                <w:sz w:val="18"/>
                <w:szCs w:val="18"/>
              </w:rPr>
            </w:pPr>
          </w:p>
        </w:tc>
        <w:tc>
          <w:tcPr>
            <w:tcW w:w="1015" w:type="dxa"/>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50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noWrap/>
            <w:tcMar>
              <w:top w:w="15" w:type="dxa"/>
              <w:left w:w="15" w:type="dxa"/>
              <w:bottom w:w="0" w:type="dxa"/>
              <w:right w:w="15" w:type="dxa"/>
            </w:tcMar>
          </w:tcPr>
          <w:p>
            <w:pPr>
              <w:jc w:val="center"/>
              <w:rPr>
                <w:rFonts w:hint="eastAsia" w:ascii="宋体" w:hAnsi="宋体" w:eastAsia="宋体" w:cs="宋体"/>
                <w:sz w:val="24"/>
              </w:rPr>
            </w:pPr>
          </w:p>
        </w:tc>
        <w:tc>
          <w:tcPr>
            <w:tcW w:w="1462" w:type="dxa"/>
          </w:tcPr>
          <w:p>
            <w:pPr>
              <w:jc w:val="center"/>
              <w:rPr>
                <w:rFonts w:hint="eastAsia" w:ascii="宋体" w:hAnsi="宋体" w:eastAsia="宋体" w:cs="宋体"/>
                <w:sz w:val="24"/>
              </w:rPr>
            </w:pPr>
          </w:p>
        </w:tc>
        <w:tc>
          <w:tcPr>
            <w:tcW w:w="708" w:type="dxa"/>
            <w:vAlign w:val="center"/>
          </w:tcPr>
          <w:p>
            <w:pPr>
              <w:jc w:val="center"/>
              <w:rPr>
                <w:rFonts w:hint="eastAsia" w:ascii="宋体" w:hAnsi="宋体" w:eastAsia="宋体" w:cs="宋体"/>
                <w:sz w:val="18"/>
                <w:szCs w:val="18"/>
              </w:rPr>
            </w:pPr>
          </w:p>
        </w:tc>
        <w:tc>
          <w:tcPr>
            <w:tcW w:w="542" w:type="dxa"/>
            <w:vAlign w:val="center"/>
          </w:tcPr>
          <w:p>
            <w:pPr>
              <w:jc w:val="center"/>
              <w:rPr>
                <w:rFonts w:hint="eastAsia" w:ascii="宋体" w:hAnsi="宋体" w:eastAsia="宋体" w:cs="宋体"/>
                <w:sz w:val="18"/>
                <w:szCs w:val="18"/>
              </w:rPr>
            </w:pPr>
          </w:p>
        </w:tc>
        <w:tc>
          <w:tcPr>
            <w:tcW w:w="1015" w:type="dxa"/>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502" w:type="dxa"/>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noWrap/>
            <w:tcMar>
              <w:top w:w="15" w:type="dxa"/>
              <w:left w:w="15" w:type="dxa"/>
              <w:bottom w:w="0" w:type="dxa"/>
              <w:right w:w="15" w:type="dxa"/>
            </w:tcMar>
          </w:tcPr>
          <w:p>
            <w:pPr>
              <w:jc w:val="center"/>
              <w:rPr>
                <w:rFonts w:hint="eastAsia" w:ascii="宋体" w:hAnsi="宋体" w:eastAsia="宋体" w:cs="宋体"/>
                <w:sz w:val="24"/>
              </w:rPr>
            </w:pPr>
          </w:p>
        </w:tc>
        <w:tc>
          <w:tcPr>
            <w:tcW w:w="1462" w:type="dxa"/>
          </w:tcPr>
          <w:p>
            <w:pPr>
              <w:jc w:val="center"/>
              <w:rPr>
                <w:rFonts w:hint="eastAsia" w:ascii="宋体" w:hAnsi="宋体" w:eastAsia="宋体" w:cs="宋体"/>
                <w:sz w:val="24"/>
              </w:rPr>
            </w:pPr>
          </w:p>
        </w:tc>
        <w:tc>
          <w:tcPr>
            <w:tcW w:w="708" w:type="dxa"/>
            <w:vAlign w:val="center"/>
          </w:tcPr>
          <w:p>
            <w:pPr>
              <w:jc w:val="center"/>
              <w:rPr>
                <w:rFonts w:hint="eastAsia" w:ascii="宋体" w:hAnsi="宋体" w:eastAsia="宋体" w:cs="宋体"/>
                <w:sz w:val="18"/>
                <w:szCs w:val="18"/>
              </w:rPr>
            </w:pPr>
          </w:p>
        </w:tc>
        <w:tc>
          <w:tcPr>
            <w:tcW w:w="542" w:type="dxa"/>
            <w:vAlign w:val="center"/>
          </w:tcPr>
          <w:p>
            <w:pPr>
              <w:jc w:val="center"/>
              <w:rPr>
                <w:rFonts w:hint="eastAsia" w:ascii="宋体" w:hAnsi="宋体" w:eastAsia="宋体" w:cs="宋体"/>
                <w:sz w:val="18"/>
                <w:szCs w:val="18"/>
              </w:rPr>
            </w:pPr>
          </w:p>
        </w:tc>
        <w:tc>
          <w:tcPr>
            <w:tcW w:w="1015" w:type="dxa"/>
            <w:vAlign w:val="bottom"/>
          </w:tcPr>
          <w:p>
            <w:pPr>
              <w:jc w:val="center"/>
              <w:rPr>
                <w:rFonts w:hint="eastAsia" w:ascii="宋体" w:hAnsi="宋体" w:eastAsia="宋体" w:cs="宋体"/>
                <w:sz w:val="24"/>
              </w:rPr>
            </w:pPr>
          </w:p>
        </w:tc>
        <w:tc>
          <w:tcPr>
            <w:tcW w:w="787" w:type="dxa"/>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820" w:type="dxa"/>
            <w:vMerge w:val="restart"/>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restart"/>
            <w:tcBorders>
              <w:top w:val="single" w:color="auto" w:sz="4" w:space="0"/>
            </w:tcBorders>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820" w:type="dxa"/>
            <w:vMerge w:val="restart"/>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restart"/>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20" w:type="dxa"/>
            <w:vMerge w:val="continue"/>
            <w:noWrap/>
            <w:tcMar>
              <w:top w:w="15" w:type="dxa"/>
              <w:left w:w="15" w:type="dxa"/>
              <w:bottom w:w="0" w:type="dxa"/>
              <w:right w:w="15" w:type="dxa"/>
            </w:tcMar>
            <w:vAlign w:val="center"/>
          </w:tcPr>
          <w:p>
            <w:pPr>
              <w:jc w:val="center"/>
              <w:rPr>
                <w:rFonts w:hint="eastAsia" w:ascii="宋体" w:hAnsi="宋体" w:eastAsia="宋体" w:cs="宋体"/>
                <w:sz w:val="24"/>
              </w:rPr>
            </w:pPr>
          </w:p>
        </w:tc>
        <w:tc>
          <w:tcPr>
            <w:tcW w:w="740" w:type="dxa"/>
            <w:tcBorders>
              <w:top w:val="single" w:color="auto" w:sz="4" w:space="0"/>
              <w:bottom w:val="single" w:color="auto" w:sz="4" w:space="0"/>
            </w:tcBorders>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502" w:type="dxa"/>
            <w:tcBorders>
              <w:top w:val="single" w:color="auto" w:sz="4" w:space="0"/>
              <w:bottom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18"/>
                <w:szCs w:val="18"/>
              </w:rPr>
            </w:pPr>
          </w:p>
        </w:tc>
        <w:tc>
          <w:tcPr>
            <w:tcW w:w="1005" w:type="dxa"/>
            <w:tcBorders>
              <w:top w:val="single" w:color="auto" w:sz="4" w:space="0"/>
              <w:bottom w:val="single" w:color="auto" w:sz="4" w:space="0"/>
            </w:tcBorders>
            <w:noWrap/>
            <w:tcMar>
              <w:top w:w="15" w:type="dxa"/>
              <w:left w:w="15" w:type="dxa"/>
              <w:bottom w:w="0" w:type="dxa"/>
              <w:right w:w="15" w:type="dxa"/>
            </w:tcMar>
            <w:vAlign w:val="bottom"/>
          </w:tcPr>
          <w:p>
            <w:pPr>
              <w:jc w:val="center"/>
              <w:rPr>
                <w:rFonts w:hint="eastAsia" w:ascii="宋体" w:hAnsi="宋体" w:eastAsia="宋体" w:cs="宋体"/>
                <w:sz w:val="24"/>
              </w:rPr>
            </w:pPr>
          </w:p>
        </w:tc>
        <w:tc>
          <w:tcPr>
            <w:tcW w:w="1140" w:type="dxa"/>
            <w:tcBorders>
              <w:top w:val="single" w:color="auto" w:sz="4" w:space="0"/>
              <w:bottom w:val="single" w:color="auto" w:sz="4" w:space="0"/>
            </w:tcBorders>
            <w:noWrap/>
            <w:tcMar>
              <w:top w:w="15" w:type="dxa"/>
              <w:left w:w="15" w:type="dxa"/>
              <w:bottom w:w="0" w:type="dxa"/>
              <w:right w:w="15" w:type="dxa"/>
            </w:tcMar>
          </w:tcPr>
          <w:p>
            <w:pPr>
              <w:jc w:val="center"/>
              <w:rPr>
                <w:rFonts w:hint="eastAsia" w:ascii="宋体" w:hAnsi="宋体" w:eastAsia="宋体" w:cs="宋体"/>
                <w:sz w:val="24"/>
              </w:rPr>
            </w:pPr>
          </w:p>
        </w:tc>
        <w:tc>
          <w:tcPr>
            <w:tcW w:w="1462" w:type="dxa"/>
            <w:tcBorders>
              <w:top w:val="single" w:color="auto" w:sz="4" w:space="0"/>
              <w:bottom w:val="single" w:color="auto" w:sz="4" w:space="0"/>
            </w:tcBorders>
          </w:tcPr>
          <w:p>
            <w:pPr>
              <w:jc w:val="center"/>
              <w:rPr>
                <w:rFonts w:hint="eastAsia" w:ascii="宋体" w:hAnsi="宋体" w:eastAsia="宋体" w:cs="宋体"/>
                <w:sz w:val="24"/>
              </w:rPr>
            </w:pPr>
          </w:p>
        </w:tc>
        <w:tc>
          <w:tcPr>
            <w:tcW w:w="708"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542" w:type="dxa"/>
            <w:tcBorders>
              <w:top w:val="single" w:color="auto" w:sz="4" w:space="0"/>
              <w:bottom w:val="single" w:color="auto" w:sz="4" w:space="0"/>
            </w:tcBorders>
            <w:vAlign w:val="center"/>
          </w:tcPr>
          <w:p>
            <w:pPr>
              <w:jc w:val="center"/>
              <w:rPr>
                <w:rFonts w:hint="eastAsia" w:ascii="宋体" w:hAnsi="宋体" w:eastAsia="宋体" w:cs="宋体"/>
                <w:sz w:val="18"/>
                <w:szCs w:val="18"/>
              </w:rPr>
            </w:pPr>
          </w:p>
        </w:tc>
        <w:tc>
          <w:tcPr>
            <w:tcW w:w="1015"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787" w:type="dxa"/>
            <w:tcBorders>
              <w:top w:val="single" w:color="auto" w:sz="4" w:space="0"/>
              <w:bottom w:val="single" w:color="auto" w:sz="4" w:space="0"/>
            </w:tcBorders>
            <w:vAlign w:val="bottom"/>
          </w:tcPr>
          <w:p>
            <w:pPr>
              <w:jc w:val="center"/>
              <w:rPr>
                <w:rFonts w:hint="eastAsia" w:ascii="宋体" w:hAnsi="宋体" w:eastAsia="宋体" w:cs="宋体"/>
                <w:sz w:val="24"/>
              </w:rPr>
            </w:pPr>
          </w:p>
        </w:tc>
        <w:tc>
          <w:tcPr>
            <w:tcW w:w="1134" w:type="dxa"/>
            <w:vMerge w:val="continue"/>
            <w:vAlign w:val="bottom"/>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669" w:type="dxa"/>
            <w:gridSpan w:val="6"/>
            <w:noWrap/>
            <w:tcMar>
              <w:top w:w="15" w:type="dxa"/>
              <w:left w:w="15" w:type="dxa"/>
              <w:bottom w:w="0" w:type="dxa"/>
              <w:right w:w="15" w:type="dxa"/>
            </w:tcMar>
            <w:vAlign w:val="center"/>
          </w:tcPr>
          <w:p>
            <w:pPr>
              <w:jc w:val="center"/>
              <w:rPr>
                <w:rFonts w:hint="eastAsia" w:ascii="宋体" w:hAnsi="宋体" w:eastAsia="宋体" w:cs="宋体"/>
                <w:sz w:val="24"/>
              </w:rPr>
            </w:pPr>
            <w:r>
              <w:rPr>
                <w:rFonts w:hint="eastAsia" w:ascii="宋体" w:hAnsi="宋体" w:eastAsia="宋体" w:cs="宋体"/>
                <w:sz w:val="24"/>
              </w:rPr>
              <w:t>总价合计（即《开标一览表》中的“总价”）</w:t>
            </w:r>
          </w:p>
        </w:tc>
        <w:tc>
          <w:tcPr>
            <w:tcW w:w="4186" w:type="dxa"/>
            <w:gridSpan w:val="5"/>
            <w:tcBorders>
              <w:top w:val="single" w:color="auto" w:sz="4" w:space="0"/>
            </w:tcBorders>
            <w:vAlign w:val="bottom"/>
          </w:tcPr>
          <w:p>
            <w:pPr>
              <w:jc w:val="center"/>
              <w:rPr>
                <w:rFonts w:hint="eastAsia" w:ascii="宋体" w:hAnsi="宋体" w:eastAsia="宋体" w:cs="宋体"/>
                <w:sz w:val="24"/>
              </w:rPr>
            </w:pPr>
          </w:p>
        </w:tc>
      </w:tr>
    </w:tbl>
    <w:p>
      <w:pPr>
        <w:spacing w:line="300" w:lineRule="auto"/>
        <w:ind w:firstLine="3120" w:firstLineChars="1300"/>
        <w:rPr>
          <w:rFonts w:hint="eastAsia" w:ascii="宋体" w:hAnsi="宋体" w:eastAsia="宋体" w:cs="宋体"/>
          <w:sz w:val="24"/>
        </w:rPr>
      </w:pPr>
    </w:p>
    <w:p>
      <w:pPr>
        <w:spacing w:line="360" w:lineRule="auto"/>
        <w:ind w:firstLine="3120" w:firstLineChars="1300"/>
        <w:rPr>
          <w:rFonts w:hint="eastAsia" w:ascii="宋体" w:hAnsi="宋体" w:eastAsia="宋体" w:cs="宋体"/>
          <w:sz w:val="24"/>
        </w:rPr>
      </w:pPr>
      <w:r>
        <w:rPr>
          <w:rFonts w:hint="eastAsia" w:ascii="宋体" w:hAnsi="宋体" w:eastAsia="宋体" w:cs="宋体"/>
          <w:sz w:val="24"/>
        </w:rPr>
        <w:t>投标人：（电子签章）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表中“产品制造企业的划分”以《政府采购促进中小企业发展管理办法》（财库[2020]046号）和《工业和信息化部、国家统计局、国家发展和改革委员会、财政部关于印发中小企业划型标准规定的通知》（工信部联企业[2011]300号）的规定为准。</w:t>
      </w:r>
    </w:p>
    <w:p>
      <w:pPr>
        <w:spacing w:line="360" w:lineRule="auto"/>
        <w:ind w:firstLine="120" w:firstLineChars="50"/>
        <w:rPr>
          <w:rFonts w:hint="eastAsia" w:ascii="宋体" w:hAnsi="宋体" w:eastAsia="宋体" w:cs="宋体"/>
          <w:sz w:val="24"/>
        </w:rPr>
      </w:pPr>
      <w:r>
        <w:rPr>
          <w:rFonts w:hint="eastAsia" w:ascii="宋体" w:hAnsi="宋体" w:eastAsia="宋体" w:cs="宋体"/>
          <w:sz w:val="24"/>
        </w:rPr>
        <w:t xml:space="preserve">   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pPr>
        <w:widowControl/>
        <w:adjustRightInd w:val="0"/>
        <w:snapToGrid w:val="0"/>
        <w:spacing w:line="360" w:lineRule="auto"/>
        <w:outlineLvl w:val="2"/>
        <w:rPr>
          <w:rFonts w:hint="eastAsia" w:ascii="宋体" w:hAnsi="宋体" w:eastAsia="宋体" w:cs="宋体"/>
          <w:sz w:val="24"/>
        </w:rPr>
      </w:pPr>
      <w:r>
        <w:rPr>
          <w:rFonts w:hint="eastAsia" w:ascii="宋体" w:hAnsi="宋体" w:eastAsia="宋体" w:cs="宋体"/>
          <w:sz w:val="24"/>
        </w:rPr>
        <w:t>　　3. 享受政府采购支持政策的残疾人福利性单位的条件以《三部门联合发布关于促进残疾人就业政府采购政策的通知》（财库〔2017〕141号）规定为准。　</w:t>
      </w:r>
    </w:p>
    <w:p>
      <w:pPr>
        <w:widowControl/>
        <w:adjustRightInd w:val="0"/>
        <w:snapToGrid w:val="0"/>
        <w:spacing w:line="360" w:lineRule="auto"/>
        <w:outlineLvl w:val="2"/>
        <w:rPr>
          <w:rFonts w:hint="eastAsia" w:ascii="宋体" w:hAnsi="宋体" w:eastAsia="宋体" w:cs="宋体"/>
          <w:sz w:val="24"/>
        </w:rPr>
      </w:pPr>
      <w:r>
        <w:rPr>
          <w:rFonts w:hint="eastAsia" w:ascii="宋体" w:hAnsi="宋体" w:eastAsia="宋体" w:cs="宋体"/>
          <w:sz w:val="24"/>
        </w:rPr>
        <w:t>注：1．如果不提供详细分项报价将视为没有实质性响应招标文件。</w:t>
      </w:r>
    </w:p>
    <w:p>
      <w:pPr>
        <w:pStyle w:val="241"/>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投标人对以上数据的真实性负责。</w:t>
      </w:r>
    </w:p>
    <w:p>
      <w:pPr>
        <w:spacing w:line="360" w:lineRule="auto"/>
        <w:ind w:firstLine="480" w:firstLineChars="200"/>
        <w:rPr>
          <w:rFonts w:hint="eastAsia" w:ascii="宋体" w:hAnsi="宋体" w:eastAsia="宋体" w:cs="宋体"/>
          <w:color w:val="FF0000"/>
          <w:sz w:val="24"/>
        </w:rPr>
      </w:pPr>
      <w:r>
        <w:rPr>
          <w:rFonts w:hint="eastAsia" w:ascii="宋体" w:hAnsi="宋体" w:cs="宋体"/>
          <w:color w:val="FF0000"/>
          <w:sz w:val="24"/>
          <w:lang w:val="en-US" w:eastAsia="zh-CN"/>
        </w:rPr>
        <w:t>江苏润轩项目管理有限公司</w:t>
      </w:r>
      <w:r>
        <w:rPr>
          <w:rFonts w:hint="eastAsia" w:ascii="宋体" w:hAnsi="宋体" w:eastAsia="宋体" w:cs="宋体"/>
          <w:color w:val="FF0000"/>
          <w:sz w:val="24"/>
        </w:rPr>
        <w:t>有权将以上内容进行公示。</w:t>
      </w:r>
    </w:p>
    <w:p>
      <w:pPr>
        <w:widowControl/>
        <w:spacing w:line="360" w:lineRule="auto"/>
        <w:ind w:firstLine="480" w:firstLineChars="200"/>
        <w:rPr>
          <w:rFonts w:hint="eastAsia" w:ascii="宋体" w:hAnsi="宋体" w:eastAsia="宋体" w:cs="宋体"/>
          <w:i/>
          <w:sz w:val="24"/>
          <w:u w:val="single"/>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4．偏离表</w:t>
      </w:r>
    </w:p>
    <w:p>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睢宁县2022年学校教室照明改造提升项目</w:t>
      </w:r>
    </w:p>
    <w:p>
      <w:pPr>
        <w:spacing w:line="360" w:lineRule="auto"/>
        <w:rPr>
          <w:rFonts w:hint="eastAsia" w:ascii="宋体" w:hAnsi="宋体" w:eastAsia="宋体" w:cs="宋体"/>
          <w:sz w:val="24"/>
          <w:u w:val="single"/>
          <w:lang w:eastAsia="zh-CN"/>
        </w:rPr>
      </w:pPr>
      <w:r>
        <w:rPr>
          <w:rFonts w:hint="eastAsia" w:ascii="宋体" w:hAnsi="宋体" w:eastAsia="宋体" w:cs="宋体"/>
          <w:sz w:val="24"/>
        </w:rPr>
        <w:t>项目编号：</w:t>
      </w:r>
      <w:r>
        <w:rPr>
          <w:rFonts w:hint="eastAsia" w:ascii="宋体" w:hAnsi="宋体" w:cs="宋体"/>
          <w:sz w:val="24"/>
          <w:u w:val="single"/>
          <w:lang w:eastAsia="zh-CN"/>
        </w:rPr>
        <w:t>JSZC-320324-RXGL-G2022-0008</w:t>
      </w:r>
    </w:p>
    <w:p>
      <w:pPr>
        <w:rPr>
          <w:rFonts w:hint="eastAsia" w:ascii="宋体" w:hAnsi="宋体" w:eastAsia="宋体" w:cs="宋体"/>
          <w:sz w:val="24"/>
          <w:u w:val="single"/>
        </w:rPr>
      </w:pPr>
    </w:p>
    <w:tbl>
      <w:tblPr>
        <w:tblStyle w:val="42"/>
        <w:tblW w:w="10097"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604"/>
        <w:gridCol w:w="1920"/>
        <w:gridCol w:w="1669"/>
        <w:gridCol w:w="1832"/>
        <w:gridCol w:w="1425"/>
        <w:gridCol w:w="2647"/>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vAlign w:val="center"/>
          </w:tcPr>
          <w:p>
            <w:pPr>
              <w:jc w:val="center"/>
              <w:rPr>
                <w:rFonts w:hint="eastAsia" w:ascii="宋体" w:hAnsi="宋体" w:eastAsia="宋体" w:cs="宋体"/>
                <w:caps/>
                <w:sz w:val="24"/>
              </w:rPr>
            </w:pPr>
            <w:r>
              <w:rPr>
                <w:rFonts w:hint="eastAsia" w:ascii="宋体" w:hAnsi="宋体" w:eastAsia="宋体" w:cs="宋体"/>
                <w:caps/>
                <w:sz w:val="24"/>
              </w:rPr>
              <w:t>序号</w:t>
            </w:r>
          </w:p>
        </w:tc>
        <w:tc>
          <w:tcPr>
            <w:tcW w:w="192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sz w:val="24"/>
              </w:rPr>
            </w:pPr>
            <w:r>
              <w:rPr>
                <w:rFonts w:hint="eastAsia" w:ascii="宋体" w:hAnsi="宋体" w:eastAsia="宋体" w:cs="宋体"/>
                <w:caps/>
                <w:sz w:val="24"/>
              </w:rPr>
              <w:t>偏离内容</w:t>
            </w:r>
          </w:p>
        </w:tc>
        <w:tc>
          <w:tcPr>
            <w:tcW w:w="166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sz w:val="24"/>
              </w:rPr>
            </w:pPr>
            <w:r>
              <w:rPr>
                <w:rFonts w:hint="eastAsia" w:ascii="宋体" w:hAnsi="宋体" w:eastAsia="宋体" w:cs="宋体"/>
                <w:sz w:val="24"/>
              </w:rPr>
              <w:t>招标文件的要求</w:t>
            </w: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sz w:val="24"/>
              </w:rPr>
            </w:pPr>
            <w:r>
              <w:rPr>
                <w:rFonts w:hint="eastAsia" w:ascii="宋体" w:hAnsi="宋体" w:eastAsia="宋体" w:cs="宋体"/>
                <w:sz w:val="24"/>
              </w:rPr>
              <w:t>投标文件中的内容</w:t>
            </w:r>
          </w:p>
        </w:tc>
        <w:tc>
          <w:tcPr>
            <w:tcW w:w="142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sz w:val="24"/>
              </w:rPr>
            </w:pPr>
            <w:r>
              <w:rPr>
                <w:rFonts w:hint="eastAsia" w:ascii="宋体" w:hAnsi="宋体" w:eastAsia="宋体" w:cs="宋体"/>
                <w:caps/>
                <w:sz w:val="24"/>
              </w:rPr>
              <w:t>（正/负/无）偏离</w:t>
            </w:r>
          </w:p>
        </w:tc>
        <w:tc>
          <w:tcPr>
            <w:tcW w:w="2647" w:type="dxa"/>
            <w:tcBorders>
              <w:top w:val="single" w:color="000000" w:sz="6" w:space="0"/>
              <w:left w:val="single" w:color="000000" w:sz="6" w:space="0"/>
              <w:bottom w:val="single" w:color="000000" w:sz="6" w:space="0"/>
              <w:right w:val="double" w:color="000000" w:sz="6" w:space="0"/>
            </w:tcBorders>
            <w:vAlign w:val="center"/>
          </w:tcPr>
          <w:p>
            <w:pPr>
              <w:jc w:val="center"/>
              <w:rPr>
                <w:rFonts w:hint="eastAsia" w:ascii="宋体" w:hAnsi="宋体" w:eastAsia="宋体" w:cs="宋体"/>
                <w:caps/>
                <w:sz w:val="24"/>
              </w:rPr>
            </w:pPr>
            <w:r>
              <w:rPr>
                <w:rFonts w:hint="eastAsia" w:ascii="宋体" w:hAnsi="宋体" w:eastAsia="宋体" w:cs="宋体"/>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04"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04" w:type="dxa"/>
            <w:tcBorders>
              <w:top w:val="single" w:color="000000" w:sz="6" w:space="0"/>
              <w:left w:val="double" w:color="000000" w:sz="6" w:space="0"/>
              <w:bottom w:val="double" w:color="000000" w:sz="6" w:space="0"/>
              <w:right w:val="single" w:color="000000" w:sz="6" w:space="0"/>
            </w:tcBorders>
          </w:tcPr>
          <w:p>
            <w:pPr>
              <w:rPr>
                <w:rFonts w:hint="eastAsia" w:ascii="宋体" w:hAnsi="宋体" w:eastAsia="宋体" w:cs="宋体"/>
                <w:sz w:val="24"/>
              </w:rPr>
            </w:pPr>
          </w:p>
        </w:tc>
        <w:tc>
          <w:tcPr>
            <w:tcW w:w="1920" w:type="dxa"/>
            <w:tcBorders>
              <w:top w:val="single" w:color="000000" w:sz="6" w:space="0"/>
              <w:left w:val="single" w:color="000000" w:sz="6" w:space="0"/>
              <w:bottom w:val="double" w:color="000000" w:sz="6" w:space="0"/>
              <w:right w:val="single" w:color="000000" w:sz="6" w:space="0"/>
            </w:tcBorders>
          </w:tcPr>
          <w:p>
            <w:pPr>
              <w:rPr>
                <w:rFonts w:hint="eastAsia" w:ascii="宋体" w:hAnsi="宋体" w:eastAsia="宋体" w:cs="宋体"/>
                <w:sz w:val="24"/>
              </w:rPr>
            </w:pPr>
          </w:p>
        </w:tc>
        <w:tc>
          <w:tcPr>
            <w:tcW w:w="1669" w:type="dxa"/>
            <w:tcBorders>
              <w:top w:val="single" w:color="000000" w:sz="6" w:space="0"/>
              <w:left w:val="single" w:color="000000" w:sz="6" w:space="0"/>
              <w:bottom w:val="double" w:color="000000" w:sz="6" w:space="0"/>
              <w:right w:val="single" w:color="000000" w:sz="6" w:space="0"/>
            </w:tcBorders>
          </w:tcPr>
          <w:p>
            <w:pPr>
              <w:rPr>
                <w:rFonts w:hint="eastAsia" w:ascii="宋体" w:hAnsi="宋体" w:eastAsia="宋体" w:cs="宋体"/>
                <w:sz w:val="24"/>
              </w:rPr>
            </w:pPr>
          </w:p>
        </w:tc>
        <w:tc>
          <w:tcPr>
            <w:tcW w:w="1832" w:type="dxa"/>
            <w:tcBorders>
              <w:top w:val="single" w:color="000000" w:sz="6" w:space="0"/>
              <w:left w:val="single" w:color="000000" w:sz="6" w:space="0"/>
              <w:bottom w:val="double" w:color="000000" w:sz="6" w:space="0"/>
              <w:right w:val="single" w:color="000000" w:sz="6" w:space="0"/>
            </w:tcBorders>
          </w:tcPr>
          <w:p>
            <w:pPr>
              <w:rPr>
                <w:rFonts w:hint="eastAsia" w:ascii="宋体" w:hAnsi="宋体" w:eastAsia="宋体" w:cs="宋体"/>
                <w:sz w:val="24"/>
              </w:rPr>
            </w:pPr>
          </w:p>
        </w:tc>
        <w:tc>
          <w:tcPr>
            <w:tcW w:w="1425" w:type="dxa"/>
            <w:tcBorders>
              <w:top w:val="single" w:color="000000" w:sz="6" w:space="0"/>
              <w:left w:val="single" w:color="000000" w:sz="6" w:space="0"/>
              <w:bottom w:val="double" w:color="000000" w:sz="6" w:space="0"/>
              <w:right w:val="single" w:color="000000" w:sz="6" w:space="0"/>
            </w:tcBorders>
          </w:tcPr>
          <w:p>
            <w:pPr>
              <w:rPr>
                <w:rFonts w:hint="eastAsia" w:ascii="宋体" w:hAnsi="宋体" w:eastAsia="宋体" w:cs="宋体"/>
                <w:sz w:val="24"/>
              </w:rPr>
            </w:pPr>
          </w:p>
        </w:tc>
        <w:tc>
          <w:tcPr>
            <w:tcW w:w="2647" w:type="dxa"/>
            <w:tcBorders>
              <w:top w:val="single" w:color="000000" w:sz="6" w:space="0"/>
              <w:left w:val="single" w:color="000000" w:sz="6" w:space="0"/>
              <w:bottom w:val="double" w:color="000000" w:sz="6" w:space="0"/>
              <w:right w:val="double" w:color="000000" w:sz="6" w:space="0"/>
            </w:tcBorders>
          </w:tcPr>
          <w:p>
            <w:pPr>
              <w:rPr>
                <w:rFonts w:hint="eastAsia" w:ascii="宋体" w:hAnsi="宋体" w:eastAsia="宋体" w:cs="宋体"/>
                <w:sz w:val="24"/>
              </w:rPr>
            </w:pPr>
          </w:p>
        </w:tc>
      </w:tr>
    </w:tbl>
    <w:p>
      <w:pPr>
        <w:rPr>
          <w:rFonts w:hint="eastAsia" w:ascii="宋体" w:hAnsi="宋体" w:eastAsia="宋体" w:cs="宋体"/>
          <w:sz w:val="24"/>
          <w:u w:val="single"/>
        </w:rPr>
      </w:pPr>
    </w:p>
    <w:p>
      <w:pPr>
        <w:spacing w:line="360" w:lineRule="auto"/>
        <w:rPr>
          <w:rFonts w:hint="eastAsia" w:ascii="宋体" w:hAnsi="宋体" w:eastAsia="宋体" w:cs="宋体"/>
          <w:sz w:val="24"/>
          <w:u w:val="single"/>
        </w:rPr>
      </w:pPr>
      <w:r>
        <w:rPr>
          <w:rFonts w:hint="eastAsia" w:ascii="宋体" w:hAnsi="宋体" w:eastAsia="宋体" w:cs="宋体"/>
          <w:sz w:val="24"/>
          <w:u w:val="single"/>
        </w:rPr>
        <w:t>注：投标人的投标文件中的内容与招标文件（含招标文件的澄清或者修改的内容，下同）的要求不同时，逐条列在偏离表中，否则将认为投标人接受招标文件的要求。</w:t>
      </w:r>
    </w:p>
    <w:p>
      <w:pPr>
        <w:rPr>
          <w:rFonts w:hint="eastAsia" w:ascii="宋体" w:hAnsi="宋体" w:eastAsia="宋体" w:cs="宋体"/>
          <w:sz w:val="24"/>
          <w:u w:val="single"/>
        </w:rPr>
      </w:pPr>
    </w:p>
    <w:p>
      <w:pPr>
        <w:rPr>
          <w:rFonts w:hint="eastAsia" w:ascii="宋体" w:hAnsi="宋体" w:eastAsia="宋体" w:cs="宋体"/>
          <w:sz w:val="24"/>
        </w:rPr>
      </w:pPr>
    </w:p>
    <w:p>
      <w:pPr>
        <w:rPr>
          <w:rFonts w:hint="eastAsia" w:ascii="宋体" w:hAnsi="宋体" w:eastAsia="宋体" w:cs="宋体"/>
          <w:sz w:val="24"/>
        </w:rPr>
      </w:pPr>
    </w:p>
    <w:p>
      <w:pPr>
        <w:spacing w:line="360" w:lineRule="auto"/>
        <w:ind w:firstLine="3120" w:firstLineChars="1300"/>
        <w:rPr>
          <w:rFonts w:hint="eastAsia" w:ascii="宋体" w:hAnsi="宋体" w:eastAsia="宋体" w:cs="宋体"/>
          <w:sz w:val="24"/>
        </w:rPr>
      </w:pPr>
      <w:r>
        <w:rPr>
          <w:rFonts w:hint="eastAsia" w:ascii="宋体" w:hAnsi="宋体" w:eastAsia="宋体" w:cs="宋体"/>
          <w:sz w:val="24"/>
        </w:rPr>
        <w:t xml:space="preserve">投标人：（电子签章）  </w:t>
      </w:r>
    </w:p>
    <w:p>
      <w:pPr>
        <w:spacing w:line="360" w:lineRule="auto"/>
        <w:ind w:firstLine="3120" w:firstLineChars="13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480" w:lineRule="auto"/>
        <w:jc w:val="center"/>
        <w:rPr>
          <w:rFonts w:hint="eastAsia" w:ascii="宋体" w:hAnsi="宋体" w:eastAsia="宋体" w:cs="宋体"/>
          <w:sz w:val="28"/>
          <w:szCs w:val="28"/>
        </w:rPr>
      </w:pPr>
      <w:r>
        <w:rPr>
          <w:rFonts w:hint="eastAsia" w:ascii="宋体" w:hAnsi="宋体" w:eastAsia="宋体" w:cs="宋体"/>
          <w:bCs/>
          <w:sz w:val="28"/>
          <w:szCs w:val="28"/>
        </w:rPr>
        <w:br w:type="page"/>
      </w:r>
      <w:r>
        <w:rPr>
          <w:rFonts w:hint="eastAsia" w:ascii="宋体" w:hAnsi="宋体" w:eastAsia="宋体" w:cs="宋体"/>
          <w:bCs/>
          <w:sz w:val="28"/>
          <w:szCs w:val="28"/>
        </w:rPr>
        <w:t>5. 法定代表人授权书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委托人：</w:t>
      </w:r>
    </w:p>
    <w:p>
      <w:pPr>
        <w:spacing w:line="360" w:lineRule="auto"/>
        <w:rPr>
          <w:rFonts w:hint="eastAsia" w:ascii="宋体" w:hAnsi="宋体" w:eastAsia="宋体" w:cs="宋体"/>
          <w:sz w:val="24"/>
          <w:szCs w:val="24"/>
        </w:rPr>
      </w:pPr>
      <w:r>
        <w:rPr>
          <w:rFonts w:hint="eastAsia" w:ascii="宋体" w:hAnsi="宋体" w:eastAsia="宋体" w:cs="宋体"/>
          <w:sz w:val="24"/>
          <w:szCs w:val="24"/>
        </w:rPr>
        <w:t>地  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法定代表人（负责人）：               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受托人：                   性别：男（女）  </w:t>
      </w:r>
    </w:p>
    <w:p>
      <w:pPr>
        <w:spacing w:line="360" w:lineRule="auto"/>
        <w:rPr>
          <w:rFonts w:hint="eastAsia" w:ascii="宋体" w:hAnsi="宋体" w:eastAsia="宋体" w:cs="宋体"/>
          <w:sz w:val="24"/>
          <w:szCs w:val="24"/>
        </w:rPr>
      </w:pPr>
      <w:r>
        <w:rPr>
          <w:rFonts w:hint="eastAsia" w:ascii="宋体" w:hAnsi="宋体" w:eastAsia="宋体" w:cs="宋体"/>
          <w:sz w:val="24"/>
          <w:szCs w:val="24"/>
        </w:rPr>
        <w:t>年龄：  岁                 民族：   族</w:t>
      </w:r>
    </w:p>
    <w:p>
      <w:pPr>
        <w:spacing w:line="360" w:lineRule="auto"/>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身份证号：</w:t>
      </w:r>
    </w:p>
    <w:p>
      <w:pPr>
        <w:spacing w:line="360" w:lineRule="auto"/>
        <w:ind w:firstLine="708" w:firstLineChars="295"/>
        <w:rPr>
          <w:rFonts w:hint="eastAsia" w:ascii="宋体" w:hAnsi="宋体" w:eastAsia="宋体" w:cs="宋体"/>
          <w:sz w:val="24"/>
          <w:szCs w:val="24"/>
        </w:rPr>
      </w:pPr>
    </w:p>
    <w:p>
      <w:pPr>
        <w:spacing w:line="360" w:lineRule="auto"/>
        <w:ind w:firstLine="708" w:firstLineChars="295"/>
        <w:rPr>
          <w:rFonts w:hint="eastAsia" w:ascii="宋体" w:hAnsi="宋体" w:eastAsia="宋体" w:cs="宋体"/>
          <w:sz w:val="24"/>
          <w:szCs w:val="24"/>
        </w:rPr>
      </w:pPr>
      <w:r>
        <w:rPr>
          <w:rFonts w:hint="eastAsia" w:ascii="宋体" w:hAnsi="宋体" w:eastAsia="宋体" w:cs="宋体"/>
          <w:sz w:val="24"/>
          <w:szCs w:val="24"/>
        </w:rPr>
        <w:t>兹委托（      ）全权代表我企业（公司）参与</w:t>
      </w:r>
      <w:r>
        <w:rPr>
          <w:rFonts w:hint="eastAsia" w:ascii="宋体" w:hAnsi="宋体" w:eastAsia="宋体" w:cs="宋体"/>
          <w:sz w:val="24"/>
          <w:szCs w:val="24"/>
          <w:u w:val="single"/>
        </w:rPr>
        <w:t>睢宁县2022年学校教室照明改造提升项目</w:t>
      </w:r>
      <w:r>
        <w:rPr>
          <w:rFonts w:hint="eastAsia" w:ascii="宋体" w:hAnsi="宋体" w:eastAsia="宋体" w:cs="宋体"/>
          <w:sz w:val="24"/>
          <w:szCs w:val="24"/>
        </w:rPr>
        <w:t>（项目编号：</w:t>
      </w:r>
      <w:r>
        <w:rPr>
          <w:rFonts w:hint="eastAsia" w:ascii="宋体" w:hAnsi="宋体" w:cs="宋体"/>
          <w:sz w:val="24"/>
          <w:szCs w:val="24"/>
          <w:lang w:eastAsia="zh-CN"/>
        </w:rPr>
        <w:t>JSZC-320324-RXGL-G2022-0008</w:t>
      </w:r>
      <w:r>
        <w:rPr>
          <w:rFonts w:hint="eastAsia" w:ascii="宋体" w:hAnsi="宋体" w:eastAsia="宋体" w:cs="宋体"/>
          <w:sz w:val="24"/>
          <w:szCs w:val="24"/>
        </w:rPr>
        <w:t>）的招、投标活动及签订合同。（         ）以我企业（公司）名义所为的法律行为及签署的文件，我企业（公司）均予以认可。有关法律责任均由我企业（公司）承担。（         ）无转委托权。委托期限自   年  月   日起至  年  月    日止。</w:t>
      </w:r>
    </w:p>
    <w:p>
      <w:pPr>
        <w:spacing w:line="360" w:lineRule="auto"/>
        <w:ind w:firstLine="630"/>
        <w:rPr>
          <w:rFonts w:hint="eastAsia" w:ascii="宋体" w:hAnsi="宋体" w:eastAsia="宋体" w:cs="宋体"/>
          <w:sz w:val="24"/>
          <w:szCs w:val="24"/>
        </w:rPr>
      </w:pP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特此授权委托。</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委托人（公章）：                      受托人（签字）：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法定代表人（负责人）（签字）： </w:t>
      </w:r>
    </w:p>
    <w:p>
      <w:pPr>
        <w:spacing w:line="360" w:lineRule="auto"/>
        <w:ind w:firstLine="4190" w:firstLineChars="1746"/>
        <w:rPr>
          <w:rFonts w:hint="eastAsia" w:ascii="宋体" w:hAnsi="宋体" w:eastAsia="宋体" w:cs="宋体"/>
          <w:sz w:val="24"/>
          <w:szCs w:val="24"/>
        </w:rPr>
      </w:pPr>
      <w:r>
        <w:rPr>
          <w:rFonts w:hint="eastAsia" w:ascii="宋体" w:hAnsi="宋体" w:eastAsia="宋体" w:cs="宋体"/>
          <w:sz w:val="24"/>
          <w:szCs w:val="24"/>
        </w:rPr>
        <w:t xml:space="preserve">   年   月   日 </w:t>
      </w:r>
    </w:p>
    <w:p>
      <w:pPr>
        <w:pStyle w:val="2"/>
        <w:rPr>
          <w:rFonts w:hint="eastAsia" w:ascii="宋体" w:hAnsi="宋体" w:eastAsia="宋体" w:cs="宋体"/>
          <w:sz w:val="24"/>
          <w:szCs w:val="24"/>
        </w:rPr>
      </w:pPr>
    </w:p>
    <w:p>
      <w:pPr>
        <w:pStyle w:val="3"/>
        <w:rPr>
          <w:rFonts w:hint="eastAsia"/>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(受托人身份证原件扫描件附后)</w:t>
      </w:r>
    </w:p>
    <w:p>
      <w:pPr>
        <w:widowControl/>
        <w:jc w:val="left"/>
        <w:rPr>
          <w:rFonts w:hint="eastAsia" w:ascii="宋体" w:hAnsi="宋体" w:eastAsia="宋体" w:cs="宋体"/>
          <w:sz w:val="24"/>
          <w:szCs w:val="24"/>
        </w:rPr>
      </w:pPr>
    </w:p>
    <w:p>
      <w:pPr>
        <w:widowControl/>
        <w:spacing w:line="380" w:lineRule="exact"/>
        <w:jc w:val="center"/>
        <w:rPr>
          <w:rFonts w:hint="eastAsia" w:ascii="宋体" w:hAnsi="宋体" w:eastAsia="宋体" w:cs="宋体"/>
          <w:sz w:val="24"/>
          <w:szCs w:val="24"/>
        </w:rPr>
      </w:pPr>
    </w:p>
    <w:p>
      <w:pPr>
        <w:widowControl/>
        <w:spacing w:line="380" w:lineRule="exact"/>
        <w:jc w:val="center"/>
        <w:rPr>
          <w:rFonts w:hint="eastAsia" w:ascii="宋体" w:hAnsi="宋体" w:eastAsia="宋体" w:cs="宋体"/>
          <w:sz w:val="24"/>
          <w:szCs w:val="24"/>
        </w:rPr>
      </w:pPr>
    </w:p>
    <w:p>
      <w:pPr>
        <w:pStyle w:val="2"/>
        <w:rPr>
          <w:rFonts w:hint="eastAsia"/>
        </w:rPr>
      </w:pPr>
    </w:p>
    <w:p>
      <w:pPr>
        <w:widowControl/>
        <w:spacing w:line="380" w:lineRule="exact"/>
        <w:jc w:val="center"/>
        <w:rPr>
          <w:rFonts w:hint="eastAsia" w:ascii="宋体" w:hAnsi="宋体" w:eastAsia="宋体" w:cs="宋体"/>
          <w:sz w:val="24"/>
          <w:szCs w:val="24"/>
        </w:rPr>
      </w:pPr>
    </w:p>
    <w:p>
      <w:pPr>
        <w:spacing w:line="480" w:lineRule="auto"/>
        <w:jc w:val="center"/>
        <w:rPr>
          <w:rFonts w:hint="eastAsia" w:ascii="宋体" w:hAnsi="宋体" w:eastAsia="宋体" w:cs="宋体"/>
          <w:bCs/>
          <w:sz w:val="28"/>
          <w:szCs w:val="28"/>
        </w:rPr>
      </w:pPr>
      <w:r>
        <w:rPr>
          <w:rFonts w:hint="eastAsia" w:ascii="宋体" w:hAnsi="宋体" w:eastAsia="宋体" w:cs="宋体"/>
          <w:bCs/>
          <w:sz w:val="28"/>
          <w:szCs w:val="28"/>
        </w:rPr>
        <w:t xml:space="preserve">6.中小企业声明函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睢宁县2022年学校教室照明改造提升项目</w:t>
      </w:r>
    </w:p>
    <w:p>
      <w:pPr>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项目编号：</w:t>
      </w:r>
      <w:r>
        <w:rPr>
          <w:rFonts w:hint="eastAsia" w:ascii="宋体" w:hAnsi="宋体" w:cs="宋体"/>
          <w:sz w:val="24"/>
          <w:szCs w:val="24"/>
          <w:u w:val="single"/>
          <w:lang w:eastAsia="zh-CN"/>
        </w:rPr>
        <w:t>JSZC-320324-RXGL-G2022-0008</w:t>
      </w:r>
    </w:p>
    <w:p>
      <w:pPr>
        <w:widowControl/>
        <w:spacing w:line="360" w:lineRule="auto"/>
        <w:jc w:val="center"/>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本公司郑重声明，根据《政府采购促进中小企业发展管理办法》（财库[2020]46号）的规定，本公司参加</w:t>
      </w:r>
      <w:r>
        <w:rPr>
          <w:rFonts w:hint="eastAsia" w:ascii="宋体" w:hAnsi="宋体" w:eastAsia="宋体" w:cs="宋体"/>
          <w:sz w:val="24"/>
          <w:szCs w:val="24"/>
          <w:u w:val="single"/>
        </w:rPr>
        <w:t>睢宁县2022年学校教室照明改造提升项目</w:t>
      </w:r>
      <w:r>
        <w:rPr>
          <w:rFonts w:hint="eastAsia" w:ascii="宋体" w:hAnsi="宋体" w:eastAsia="宋体" w:cs="宋体"/>
          <w:sz w:val="24"/>
          <w:szCs w:val="24"/>
        </w:rPr>
        <w:t>采购活动，提供的货物全部由符合政策要求的中小企业制造。相关企业的具体情况如下：</w:t>
      </w:r>
    </w:p>
    <w:p>
      <w:pPr>
        <w:pStyle w:val="2"/>
        <w:numPr>
          <w:ilvl w:val="0"/>
          <w:numId w:val="7"/>
        </w:num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教室灯，属于（工业）行业；制造商为（企业名称），从业人员（  ）人，营业收入为（   万元），资产总额为（  万元）①，属于（中型企业、小型企业、微型企业）；</w:t>
      </w:r>
    </w:p>
    <w:p>
      <w:pPr>
        <w:pStyle w:val="2"/>
        <w:numPr>
          <w:ilvl w:val="0"/>
          <w:numId w:val="7"/>
        </w:num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黑板灯，属于（工业）行业；制造商为（企业名称），从业人员（  ）人，营业收入为（   万元），资产总额为（  万元）①，属于（中型企业、小型企业、微型企业）；</w:t>
      </w:r>
    </w:p>
    <w:p>
      <w:pPr>
        <w:pStyle w:val="2"/>
        <w:spacing w:line="360" w:lineRule="auto"/>
        <w:ind w:left="0" w:firstLine="480" w:firstLineChars="200"/>
        <w:rPr>
          <w:rFonts w:hint="eastAsia" w:ascii="宋体" w:hAnsi="宋体" w:eastAsia="宋体" w:cs="宋体"/>
          <w:sz w:val="24"/>
          <w:szCs w:val="24"/>
        </w:rPr>
      </w:pPr>
    </w:p>
    <w:p>
      <w:pPr>
        <w:pStyle w:val="2"/>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firstLine="3120" w:firstLineChars="1300"/>
        <w:rPr>
          <w:rFonts w:hint="eastAsia" w:ascii="宋体" w:hAnsi="宋体" w:eastAsia="宋体" w:cs="宋体"/>
          <w:sz w:val="24"/>
          <w:szCs w:val="24"/>
        </w:rPr>
      </w:pP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企业名称（电子签章）：</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日期：   年  月  日</w:t>
      </w: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①：从业人员、营业收入、资产总额填报上一年度数据，无上一年度数据的新成立企业可不填报。</w:t>
      </w:r>
    </w:p>
    <w:p>
      <w:pPr>
        <w:widowControl/>
        <w:spacing w:line="360" w:lineRule="auto"/>
        <w:jc w:val="center"/>
        <w:rPr>
          <w:rFonts w:hint="eastAsia" w:ascii="宋体" w:hAnsi="宋体" w:eastAsia="宋体" w:cs="宋体"/>
          <w:sz w:val="24"/>
          <w:szCs w:val="24"/>
        </w:rPr>
      </w:pPr>
    </w:p>
    <w:p>
      <w:pPr>
        <w:spacing w:line="480" w:lineRule="auto"/>
        <w:jc w:val="center"/>
        <w:rPr>
          <w:rFonts w:hint="eastAsia" w:ascii="宋体" w:hAnsi="宋体" w:eastAsia="宋体" w:cs="宋体"/>
          <w:bCs/>
          <w:sz w:val="28"/>
          <w:szCs w:val="28"/>
        </w:rPr>
      </w:pPr>
      <w:r>
        <w:rPr>
          <w:rFonts w:hint="eastAsia" w:ascii="宋体" w:hAnsi="宋体" w:eastAsia="宋体" w:cs="宋体"/>
          <w:sz w:val="28"/>
          <w:szCs w:val="28"/>
        </w:rPr>
        <w:br w:type="page"/>
      </w:r>
      <w:r>
        <w:rPr>
          <w:rFonts w:hint="eastAsia" w:ascii="宋体" w:hAnsi="宋体" w:eastAsia="宋体" w:cs="宋体"/>
          <w:bCs/>
          <w:sz w:val="28"/>
          <w:szCs w:val="28"/>
        </w:rPr>
        <w:t>7.投标人参加政府采购活动前3年内在经营活动中</w:t>
      </w:r>
    </w:p>
    <w:p>
      <w:pPr>
        <w:spacing w:line="480" w:lineRule="auto"/>
        <w:jc w:val="center"/>
        <w:rPr>
          <w:rFonts w:hint="eastAsia" w:ascii="宋体" w:hAnsi="宋体" w:eastAsia="宋体" w:cs="宋体"/>
          <w:bCs/>
          <w:sz w:val="28"/>
          <w:szCs w:val="28"/>
        </w:rPr>
      </w:pPr>
      <w:r>
        <w:rPr>
          <w:rFonts w:hint="eastAsia" w:ascii="宋体" w:hAnsi="宋体" w:eastAsia="宋体" w:cs="宋体"/>
          <w:bCs/>
          <w:sz w:val="28"/>
          <w:szCs w:val="28"/>
        </w:rPr>
        <w:t>没有重大违法记录的书面声明</w:t>
      </w:r>
    </w:p>
    <w:p>
      <w:pPr>
        <w:spacing w:line="360" w:lineRule="auto"/>
        <w:jc w:val="center"/>
        <w:rPr>
          <w:rFonts w:hint="eastAsia" w:ascii="宋体" w:hAnsi="宋体" w:eastAsia="宋体" w:cs="宋体"/>
          <w:sz w:val="24"/>
          <w:szCs w:val="24"/>
        </w:rPr>
      </w:pPr>
    </w:p>
    <w:p>
      <w:pPr>
        <w:widowControl/>
        <w:spacing w:before="100" w:beforeAutospacing="1" w:after="100" w:afterAutospacing="1"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我单位在参加</w:t>
      </w:r>
      <w:r>
        <w:rPr>
          <w:rFonts w:hint="eastAsia" w:ascii="宋体" w:hAnsi="宋体" w:eastAsia="宋体" w:cs="宋体"/>
          <w:sz w:val="24"/>
          <w:szCs w:val="24"/>
          <w:u w:val="single"/>
        </w:rPr>
        <w:t>睢宁县2022年学校教室照明改造提升项目</w:t>
      </w:r>
      <w:r>
        <w:rPr>
          <w:rFonts w:hint="eastAsia" w:ascii="宋体" w:hAnsi="宋体" w:eastAsia="宋体" w:cs="宋体"/>
          <w:sz w:val="24"/>
          <w:szCs w:val="24"/>
        </w:rPr>
        <w:t>（项目编号：</w:t>
      </w:r>
      <w:r>
        <w:rPr>
          <w:rFonts w:hint="eastAsia" w:ascii="宋体" w:hAnsi="宋体" w:cs="宋体"/>
          <w:sz w:val="24"/>
          <w:szCs w:val="24"/>
          <w:lang w:eastAsia="zh-CN"/>
        </w:rPr>
        <w:t>JSZC-320324-RXGL-G2022-0008</w:t>
      </w:r>
      <w:r>
        <w:rPr>
          <w:rFonts w:hint="eastAsia" w:ascii="宋体" w:hAnsi="宋体" w:eastAsia="宋体" w:cs="宋体"/>
          <w:sz w:val="24"/>
          <w:szCs w:val="24"/>
        </w:rPr>
        <w:t>）政府采购活动前3年内在经营活动中没有重大违法记录。重大违法记录是指因违法经营受到刑事处罚或者责令停产停业、吊销许可证或者执照、较大数额罚款等行政处罚。</w:t>
      </w:r>
    </w:p>
    <w:p>
      <w:pPr>
        <w:pStyle w:val="37"/>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我单位对上述声明的真实性负责。如有虚假，将依法承担相应责任。</w:t>
      </w:r>
    </w:p>
    <w:p>
      <w:pPr>
        <w:spacing w:line="360" w:lineRule="auto"/>
        <w:ind w:firstLine="600" w:firstLineChars="25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投标人：（电子签章）</w:t>
      </w: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ind w:firstLine="4560" w:firstLineChars="1900"/>
        <w:rPr>
          <w:rFonts w:hint="eastAsia" w:ascii="宋体" w:hAnsi="宋体" w:eastAsia="宋体" w:cs="宋体"/>
          <w:sz w:val="24"/>
          <w:szCs w:val="24"/>
        </w:rPr>
      </w:pPr>
    </w:p>
    <w:p>
      <w:pPr>
        <w:spacing w:line="360" w:lineRule="auto"/>
        <w:ind w:firstLine="4560" w:firstLineChars="1900"/>
        <w:rPr>
          <w:rFonts w:hint="eastAsia" w:ascii="宋体" w:hAnsi="宋体" w:eastAsia="宋体" w:cs="宋体"/>
          <w:sz w:val="24"/>
          <w:szCs w:val="24"/>
        </w:rPr>
      </w:pP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br w:type="page"/>
      </w:r>
    </w:p>
    <w:p>
      <w:pPr>
        <w:spacing w:line="480" w:lineRule="auto"/>
        <w:jc w:val="center"/>
        <w:rPr>
          <w:rFonts w:hint="eastAsia" w:ascii="宋体" w:hAnsi="宋体" w:eastAsia="宋体" w:cs="宋体"/>
          <w:sz w:val="24"/>
          <w:szCs w:val="24"/>
        </w:rPr>
      </w:pPr>
    </w:p>
    <w:p>
      <w:pPr>
        <w:spacing w:line="480" w:lineRule="auto"/>
        <w:jc w:val="center"/>
        <w:rPr>
          <w:rFonts w:hint="eastAsia" w:ascii="宋体" w:hAnsi="宋体" w:eastAsia="宋体" w:cs="宋体"/>
          <w:bCs/>
          <w:sz w:val="28"/>
          <w:szCs w:val="28"/>
        </w:rPr>
      </w:pPr>
      <w:r>
        <w:rPr>
          <w:rFonts w:hint="eastAsia" w:ascii="宋体" w:hAnsi="宋体" w:eastAsia="宋体" w:cs="宋体"/>
          <w:bCs/>
          <w:sz w:val="28"/>
          <w:szCs w:val="28"/>
        </w:rPr>
        <w:t>8.</w:t>
      </w:r>
      <w:bookmarkStart w:id="3" w:name="OLE_LINK14"/>
      <w:bookmarkStart w:id="4" w:name="OLE_LINK13"/>
      <w:r>
        <w:rPr>
          <w:rFonts w:hint="eastAsia" w:ascii="宋体" w:hAnsi="宋体" w:eastAsia="宋体" w:cs="宋体"/>
          <w:bCs/>
          <w:sz w:val="28"/>
          <w:szCs w:val="28"/>
        </w:rPr>
        <w:t xml:space="preserve"> 残疾人福利性单位声明函</w:t>
      </w:r>
    </w:p>
    <w:bookmarkEnd w:id="3"/>
    <w:bookmarkEnd w:id="4"/>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睢宁县2022年学校教室照明改造提升项目</w:t>
      </w:r>
    </w:p>
    <w:p>
      <w:pPr>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项目编号：</w:t>
      </w:r>
      <w:r>
        <w:rPr>
          <w:rFonts w:hint="eastAsia" w:ascii="宋体" w:hAnsi="宋体" w:cs="宋体"/>
          <w:sz w:val="24"/>
          <w:szCs w:val="24"/>
          <w:u w:val="single"/>
          <w:lang w:eastAsia="zh-CN"/>
        </w:rPr>
        <w:t>JSZC-320324-RXGL-G2022-0008</w:t>
      </w:r>
    </w:p>
    <w:p>
      <w:pPr>
        <w:pStyle w:val="18"/>
        <w:rPr>
          <w:rFonts w:hint="eastAsia"/>
        </w:rPr>
      </w:pP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睢宁县2022年学校教室照明改造提升项目</w:t>
      </w:r>
      <w:r>
        <w:rPr>
          <w:rFonts w:hint="eastAsia" w:ascii="宋体" w:hAnsi="宋体" w:eastAsia="宋体" w:cs="宋体"/>
          <w:spacing w:val="6"/>
          <w:sz w:val="24"/>
          <w:szCs w:val="24"/>
        </w:rPr>
        <w:t>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ind w:firstLine="504" w:firstLineChars="200"/>
        <w:rPr>
          <w:rFonts w:hint="eastAsia" w:ascii="宋体" w:hAnsi="宋体" w:eastAsia="宋体" w:cs="宋体"/>
          <w:spacing w:val="6"/>
          <w:sz w:val="24"/>
          <w:szCs w:val="24"/>
        </w:rPr>
      </w:pPr>
    </w:p>
    <w:p>
      <w:pPr>
        <w:spacing w:line="360" w:lineRule="auto"/>
        <w:ind w:firstLine="504" w:firstLineChars="200"/>
        <w:rPr>
          <w:rFonts w:hint="eastAsia" w:ascii="宋体" w:hAnsi="宋体" w:eastAsia="宋体" w:cs="宋体"/>
          <w:spacing w:val="6"/>
          <w:sz w:val="24"/>
          <w:szCs w:val="24"/>
        </w:rPr>
      </w:pPr>
    </w:p>
    <w:p>
      <w:pPr>
        <w:tabs>
          <w:tab w:val="left" w:pos="4860"/>
        </w:tabs>
        <w:spacing w:line="360" w:lineRule="auto"/>
        <w:ind w:right="-58"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单位名称（电子签章）：</w:t>
      </w:r>
    </w:p>
    <w:p>
      <w:pPr>
        <w:tabs>
          <w:tab w:val="left" w:pos="4860"/>
        </w:tabs>
        <w:spacing w:line="360" w:lineRule="auto"/>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说明：</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中标、成交供应商为残疾人福利性单位的，采购人或者其委托的采购代理机构应当随中标、成交结果同时公告其《残疾人福利性单位声明函》，接受社会监督。</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供应商提供的《残疾人福利性单位声明函》与事实不符的，依照《政府采购法》第七十七条第一款的规定追究法律责任。</w:t>
      </w:r>
    </w:p>
    <w:p>
      <w:pPr>
        <w:widowControl/>
        <w:adjustRightInd w:val="0"/>
        <w:snapToGrid w:val="0"/>
        <w:spacing w:line="360" w:lineRule="auto"/>
        <w:ind w:firstLine="480" w:firstLineChars="200"/>
        <w:jc w:val="left"/>
        <w:rPr>
          <w:rFonts w:hint="eastAsia" w:ascii="宋体" w:hAnsi="宋体" w:eastAsia="宋体" w:cs="宋体"/>
          <w:sz w:val="24"/>
          <w:szCs w:val="24"/>
        </w:rPr>
      </w:pPr>
    </w:p>
    <w:p>
      <w:pPr>
        <w:spacing w:line="480" w:lineRule="auto"/>
        <w:jc w:val="center"/>
        <w:rPr>
          <w:rFonts w:hint="eastAsia" w:ascii="宋体" w:hAnsi="宋体" w:eastAsia="宋体" w:cs="宋体"/>
          <w:bCs/>
          <w:sz w:val="28"/>
          <w:szCs w:val="28"/>
        </w:rPr>
      </w:pPr>
      <w:r>
        <w:rPr>
          <w:rFonts w:hint="eastAsia" w:ascii="宋体" w:hAnsi="宋体" w:eastAsia="宋体" w:cs="宋体"/>
          <w:sz w:val="24"/>
          <w:szCs w:val="24"/>
        </w:rPr>
        <w:br w:type="page"/>
      </w:r>
      <w:r>
        <w:rPr>
          <w:rFonts w:hint="eastAsia" w:ascii="宋体" w:hAnsi="宋体" w:eastAsia="宋体" w:cs="宋体"/>
          <w:bCs/>
          <w:sz w:val="28"/>
          <w:szCs w:val="28"/>
        </w:rPr>
        <w:t>9. 具备履行合同所必需的设备和专业技术能力的书面声明</w:t>
      </w:r>
    </w:p>
    <w:p>
      <w:pPr>
        <w:spacing w:line="480" w:lineRule="auto"/>
        <w:jc w:val="center"/>
        <w:rPr>
          <w:rFonts w:hint="eastAsia" w:ascii="宋体" w:hAnsi="宋体" w:eastAsia="宋体" w:cs="宋体"/>
          <w:bCs/>
          <w:sz w:val="28"/>
          <w:szCs w:val="28"/>
        </w:rPr>
      </w:pPr>
      <w:r>
        <w:rPr>
          <w:rFonts w:hint="eastAsia" w:ascii="宋体" w:hAnsi="宋体" w:eastAsia="宋体" w:cs="宋体"/>
          <w:bCs/>
          <w:sz w:val="28"/>
          <w:szCs w:val="28"/>
        </w:rPr>
        <w:t>（附证明材料原件的扫描件）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睢宁县2022年学校教室照明改造提升项目</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项目编号：</w:t>
      </w:r>
      <w:r>
        <w:rPr>
          <w:rFonts w:hint="eastAsia" w:ascii="宋体" w:hAnsi="宋体" w:cs="宋体"/>
          <w:sz w:val="24"/>
          <w:szCs w:val="24"/>
          <w:u w:val="single"/>
          <w:lang w:eastAsia="zh-CN"/>
        </w:rPr>
        <w:t>JSZC-320324-RXGL-G2022-0008</w:t>
      </w:r>
    </w:p>
    <w:p>
      <w:pPr>
        <w:widowControl/>
        <w:adjustRightInd w:val="0"/>
        <w:snapToGrid w:val="0"/>
        <w:spacing w:line="360" w:lineRule="auto"/>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投标人郑重声明：投标人具备履行合同（项目名称：</w:t>
      </w:r>
      <w:r>
        <w:rPr>
          <w:rFonts w:hint="eastAsia" w:ascii="宋体" w:hAnsi="宋体" w:eastAsia="宋体" w:cs="宋体"/>
          <w:sz w:val="24"/>
          <w:szCs w:val="24"/>
          <w:u w:val="single"/>
        </w:rPr>
        <w:t>睢宁县2022年学校教室照明改造提升项目</w:t>
      </w:r>
      <w:r>
        <w:rPr>
          <w:rFonts w:hint="eastAsia" w:ascii="宋体" w:hAnsi="宋体" w:eastAsia="宋体" w:cs="宋体"/>
          <w:sz w:val="24"/>
          <w:szCs w:val="24"/>
        </w:rPr>
        <w:t>，项目编号：</w:t>
      </w:r>
      <w:r>
        <w:rPr>
          <w:rFonts w:hint="eastAsia" w:ascii="宋体" w:hAnsi="宋体" w:cs="宋体"/>
          <w:sz w:val="24"/>
          <w:szCs w:val="24"/>
          <w:lang w:eastAsia="zh-CN"/>
        </w:rPr>
        <w:t>JSZC-320324-RXGL-G2022-0008</w:t>
      </w:r>
      <w:r>
        <w:rPr>
          <w:rFonts w:hint="eastAsia" w:ascii="宋体" w:hAnsi="宋体" w:eastAsia="宋体" w:cs="宋体"/>
          <w:sz w:val="24"/>
          <w:szCs w:val="24"/>
        </w:rPr>
        <w:t>）所必需的设备和专业技术能力，具体为：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专业技术能力：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（证明材料原件的扫描件附后）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投标人对上述声明的真实性负责。如有虚假，将依法承担相应责任。</w:t>
      </w:r>
    </w:p>
    <w:p>
      <w:pPr>
        <w:spacing w:line="360" w:lineRule="auto"/>
        <w:rPr>
          <w:rFonts w:hint="eastAsia" w:ascii="宋体" w:hAnsi="宋体" w:eastAsia="宋体" w:cs="宋体"/>
          <w:sz w:val="24"/>
          <w:szCs w:val="24"/>
        </w:rPr>
      </w:pPr>
    </w:p>
    <w:p>
      <w:pPr>
        <w:spacing w:line="360" w:lineRule="auto"/>
        <w:ind w:firstLine="3000" w:firstLineChars="1250"/>
        <w:rPr>
          <w:rFonts w:hint="eastAsia" w:ascii="宋体" w:hAnsi="宋体" w:eastAsia="宋体" w:cs="宋体"/>
          <w:sz w:val="24"/>
          <w:szCs w:val="24"/>
        </w:rPr>
      </w:pP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 xml:space="preserve">投标人：（电子签章） </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hint="eastAsia" w:ascii="宋体" w:hAnsi="宋体" w:eastAsia="宋体" w:cs="宋体"/>
          <w:sz w:val="24"/>
          <w:szCs w:val="24"/>
        </w:rPr>
      </w:pPr>
    </w:p>
    <w:p>
      <w:pPr>
        <w:pStyle w:val="18"/>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480" w:lineRule="auto"/>
        <w:jc w:val="center"/>
        <w:rPr>
          <w:rFonts w:hint="eastAsia" w:ascii="宋体" w:hAnsi="宋体" w:eastAsia="宋体" w:cs="宋体"/>
          <w:bCs/>
          <w:sz w:val="28"/>
          <w:szCs w:val="28"/>
        </w:rPr>
      </w:pPr>
      <w:r>
        <w:rPr>
          <w:rFonts w:hint="eastAsia" w:ascii="宋体" w:hAnsi="宋体" w:eastAsia="宋体" w:cs="宋体"/>
          <w:bCs/>
          <w:sz w:val="28"/>
          <w:szCs w:val="28"/>
        </w:rPr>
        <w:t>10.投标人相关承诺</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睢宁县2022年学校教室照明改造提升项目</w:t>
      </w:r>
    </w:p>
    <w:p>
      <w:pPr>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JSZC-320324-RXGL-G2022-0008</w:t>
      </w:r>
    </w:p>
    <w:p>
      <w:pPr>
        <w:spacing w:line="360" w:lineRule="auto"/>
        <w:ind w:firstLine="584"/>
        <w:rPr>
          <w:rFonts w:hint="eastAsia" w:ascii="宋体" w:hAnsi="宋体" w:eastAsia="宋体" w:cs="宋体"/>
          <w:color w:val="000000"/>
          <w:spacing w:val="6"/>
          <w:sz w:val="24"/>
          <w:szCs w:val="24"/>
        </w:rPr>
      </w:pP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我单位承诺：</w:t>
      </w: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如有参与同一合同项下政府采购活动的投标人与我单位存在负责人为同一人的情况或者存在直接控股、管理关系，我单位不再参加该同一合同项下的政府采购活动。</w:t>
      </w:r>
    </w:p>
    <w:p>
      <w:pPr>
        <w:spacing w:line="360" w:lineRule="auto"/>
        <w:ind w:firstLine="584"/>
        <w:rPr>
          <w:rFonts w:hint="eastAsia" w:ascii="宋体" w:hAnsi="宋体" w:eastAsia="宋体" w:cs="宋体"/>
          <w:color w:val="000000"/>
          <w:spacing w:val="6"/>
          <w:sz w:val="24"/>
          <w:szCs w:val="24"/>
        </w:rPr>
      </w:pP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我单位对上述承诺负责，并依法承担相应责任。</w:t>
      </w:r>
    </w:p>
    <w:p>
      <w:pPr>
        <w:spacing w:line="360" w:lineRule="auto"/>
        <w:rPr>
          <w:rFonts w:hint="eastAsia" w:ascii="宋体" w:hAnsi="宋体" w:eastAsia="宋体" w:cs="宋体"/>
          <w:color w:val="000000"/>
          <w:sz w:val="24"/>
          <w:szCs w:val="24"/>
        </w:rPr>
      </w:pPr>
    </w:p>
    <w:p>
      <w:pPr>
        <w:spacing w:line="360" w:lineRule="auto"/>
        <w:ind w:firstLine="3000"/>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spacing w:line="360" w:lineRule="auto"/>
        <w:ind w:firstLine="312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（电子签章） </w:t>
      </w:r>
    </w:p>
    <w:p>
      <w:pPr>
        <w:spacing w:line="360" w:lineRule="auto"/>
        <w:ind w:firstLine="312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日期：   年  月  日</w:t>
      </w:r>
    </w:p>
    <w:p>
      <w:pPr>
        <w:spacing w:line="360" w:lineRule="auto"/>
        <w:jc w:val="center"/>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4"/>
          <w:szCs w:val="24"/>
        </w:rPr>
      </w:pPr>
    </w:p>
    <w:p>
      <w:pPr>
        <w:spacing w:line="360" w:lineRule="auto"/>
        <w:ind w:firstLine="70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11.投标人书面声明</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睢宁县2022年学校教室照明改造提升项目</w:t>
      </w:r>
    </w:p>
    <w:p>
      <w:pPr>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JSZC-320324-RXGL-G2022-0008</w:t>
      </w:r>
    </w:p>
    <w:p>
      <w:pPr>
        <w:spacing w:line="360" w:lineRule="auto"/>
        <w:ind w:firstLine="480"/>
        <w:rPr>
          <w:rFonts w:hint="eastAsia" w:ascii="宋体" w:hAnsi="宋体" w:eastAsia="宋体" w:cs="宋体"/>
          <w:color w:val="000000"/>
          <w:sz w:val="24"/>
          <w:szCs w:val="24"/>
        </w:rPr>
      </w:pP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我单位不是为本采购项目提供整体设计、规范编制或者项目管理、监理、检测等服务的供应商。</w:t>
      </w: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特此声明。</w:t>
      </w:r>
    </w:p>
    <w:p>
      <w:pPr>
        <w:spacing w:line="360" w:lineRule="auto"/>
        <w:ind w:firstLine="584"/>
        <w:rPr>
          <w:rFonts w:hint="eastAsia" w:ascii="宋体" w:hAnsi="宋体" w:eastAsia="宋体" w:cs="宋体"/>
          <w:color w:val="000000"/>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我单位对上述声明的真实性负责。如有虚假，将依法承担相应责任。</w:t>
      </w:r>
    </w:p>
    <w:p>
      <w:pPr>
        <w:spacing w:line="360" w:lineRule="auto"/>
        <w:rPr>
          <w:rFonts w:hint="eastAsia" w:ascii="宋体" w:hAnsi="宋体" w:eastAsia="宋体" w:cs="宋体"/>
          <w:color w:val="000000"/>
          <w:sz w:val="24"/>
          <w:szCs w:val="24"/>
        </w:rPr>
      </w:pPr>
    </w:p>
    <w:p>
      <w:pPr>
        <w:spacing w:line="360" w:lineRule="auto"/>
        <w:ind w:firstLine="3000"/>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pStyle w:val="41"/>
        <w:spacing w:line="360" w:lineRule="auto"/>
        <w:rPr>
          <w:rFonts w:hint="eastAsia" w:ascii="宋体" w:hAnsi="宋体" w:eastAsia="宋体" w:cs="宋体"/>
          <w:color w:val="000000"/>
          <w:sz w:val="24"/>
          <w:szCs w:val="24"/>
        </w:rPr>
      </w:pPr>
    </w:p>
    <w:p>
      <w:pPr>
        <w:spacing w:line="480" w:lineRule="auto"/>
        <w:ind w:firstLine="312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（电子签章） </w:t>
      </w:r>
    </w:p>
    <w:p>
      <w:pPr>
        <w:pStyle w:val="19"/>
        <w:spacing w:line="480" w:lineRule="auto"/>
        <w:ind w:firstLine="288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日期：   年  月  日</w:t>
      </w:r>
    </w:p>
    <w:p>
      <w:pPr>
        <w:pStyle w:val="19"/>
        <w:rPr>
          <w:rFonts w:ascii="仿宋" w:hAnsi="仿宋" w:cs="宋体"/>
          <w:color w:val="000000"/>
          <w:sz w:val="30"/>
          <w:szCs w:val="30"/>
        </w:rPr>
      </w:pPr>
    </w:p>
    <w:p>
      <w:pPr>
        <w:pStyle w:val="108"/>
        <w:spacing w:after="0" w:line="329" w:lineRule="auto"/>
        <w:ind w:right="363"/>
        <w:rPr>
          <w:rFonts w:ascii="仿宋" w:hAnsi="仿宋" w:eastAsia="仿宋"/>
          <w:spacing w:val="-6"/>
          <w:sz w:val="24"/>
        </w:rPr>
      </w:pPr>
    </w:p>
    <w:p>
      <w:pPr>
        <w:pStyle w:val="50"/>
        <w:rPr>
          <w:rFonts w:ascii="仿宋" w:hAnsi="仿宋" w:eastAsia="仿宋"/>
          <w:spacing w:val="-6"/>
          <w:sz w:val="24"/>
        </w:rPr>
      </w:pPr>
    </w:p>
    <w:p>
      <w:pPr>
        <w:pStyle w:val="52"/>
        <w:rPr>
          <w:rFonts w:ascii="仿宋" w:hAnsi="仿宋" w:eastAsia="仿宋"/>
          <w:spacing w:val="-6"/>
          <w:sz w:val="24"/>
        </w:rPr>
      </w:pPr>
    </w:p>
    <w:p>
      <w:pPr>
        <w:rPr>
          <w:rFonts w:ascii="仿宋" w:hAnsi="仿宋" w:eastAsia="仿宋"/>
          <w:spacing w:val="-6"/>
          <w:sz w:val="24"/>
        </w:rPr>
      </w:pPr>
    </w:p>
    <w:p>
      <w:pPr>
        <w:pStyle w:val="2"/>
        <w:rPr>
          <w:rFonts w:ascii="仿宋" w:hAnsi="仿宋" w:eastAsia="仿宋"/>
          <w:spacing w:val="-6"/>
          <w:sz w:val="24"/>
        </w:rPr>
      </w:pPr>
    </w:p>
    <w:p>
      <w:pPr>
        <w:pStyle w:val="3"/>
        <w:rPr>
          <w:rFonts w:ascii="仿宋" w:hAnsi="仿宋" w:eastAsia="仿宋"/>
          <w:spacing w:val="-6"/>
          <w:sz w:val="24"/>
        </w:rPr>
      </w:pPr>
    </w:p>
    <w:p>
      <w:pPr>
        <w:pStyle w:val="276"/>
        <w:ind w:firstLine="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招标代理服务收费标准</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2"/>
        <w:gridCol w:w="1474"/>
        <w:gridCol w:w="1818"/>
        <w:gridCol w:w="1666"/>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中标金额</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w:t>
            </w:r>
          </w:p>
        </w:tc>
        <w:tc>
          <w:tcPr>
            <w:tcW w:w="1667" w:type="dxa"/>
            <w:noWrap w:val="0"/>
            <w:vAlign w:val="center"/>
          </w:tcPr>
          <w:p>
            <w:pPr>
              <w:pStyle w:val="109"/>
              <w:widowControl/>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收费上限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100万以下</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1.50%</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1.50%</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c>
          <w:tcPr>
            <w:tcW w:w="1667" w:type="dxa"/>
            <w:vMerge w:val="restart"/>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最低5千元</w:t>
            </w:r>
          </w:p>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最高10万元</w:t>
            </w:r>
          </w:p>
          <w:p>
            <w:pPr>
              <w:pStyle w:val="109"/>
              <w:widowControl/>
              <w:spacing w:line="0" w:lineRule="atLeast"/>
              <w:jc w:val="center"/>
              <w:rPr>
                <w:rFonts w:hint="eastAsia" w:ascii="宋体" w:hAnsi="宋体" w:eastAsia="宋体" w:cs="宋体"/>
                <w:color w:val="000000"/>
                <w:sz w:val="24"/>
                <w:szCs w:val="24"/>
                <w:highlight w:val="none"/>
              </w:rPr>
            </w:pPr>
          </w:p>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（PPP项目最高10万元）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100万~500万</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0.80%</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0.70%</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500万~1000万</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0.80%</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0.45%</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0.55%</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l000万~5000万</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0.50%</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0.25%</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0.35%</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5000万~l亿</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0.25%</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0.10%</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0.20%</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1亿~5亿</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0.05%</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0.05%</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0.05%</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5亿~10亿</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0.035%</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0.035%</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0.035%</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10亿~50亿</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0.008%</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0.008%</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0.008%</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50亿~100亿</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0.006%</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0.006%</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0.006%</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32"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100亿以上</w:t>
            </w:r>
          </w:p>
        </w:tc>
        <w:tc>
          <w:tcPr>
            <w:tcW w:w="1474"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0.004%</w:t>
            </w:r>
          </w:p>
        </w:tc>
        <w:tc>
          <w:tcPr>
            <w:tcW w:w="1818"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0.004%</w:t>
            </w:r>
          </w:p>
        </w:tc>
        <w:tc>
          <w:tcPr>
            <w:tcW w:w="1666" w:type="dxa"/>
            <w:noWrap w:val="0"/>
            <w:vAlign w:val="center"/>
          </w:tcPr>
          <w:p>
            <w:pPr>
              <w:pStyle w:val="109"/>
              <w:widowControl/>
              <w:spacing w:line="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0.004%</w:t>
            </w:r>
          </w:p>
        </w:tc>
        <w:tc>
          <w:tcPr>
            <w:tcW w:w="1667" w:type="dxa"/>
            <w:vMerge w:val="continue"/>
            <w:noWrap w:val="0"/>
            <w:vAlign w:val="center"/>
          </w:tcPr>
          <w:p>
            <w:pPr>
              <w:pStyle w:val="109"/>
              <w:widowControl/>
              <w:spacing w:line="400" w:lineRule="exact"/>
              <w:jc w:val="center"/>
              <w:rPr>
                <w:rFonts w:hint="eastAsia" w:ascii="宋体" w:hAnsi="宋体" w:eastAsia="宋体" w:cs="宋体"/>
                <w:color w:val="000000"/>
                <w:sz w:val="24"/>
                <w:szCs w:val="24"/>
                <w:highlight w:val="none"/>
              </w:rPr>
            </w:pPr>
          </w:p>
        </w:tc>
      </w:tr>
    </w:tbl>
    <w:p>
      <w:pPr>
        <w:pStyle w:val="109"/>
        <w:widowControl/>
        <w:spacing w:line="360" w:lineRule="auto"/>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1.按上表计算的收费为代理服务全过程的收费金额。</w:t>
      </w:r>
    </w:p>
    <w:p>
      <w:pPr>
        <w:pStyle w:val="109"/>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2.代理服务费按差额定率累进法计算。</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3.代理服务费基准金额（按差额定率累进法计算的）=中标金额（按差额定率累进法计算的） * 费率（%）</w:t>
      </w:r>
      <w:r>
        <w:rPr>
          <w:rFonts w:hint="eastAsia" w:ascii="宋体" w:hAnsi="宋体" w:eastAsia="宋体" w:cs="宋体"/>
          <w:color w:val="000000"/>
          <w:sz w:val="24"/>
          <w:szCs w:val="24"/>
          <w:highlight w:val="none"/>
          <w:lang w:eastAsia="zh-CN"/>
        </w:rPr>
        <w:t>。</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4.代理服务费应收取金额=代理服务费基准金额（按差额定率累进法计算的）的合计数。</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5.计算出的代理服务费应收取金额如低于5千元，按5千元收取；如高</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于10万元，按10万元收取。超出5万元的，超出部分按8折计算收取。（PPP项目按10万元）</w:t>
      </w:r>
    </w:p>
    <w:p>
      <w:pPr>
        <w:pStyle w:val="10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6.定点类等无金额或事先不能计算出价格总额，采购预算为1元的项目，中标（成交）金额按100万元计算。</w:t>
      </w:r>
    </w:p>
    <w:p>
      <w:pPr>
        <w:pStyle w:val="10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7.多标段项目按总项目收费，最高不超过10万元。</w:t>
      </w:r>
    </w:p>
    <w:p>
      <w:pPr>
        <w:pStyle w:val="10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8.以上价格为协会指导价，双方也可以协商定。</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9.中标人在领取成交通知书时，成交供应商向代理公司一次性全额支付代理服务费。</w:t>
      </w:r>
    </w:p>
    <w:p>
      <w:pPr>
        <w:rPr>
          <w:rFonts w:hint="eastAsia" w:ascii="宋体" w:hAnsi="宋体" w:eastAsia="宋体" w:cs="宋体"/>
        </w:rPr>
      </w:pPr>
    </w:p>
    <w:p>
      <w:pPr>
        <w:pStyle w:val="18"/>
        <w:rPr>
          <w:rFonts w:hint="eastAsia" w:ascii="宋体" w:hAnsi="宋体" w:eastAsia="宋体" w:cs="宋体"/>
        </w:rPr>
      </w:pPr>
    </w:p>
    <w:sectPr>
      <w:pgSz w:w="11906" w:h="16838"/>
      <w:pgMar w:top="1440" w:right="1134" w:bottom="1440" w:left="1134" w:header="851" w:footer="992"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金山简黑体">
    <w:altName w:val="黑体"/>
    <w:panose1 w:val="0201060900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lfknQAAAAAwEAAA8AAAAAAAAAAQAgAAAAIgAAAGRycy9kb3ducmV2LnhtbFBL&#10;AQIUABQAAAAIAIdO4kCYEHHk/gEAAA8EAAAOAAAAAAAAAAEAIAAAAB8BAABkcnMvZTJvRG9jLnht&#10;bFBLBQYAAAAABgAGAFkBAACP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D097"/>
    <w:multiLevelType w:val="singleLevel"/>
    <w:tmpl w:val="93EED097"/>
    <w:lvl w:ilvl="0" w:tentative="0">
      <w:start w:val="5"/>
      <w:numFmt w:val="decimal"/>
      <w:lvlText w:val="%1."/>
      <w:lvlJc w:val="left"/>
      <w:pPr>
        <w:tabs>
          <w:tab w:val="left" w:pos="312"/>
        </w:tabs>
      </w:pPr>
    </w:lvl>
  </w:abstractNum>
  <w:abstractNum w:abstractNumId="1">
    <w:nsid w:val="A2D55428"/>
    <w:multiLevelType w:val="singleLevel"/>
    <w:tmpl w:val="A2D55428"/>
    <w:lvl w:ilvl="0" w:tentative="0">
      <w:start w:val="1"/>
      <w:numFmt w:val="chineseCounting"/>
      <w:suff w:val="nothing"/>
      <w:lvlText w:val="%1、"/>
      <w:lvlJc w:val="left"/>
      <w:rPr>
        <w:rFonts w:hint="eastAsia"/>
      </w:rPr>
    </w:lvl>
  </w:abstractNum>
  <w:abstractNum w:abstractNumId="2">
    <w:nsid w:val="BF205925"/>
    <w:multiLevelType w:val="multilevel"/>
    <w:tmpl w:val="BF205925"/>
    <w:lvl w:ilvl="0" w:tentative="0">
      <w:start w:val="6"/>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2DD824"/>
    <w:multiLevelType w:val="singleLevel"/>
    <w:tmpl w:val="CF2DD824"/>
    <w:lvl w:ilvl="0" w:tentative="0">
      <w:start w:val="1"/>
      <w:numFmt w:val="decimal"/>
      <w:lvlText w:val="%1."/>
      <w:lvlJc w:val="left"/>
      <w:pPr>
        <w:tabs>
          <w:tab w:val="left" w:pos="312"/>
        </w:tabs>
      </w:pPr>
    </w:lvl>
  </w:abstractNum>
  <w:abstractNum w:abstractNumId="4">
    <w:nsid w:val="0053208E"/>
    <w:multiLevelType w:val="multilevel"/>
    <w:tmpl w:val="0053208E"/>
    <w:lvl w:ilvl="0" w:tentative="0">
      <w:start w:val="1"/>
      <w:numFmt w:val="chineseCountingThousand"/>
      <w:suff w:val="space"/>
      <w:lvlText w:val="%1. "/>
      <w:lvlJc w:val="left"/>
      <w:pPr>
        <w:ind w:left="907" w:hanging="907"/>
      </w:p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ind w:left="0" w:firstLine="0"/>
      </w:pPr>
      <w:rPr>
        <w:rFonts w:cs="Times New Roman"/>
      </w:rPr>
    </w:lvl>
    <w:lvl w:ilvl="3" w:tentative="0">
      <w:start w:val="1"/>
      <w:numFmt w:val="none"/>
      <w:lvlText w:val=""/>
      <w:lvlJc w:val="left"/>
      <w:pPr>
        <w:tabs>
          <w:tab w:val="left" w:pos="360"/>
        </w:tabs>
        <w:ind w:left="0" w:firstLine="0"/>
      </w:pPr>
      <w:rPr>
        <w:rFonts w:cs="Times New Roman"/>
      </w:rPr>
    </w:lvl>
    <w:lvl w:ilvl="4" w:tentative="0">
      <w:start w:val="1"/>
      <w:numFmt w:val="decimal"/>
      <w:pStyle w:val="265"/>
      <w:lvlText w:val=""/>
      <w:lvlJc w:val="left"/>
      <w:pPr>
        <w:ind w:left="0" w:firstLine="0"/>
      </w:pPr>
      <w:rPr>
        <w:rFonts w:cs="Times New Roman"/>
      </w:rPr>
    </w:lvl>
    <w:lvl w:ilvl="5" w:tentative="0">
      <w:start w:val="1"/>
      <w:numFmt w:val="decimal"/>
      <w:lvlText w:val=""/>
      <w:lvlJc w:val="left"/>
      <w:pPr>
        <w:ind w:left="0" w:firstLine="0"/>
      </w:pPr>
      <w:rPr>
        <w:rFonts w:cs="Times New Roman"/>
      </w:rPr>
    </w:lvl>
    <w:lvl w:ilvl="6" w:tentative="0">
      <w:start w:val="1"/>
      <w:numFmt w:val="decimal"/>
      <w:lvlText w:val=""/>
      <w:lvlJc w:val="left"/>
      <w:pPr>
        <w:ind w:left="0" w:firstLine="0"/>
      </w:pPr>
      <w:rPr>
        <w:rFonts w:cs="Times New Roman"/>
      </w:rPr>
    </w:lvl>
    <w:lvl w:ilvl="7" w:tentative="0">
      <w:start w:val="1"/>
      <w:numFmt w:val="decimal"/>
      <w:lvlText w:val=""/>
      <w:lvlJc w:val="left"/>
      <w:pPr>
        <w:ind w:left="0" w:firstLine="0"/>
      </w:pPr>
      <w:rPr>
        <w:rFonts w:cs="Times New Roman"/>
      </w:rPr>
    </w:lvl>
    <w:lvl w:ilvl="8" w:tentative="0">
      <w:start w:val="1"/>
      <w:numFmt w:val="decimal"/>
      <w:lvlText w:val=""/>
      <w:lvlJc w:val="left"/>
      <w:pPr>
        <w:ind w:left="0" w:firstLine="0"/>
      </w:pPr>
      <w:rPr>
        <w:rFonts w:cs="Times New Roman"/>
      </w:rPr>
    </w:lvl>
  </w:abstractNum>
  <w:abstractNum w:abstractNumId="5">
    <w:nsid w:val="131260B6"/>
    <w:multiLevelType w:val="singleLevel"/>
    <w:tmpl w:val="131260B6"/>
    <w:lvl w:ilvl="0" w:tentative="0">
      <w:start w:val="4"/>
      <w:numFmt w:val="chineseCounting"/>
      <w:suff w:val="nothing"/>
      <w:lvlText w:val="%1、"/>
      <w:lvlJc w:val="left"/>
      <w:rPr>
        <w:rFonts w:hint="eastAsia"/>
      </w:rPr>
    </w:lvl>
  </w:abstractNum>
  <w:abstractNum w:abstractNumId="6">
    <w:nsid w:val="6D2042FD"/>
    <w:multiLevelType w:val="multilevel"/>
    <w:tmpl w:val="6D2042F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OTBmNmM4NTk2YjJjY2U0YzNkNTYzYzQwODBkZDUifQ=="/>
  </w:docVars>
  <w:rsids>
    <w:rsidRoot w:val="00584F85"/>
    <w:rsid w:val="000F1E22"/>
    <w:rsid w:val="00115E09"/>
    <w:rsid w:val="00182E04"/>
    <w:rsid w:val="00202536"/>
    <w:rsid w:val="00244F23"/>
    <w:rsid w:val="002A1DE7"/>
    <w:rsid w:val="00584F85"/>
    <w:rsid w:val="005A6B78"/>
    <w:rsid w:val="005F3C75"/>
    <w:rsid w:val="00623755"/>
    <w:rsid w:val="006D57A6"/>
    <w:rsid w:val="0072656F"/>
    <w:rsid w:val="007E2BCB"/>
    <w:rsid w:val="00896151"/>
    <w:rsid w:val="00984DB4"/>
    <w:rsid w:val="009B6942"/>
    <w:rsid w:val="00A23863"/>
    <w:rsid w:val="00A47C4C"/>
    <w:rsid w:val="00A93451"/>
    <w:rsid w:val="00BD7D19"/>
    <w:rsid w:val="00BE5C12"/>
    <w:rsid w:val="00C6232C"/>
    <w:rsid w:val="00DA4C46"/>
    <w:rsid w:val="03F40A5A"/>
    <w:rsid w:val="05E82BC0"/>
    <w:rsid w:val="05F924E1"/>
    <w:rsid w:val="05FB473E"/>
    <w:rsid w:val="0684199E"/>
    <w:rsid w:val="073F4A62"/>
    <w:rsid w:val="075245F8"/>
    <w:rsid w:val="0900338F"/>
    <w:rsid w:val="0C637077"/>
    <w:rsid w:val="0D096F2C"/>
    <w:rsid w:val="0E040A3F"/>
    <w:rsid w:val="0F5167B1"/>
    <w:rsid w:val="0FAD2E15"/>
    <w:rsid w:val="10A34DC6"/>
    <w:rsid w:val="10EA2E78"/>
    <w:rsid w:val="123362D1"/>
    <w:rsid w:val="12FD58EA"/>
    <w:rsid w:val="134774E3"/>
    <w:rsid w:val="13C70763"/>
    <w:rsid w:val="167A3B3F"/>
    <w:rsid w:val="16976DEC"/>
    <w:rsid w:val="174E605E"/>
    <w:rsid w:val="19536F9B"/>
    <w:rsid w:val="19A04D0D"/>
    <w:rsid w:val="1A24236C"/>
    <w:rsid w:val="1B06325A"/>
    <w:rsid w:val="1B095F2C"/>
    <w:rsid w:val="1B4D19EC"/>
    <w:rsid w:val="1CD164CB"/>
    <w:rsid w:val="1D5C21DA"/>
    <w:rsid w:val="1F0B0870"/>
    <w:rsid w:val="1F992E09"/>
    <w:rsid w:val="21A34113"/>
    <w:rsid w:val="21A54AFD"/>
    <w:rsid w:val="224B0C58"/>
    <w:rsid w:val="246B67E7"/>
    <w:rsid w:val="255860FF"/>
    <w:rsid w:val="27351273"/>
    <w:rsid w:val="287C47A1"/>
    <w:rsid w:val="288816C3"/>
    <w:rsid w:val="293F45B0"/>
    <w:rsid w:val="2A232A00"/>
    <w:rsid w:val="2A50295E"/>
    <w:rsid w:val="2A583D1B"/>
    <w:rsid w:val="2B0C582D"/>
    <w:rsid w:val="2C0131FB"/>
    <w:rsid w:val="2C491D51"/>
    <w:rsid w:val="2C49527A"/>
    <w:rsid w:val="2C880BE2"/>
    <w:rsid w:val="2EED4E03"/>
    <w:rsid w:val="31657AA0"/>
    <w:rsid w:val="32D64C20"/>
    <w:rsid w:val="33532038"/>
    <w:rsid w:val="347B08F8"/>
    <w:rsid w:val="34DA17F1"/>
    <w:rsid w:val="34FA3BF3"/>
    <w:rsid w:val="375E1D37"/>
    <w:rsid w:val="38F21F6F"/>
    <w:rsid w:val="3B516536"/>
    <w:rsid w:val="3B9D352A"/>
    <w:rsid w:val="3CE35757"/>
    <w:rsid w:val="3D597684"/>
    <w:rsid w:val="3F1B15F8"/>
    <w:rsid w:val="403B6008"/>
    <w:rsid w:val="41022098"/>
    <w:rsid w:val="411165A6"/>
    <w:rsid w:val="42473F4C"/>
    <w:rsid w:val="42483595"/>
    <w:rsid w:val="42643E6B"/>
    <w:rsid w:val="43257675"/>
    <w:rsid w:val="43F1283B"/>
    <w:rsid w:val="4618037D"/>
    <w:rsid w:val="47596E59"/>
    <w:rsid w:val="4940591B"/>
    <w:rsid w:val="4B763CB4"/>
    <w:rsid w:val="4BDA5F6E"/>
    <w:rsid w:val="4E046A6B"/>
    <w:rsid w:val="4E364ADF"/>
    <w:rsid w:val="4E533ECF"/>
    <w:rsid w:val="555511EC"/>
    <w:rsid w:val="57CF0F2F"/>
    <w:rsid w:val="57D909D8"/>
    <w:rsid w:val="58011813"/>
    <w:rsid w:val="5BE87156"/>
    <w:rsid w:val="5C21094C"/>
    <w:rsid w:val="5C40713A"/>
    <w:rsid w:val="5C78139B"/>
    <w:rsid w:val="5DF42396"/>
    <w:rsid w:val="5EAC26F9"/>
    <w:rsid w:val="5EBC6D89"/>
    <w:rsid w:val="5F2570EC"/>
    <w:rsid w:val="5F3F7F5A"/>
    <w:rsid w:val="60141CF3"/>
    <w:rsid w:val="613A51F3"/>
    <w:rsid w:val="62613510"/>
    <w:rsid w:val="62B222E6"/>
    <w:rsid w:val="63B371FD"/>
    <w:rsid w:val="654239F4"/>
    <w:rsid w:val="67642B31"/>
    <w:rsid w:val="6C0B5762"/>
    <w:rsid w:val="6DA85831"/>
    <w:rsid w:val="6E076630"/>
    <w:rsid w:val="6EB4704A"/>
    <w:rsid w:val="6EED5F9B"/>
    <w:rsid w:val="6F941007"/>
    <w:rsid w:val="7161057A"/>
    <w:rsid w:val="729262A3"/>
    <w:rsid w:val="73A15584"/>
    <w:rsid w:val="75E431EE"/>
    <w:rsid w:val="76C703DE"/>
    <w:rsid w:val="770E00DF"/>
    <w:rsid w:val="778231B5"/>
    <w:rsid w:val="7F5D4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4">
    <w:name w:val="heading 1"/>
    <w:basedOn w:val="1"/>
    <w:next w:val="1"/>
    <w:link w:val="253"/>
    <w:qFormat/>
    <w:uiPriority w:val="0"/>
    <w:pPr>
      <w:keepNext/>
      <w:keepLines/>
      <w:spacing w:line="578" w:lineRule="auto"/>
      <w:jc w:val="center"/>
      <w:outlineLvl w:val="0"/>
    </w:pPr>
    <w:rPr>
      <w:rFonts w:eastAsia="新宋体"/>
      <w:b/>
      <w:bCs/>
      <w:sz w:val="30"/>
      <w:szCs w:val="44"/>
    </w:rPr>
  </w:style>
  <w:style w:type="paragraph" w:styleId="5">
    <w:name w:val="heading 2"/>
    <w:basedOn w:val="1"/>
    <w:next w:val="1"/>
    <w:link w:val="25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52"/>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115"/>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116"/>
    <w:unhideWhenUsed/>
    <w:qFormat/>
    <w:uiPriority w:val="9"/>
    <w:pPr>
      <w:keepNext/>
      <w:keepLines/>
      <w:spacing w:before="320" w:after="200"/>
      <w:outlineLvl w:val="4"/>
    </w:pPr>
    <w:rPr>
      <w:rFonts w:ascii="Arial" w:hAnsi="Arial" w:eastAsia="Arial" w:cs="Arial"/>
      <w:b/>
      <w:bCs/>
      <w:sz w:val="24"/>
    </w:rPr>
  </w:style>
  <w:style w:type="paragraph" w:styleId="9">
    <w:name w:val="heading 6"/>
    <w:basedOn w:val="1"/>
    <w:next w:val="1"/>
    <w:link w:val="117"/>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118"/>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119"/>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120"/>
    <w:unhideWhenUsed/>
    <w:qFormat/>
    <w:uiPriority w:val="9"/>
    <w:pPr>
      <w:keepNext/>
      <w:keepLines/>
      <w:spacing w:before="320" w:after="200"/>
      <w:outlineLvl w:val="8"/>
    </w:pPr>
    <w:rPr>
      <w:rFonts w:ascii="Arial" w:hAnsi="Arial" w:eastAsia="Arial" w:cs="Arial"/>
      <w:i/>
      <w:iCs/>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rPr>
      <w:rFonts w:ascii="Calibri" w:hAnsi="Calibri"/>
    </w:rPr>
  </w:style>
  <w:style w:type="paragraph" w:styleId="3">
    <w:name w:val="envelope return"/>
    <w:basedOn w:val="1"/>
    <w:qFormat/>
    <w:uiPriority w:val="0"/>
    <w:rPr>
      <w:rFonts w:ascii="Arial" w:hAnsi="Arial"/>
    </w:rPr>
  </w:style>
  <w:style w:type="paragraph" w:styleId="13">
    <w:name w:val="toc 7"/>
    <w:basedOn w:val="1"/>
    <w:next w:val="1"/>
    <w:unhideWhenUsed/>
    <w:qFormat/>
    <w:uiPriority w:val="39"/>
    <w:pPr>
      <w:spacing w:after="57"/>
      <w:ind w:left="1701"/>
    </w:pPr>
  </w:style>
  <w:style w:type="paragraph" w:styleId="14">
    <w:name w:val="Normal Indent"/>
    <w:basedOn w:val="1"/>
    <w:qFormat/>
    <w:uiPriority w:val="0"/>
    <w:pPr>
      <w:ind w:firstLine="420"/>
    </w:pPr>
  </w:style>
  <w:style w:type="paragraph" w:styleId="1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index 5"/>
    <w:basedOn w:val="1"/>
    <w:next w:val="1"/>
    <w:qFormat/>
    <w:uiPriority w:val="0"/>
    <w:pPr>
      <w:ind w:left="798"/>
      <w:jc w:val="left"/>
    </w:pPr>
    <w:rPr>
      <w:rFonts w:ascii="Calibri" w:hAnsi="Calibri"/>
    </w:rPr>
  </w:style>
  <w:style w:type="paragraph" w:styleId="17">
    <w:name w:val="annotation text"/>
    <w:basedOn w:val="1"/>
    <w:link w:val="249"/>
    <w:unhideWhenUsed/>
    <w:qFormat/>
    <w:uiPriority w:val="0"/>
    <w:pPr>
      <w:jc w:val="left"/>
    </w:pPr>
  </w:style>
  <w:style w:type="paragraph" w:styleId="18">
    <w:name w:val="Body Text"/>
    <w:basedOn w:val="1"/>
    <w:next w:val="1"/>
    <w:link w:val="255"/>
    <w:qFormat/>
    <w:uiPriority w:val="99"/>
    <w:pPr>
      <w:spacing w:after="120"/>
    </w:pPr>
    <w:rPr>
      <w:rFonts w:ascii="Calibri" w:hAnsi="Calibri"/>
    </w:rPr>
  </w:style>
  <w:style w:type="paragraph" w:styleId="19">
    <w:name w:val="Block Text"/>
    <w:basedOn w:val="1"/>
    <w:unhideWhenUsed/>
    <w:qFormat/>
    <w:uiPriority w:val="0"/>
    <w:pPr>
      <w:spacing w:after="120"/>
      <w:ind w:left="1440" w:right="1440"/>
    </w:pPr>
  </w:style>
  <w:style w:type="paragraph" w:styleId="20">
    <w:name w:val="toc 5"/>
    <w:basedOn w:val="1"/>
    <w:next w:val="1"/>
    <w:unhideWhenUsed/>
    <w:qFormat/>
    <w:uiPriority w:val="39"/>
    <w:pPr>
      <w:spacing w:after="57"/>
      <w:ind w:left="1134"/>
    </w:pPr>
  </w:style>
  <w:style w:type="paragraph" w:styleId="21">
    <w:name w:val="toc 3"/>
    <w:basedOn w:val="1"/>
    <w:next w:val="1"/>
    <w:unhideWhenUsed/>
    <w:qFormat/>
    <w:uiPriority w:val="39"/>
    <w:pPr>
      <w:spacing w:after="57"/>
      <w:ind w:left="567"/>
    </w:pPr>
  </w:style>
  <w:style w:type="paragraph" w:styleId="22">
    <w:name w:val="Plain Text"/>
    <w:basedOn w:val="1"/>
    <w:qFormat/>
    <w:uiPriority w:val="0"/>
    <w:rPr>
      <w:rFonts w:ascii="宋体" w:hAnsi="Courier New"/>
      <w:sz w:val="20"/>
      <w:szCs w:val="20"/>
    </w:rPr>
  </w:style>
  <w:style w:type="paragraph" w:styleId="23">
    <w:name w:val="toc 8"/>
    <w:basedOn w:val="1"/>
    <w:next w:val="1"/>
    <w:unhideWhenUsed/>
    <w:qFormat/>
    <w:uiPriority w:val="39"/>
    <w:pPr>
      <w:spacing w:after="57"/>
      <w:ind w:left="1984"/>
    </w:pPr>
  </w:style>
  <w:style w:type="paragraph" w:styleId="24">
    <w:name w:val="Date"/>
    <w:basedOn w:val="1"/>
    <w:next w:val="1"/>
    <w:qFormat/>
    <w:uiPriority w:val="0"/>
    <w:rPr>
      <w:rFonts w:eastAsia="仿宋_GB2312"/>
      <w:sz w:val="28"/>
      <w:szCs w:val="20"/>
    </w:rPr>
  </w:style>
  <w:style w:type="paragraph" w:styleId="25">
    <w:name w:val="endnote text"/>
    <w:basedOn w:val="1"/>
    <w:link w:val="238"/>
    <w:semiHidden/>
    <w:unhideWhenUsed/>
    <w:qFormat/>
    <w:uiPriority w:val="99"/>
    <w:rPr>
      <w:sz w:val="20"/>
    </w:rPr>
  </w:style>
  <w:style w:type="paragraph" w:styleId="26">
    <w:name w:val="Balloon Text"/>
    <w:basedOn w:val="1"/>
    <w:link w:val="242"/>
    <w:qFormat/>
    <w:uiPriority w:val="0"/>
    <w:rPr>
      <w:sz w:val="18"/>
      <w:szCs w:val="18"/>
    </w:rPr>
  </w:style>
  <w:style w:type="paragraph" w:styleId="27">
    <w:name w:val="footer"/>
    <w:basedOn w:val="1"/>
    <w:link w:val="244"/>
    <w:qFormat/>
    <w:uiPriority w:val="99"/>
    <w:pPr>
      <w:tabs>
        <w:tab w:val="center" w:pos="4153"/>
        <w:tab w:val="right" w:pos="8306"/>
      </w:tabs>
      <w:jc w:val="left"/>
    </w:pPr>
    <w:rPr>
      <w:sz w:val="18"/>
      <w:szCs w:val="18"/>
    </w:rPr>
  </w:style>
  <w:style w:type="paragraph" w:styleId="28">
    <w:name w:val="header"/>
    <w:basedOn w:val="1"/>
    <w:link w:val="254"/>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style>
  <w:style w:type="paragraph" w:styleId="30">
    <w:name w:val="toc 4"/>
    <w:basedOn w:val="1"/>
    <w:next w:val="1"/>
    <w:unhideWhenUsed/>
    <w:qFormat/>
    <w:uiPriority w:val="39"/>
    <w:pPr>
      <w:spacing w:after="57"/>
      <w:ind w:left="850"/>
    </w:pPr>
  </w:style>
  <w:style w:type="paragraph" w:styleId="31">
    <w:name w:val="Subtitle"/>
    <w:basedOn w:val="1"/>
    <w:next w:val="1"/>
    <w:link w:val="123"/>
    <w:qFormat/>
    <w:uiPriority w:val="11"/>
    <w:pPr>
      <w:spacing w:before="200" w:after="200"/>
    </w:pPr>
    <w:rPr>
      <w:sz w:val="24"/>
    </w:rPr>
  </w:style>
  <w:style w:type="paragraph" w:styleId="32">
    <w:name w:val="footnote text"/>
    <w:basedOn w:val="1"/>
    <w:next w:val="16"/>
    <w:qFormat/>
    <w:uiPriority w:val="0"/>
    <w:pPr>
      <w:jc w:val="left"/>
    </w:pPr>
    <w:rPr>
      <w:rFonts w:ascii="宋体" w:eastAsia="Times New Roman"/>
      <w:sz w:val="18"/>
      <w:szCs w:val="18"/>
    </w:rPr>
  </w:style>
  <w:style w:type="paragraph" w:styleId="33">
    <w:name w:val="toc 6"/>
    <w:basedOn w:val="1"/>
    <w:next w:val="1"/>
    <w:unhideWhenUsed/>
    <w:qFormat/>
    <w:uiPriority w:val="39"/>
    <w:pPr>
      <w:spacing w:after="57"/>
      <w:ind w:left="1417"/>
    </w:pPr>
  </w:style>
  <w:style w:type="paragraph" w:styleId="34">
    <w:name w:val="table of figures"/>
    <w:basedOn w:val="1"/>
    <w:next w:val="1"/>
    <w:unhideWhenUsed/>
    <w:qFormat/>
    <w:uiPriority w:val="99"/>
  </w:style>
  <w:style w:type="paragraph" w:styleId="35">
    <w:name w:val="toc 2"/>
    <w:basedOn w:val="1"/>
    <w:next w:val="1"/>
    <w:unhideWhenUsed/>
    <w:qFormat/>
    <w:uiPriority w:val="39"/>
    <w:pPr>
      <w:spacing w:after="57"/>
      <w:ind w:left="283"/>
    </w:pPr>
  </w:style>
  <w:style w:type="paragraph" w:styleId="36">
    <w:name w:val="toc 9"/>
    <w:basedOn w:val="1"/>
    <w:next w:val="1"/>
    <w:unhideWhenUsed/>
    <w:qFormat/>
    <w:uiPriority w:val="39"/>
    <w:pPr>
      <w:spacing w:after="57"/>
      <w:ind w:left="2268"/>
    </w:pPr>
  </w:style>
  <w:style w:type="paragraph" w:styleId="37">
    <w:name w:val="Normal (Web)"/>
    <w:basedOn w:val="1"/>
    <w:qFormat/>
    <w:uiPriority w:val="99"/>
    <w:pPr>
      <w:widowControl/>
      <w:spacing w:before="100" w:beforeAutospacing="1" w:after="100" w:afterAutospacing="1"/>
      <w:jc w:val="left"/>
    </w:pPr>
    <w:rPr>
      <w:rFonts w:ascii="宋体" w:hAnsi="宋体" w:cs="宋体"/>
      <w:sz w:val="24"/>
    </w:rPr>
  </w:style>
  <w:style w:type="paragraph" w:styleId="38">
    <w:name w:val="Title"/>
    <w:basedOn w:val="1"/>
    <w:next w:val="1"/>
    <w:link w:val="122"/>
    <w:qFormat/>
    <w:uiPriority w:val="10"/>
    <w:pPr>
      <w:spacing w:before="300" w:after="200"/>
      <w:contextualSpacing/>
    </w:pPr>
    <w:rPr>
      <w:sz w:val="48"/>
      <w:szCs w:val="48"/>
    </w:rPr>
  </w:style>
  <w:style w:type="paragraph" w:styleId="39">
    <w:name w:val="annotation subject"/>
    <w:basedOn w:val="17"/>
    <w:next w:val="17"/>
    <w:link w:val="250"/>
    <w:semiHidden/>
    <w:unhideWhenUsed/>
    <w:qFormat/>
    <w:uiPriority w:val="0"/>
    <w:rPr>
      <w:b/>
      <w:bCs/>
    </w:rPr>
  </w:style>
  <w:style w:type="paragraph" w:styleId="40">
    <w:name w:val="Body Text First Indent"/>
    <w:basedOn w:val="18"/>
    <w:next w:val="1"/>
    <w:qFormat/>
    <w:uiPriority w:val="0"/>
    <w:pPr>
      <w:ind w:firstLine="420"/>
    </w:pPr>
  </w:style>
  <w:style w:type="paragraph" w:styleId="41">
    <w:name w:val="Body Text First Indent 2"/>
    <w:basedOn w:val="2"/>
    <w:qFormat/>
    <w:uiPriority w:val="0"/>
    <w:pPr>
      <w:spacing w:line="360" w:lineRule="auto"/>
      <w:ind w:firstLine="420"/>
    </w:pPr>
    <w:rPr>
      <w:color w:val="000000"/>
      <w:sz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endnote reference"/>
    <w:basedOn w:val="44"/>
    <w:semiHidden/>
    <w:unhideWhenUsed/>
    <w:qFormat/>
    <w:uiPriority w:val="99"/>
    <w:rPr>
      <w:vertAlign w:val="superscript"/>
    </w:rPr>
  </w:style>
  <w:style w:type="character" w:styleId="46">
    <w:name w:val="page number"/>
    <w:basedOn w:val="44"/>
    <w:qFormat/>
    <w:uiPriority w:val="0"/>
  </w:style>
  <w:style w:type="character" w:styleId="47">
    <w:name w:val="Hyperlink"/>
    <w:basedOn w:val="44"/>
    <w:unhideWhenUsed/>
    <w:qFormat/>
    <w:uiPriority w:val="99"/>
    <w:rPr>
      <w:color w:val="0000FF"/>
      <w:u w:val="single"/>
    </w:rPr>
  </w:style>
  <w:style w:type="character" w:styleId="48">
    <w:name w:val="annotation reference"/>
    <w:basedOn w:val="44"/>
    <w:semiHidden/>
    <w:unhideWhenUsed/>
    <w:qFormat/>
    <w:uiPriority w:val="0"/>
    <w:rPr>
      <w:sz w:val="21"/>
      <w:szCs w:val="21"/>
    </w:rPr>
  </w:style>
  <w:style w:type="character" w:styleId="49">
    <w:name w:val="footnote reference"/>
    <w:basedOn w:val="44"/>
    <w:unhideWhenUsed/>
    <w:qFormat/>
    <w:uiPriority w:val="99"/>
    <w:rPr>
      <w:vertAlign w:val="superscript"/>
    </w:rPr>
  </w:style>
  <w:style w:type="paragraph" w:customStyle="1" w:styleId="50">
    <w:name w:val="一级条标题"/>
    <w:basedOn w:val="51"/>
    <w:next w:val="5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52">
    <w:name w:val="段"/>
    <w:basedOn w:val="53"/>
    <w:next w:val="1"/>
    <w:qFormat/>
    <w:uiPriority w:val="0"/>
    <w:pPr>
      <w:widowControl/>
      <w:ind w:firstLine="200"/>
    </w:pPr>
    <w:rPr>
      <w:sz w:val="20"/>
    </w:rPr>
  </w:style>
  <w:style w:type="paragraph" w:customStyle="1" w:styleId="53">
    <w:name w:val="正文1"/>
    <w:basedOn w:val="1"/>
    <w:next w:val="54"/>
    <w:qFormat/>
    <w:uiPriority w:val="0"/>
    <w:pPr>
      <w:spacing w:line="360" w:lineRule="atLeast"/>
      <w:jc w:val="left"/>
    </w:pPr>
    <w:rPr>
      <w:rFonts w:ascii="宋体" w:hAnsiTheme="minorHAnsi" w:eastAsiaTheme="minorEastAsia" w:cstheme="minorBidi"/>
      <w:sz w:val="24"/>
      <w:szCs w:val="20"/>
    </w:rPr>
  </w:style>
  <w:style w:type="paragraph" w:customStyle="1" w:styleId="54">
    <w:name w:val="标题1"/>
    <w:basedOn w:val="53"/>
    <w:next w:val="53"/>
    <w:qFormat/>
    <w:uiPriority w:val="0"/>
    <w:pPr>
      <w:spacing w:before="300" w:after="200"/>
      <w:contextualSpacing/>
    </w:pPr>
    <w:rPr>
      <w:sz w:val="48"/>
      <w:szCs w:val="48"/>
    </w:rPr>
  </w:style>
  <w:style w:type="paragraph" w:customStyle="1" w:styleId="55">
    <w:name w:val="脚注文本1"/>
    <w:basedOn w:val="53"/>
    <w:next w:val="56"/>
    <w:qFormat/>
    <w:uiPriority w:val="0"/>
    <w:rPr>
      <w:rFonts w:eastAsia="Times New Roman"/>
      <w:sz w:val="18"/>
      <w:szCs w:val="18"/>
    </w:rPr>
  </w:style>
  <w:style w:type="paragraph" w:customStyle="1" w:styleId="56">
    <w:name w:val="索引 51"/>
    <w:basedOn w:val="53"/>
    <w:next w:val="53"/>
    <w:qFormat/>
    <w:uiPriority w:val="0"/>
    <w:pPr>
      <w:ind w:left="798"/>
    </w:pPr>
    <w:rPr>
      <w:rFonts w:ascii="Calibri" w:hAnsi="Calibri"/>
    </w:rPr>
  </w:style>
  <w:style w:type="table" w:customStyle="1" w:styleId="57">
    <w:name w:val="Plain Table 1"/>
    <w:basedOn w:val="4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4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4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4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4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4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2"/>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Grid Table 3"/>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4"/>
    <w:basedOn w:val="4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5 Dark"/>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7">
    <w:name w:val="Grid Table 6 Colorful"/>
    <w:basedOn w:val="4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8">
    <w:name w:val="Grid Table 7 Colorful"/>
    <w:basedOn w:val="4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List Table 1 Light"/>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0">
    <w:name w:val="List Table 2"/>
    <w:basedOn w:val="4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1">
    <w:name w:val="List Table 3"/>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2">
    <w:name w:val="List Table 4"/>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3">
    <w:name w:val="List Table 5 Dark"/>
    <w:basedOn w:val="4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4">
    <w:name w:val="List Table 6 Colorful"/>
    <w:basedOn w:val="4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5">
    <w:name w:val="List Table 7 Colorful"/>
    <w:basedOn w:val="42"/>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6">
    <w:name w:val="TOC 标题1"/>
    <w:unhideWhenUsed/>
    <w:qFormat/>
    <w:uiPriority w:val="39"/>
    <w:rPr>
      <w:rFonts w:ascii="Times New Roman" w:hAnsi="Times New Roman" w:eastAsia="宋体" w:cs="Times New Roman"/>
      <w:lang w:val="en-US" w:eastAsia="zh-CN" w:bidi="ar-SA"/>
    </w:rPr>
  </w:style>
  <w:style w:type="character" w:customStyle="1" w:styleId="77">
    <w:name w:val="Heading 4 Char"/>
    <w:basedOn w:val="44"/>
    <w:qFormat/>
    <w:uiPriority w:val="9"/>
    <w:rPr>
      <w:rFonts w:ascii="Arial" w:hAnsi="Arial" w:eastAsia="Arial" w:cs="Arial"/>
      <w:b/>
      <w:bCs/>
      <w:sz w:val="26"/>
      <w:szCs w:val="26"/>
    </w:rPr>
  </w:style>
  <w:style w:type="character" w:customStyle="1" w:styleId="78">
    <w:name w:val="Heading 5 Char"/>
    <w:basedOn w:val="44"/>
    <w:qFormat/>
    <w:uiPriority w:val="9"/>
    <w:rPr>
      <w:rFonts w:ascii="Arial" w:hAnsi="Arial" w:eastAsia="Arial" w:cs="Arial"/>
      <w:b/>
      <w:bCs/>
      <w:sz w:val="24"/>
      <w:szCs w:val="24"/>
    </w:rPr>
  </w:style>
  <w:style w:type="character" w:customStyle="1" w:styleId="79">
    <w:name w:val="Heading 6 Char"/>
    <w:basedOn w:val="44"/>
    <w:qFormat/>
    <w:uiPriority w:val="9"/>
    <w:rPr>
      <w:rFonts w:ascii="Arial" w:hAnsi="Arial" w:eastAsia="Arial" w:cs="Arial"/>
      <w:b/>
      <w:bCs/>
      <w:sz w:val="22"/>
      <w:szCs w:val="22"/>
    </w:rPr>
  </w:style>
  <w:style w:type="character" w:customStyle="1" w:styleId="80">
    <w:name w:val="Heading 7 Char"/>
    <w:basedOn w:val="44"/>
    <w:qFormat/>
    <w:uiPriority w:val="9"/>
    <w:rPr>
      <w:rFonts w:ascii="Arial" w:hAnsi="Arial" w:eastAsia="Arial" w:cs="Arial"/>
      <w:b/>
      <w:bCs/>
      <w:i/>
      <w:iCs/>
      <w:sz w:val="22"/>
      <w:szCs w:val="22"/>
    </w:rPr>
  </w:style>
  <w:style w:type="character" w:customStyle="1" w:styleId="81">
    <w:name w:val="Heading 8 Char"/>
    <w:basedOn w:val="44"/>
    <w:qFormat/>
    <w:uiPriority w:val="9"/>
    <w:rPr>
      <w:rFonts w:ascii="Arial" w:hAnsi="Arial" w:eastAsia="Arial" w:cs="Arial"/>
      <w:i/>
      <w:iCs/>
      <w:sz w:val="22"/>
      <w:szCs w:val="22"/>
    </w:rPr>
  </w:style>
  <w:style w:type="character" w:customStyle="1" w:styleId="82">
    <w:name w:val="Heading 9 Char"/>
    <w:basedOn w:val="44"/>
    <w:qFormat/>
    <w:uiPriority w:val="9"/>
    <w:rPr>
      <w:rFonts w:ascii="Arial" w:hAnsi="Arial" w:eastAsia="Arial" w:cs="Arial"/>
      <w:i/>
      <w:iCs/>
      <w:sz w:val="21"/>
      <w:szCs w:val="21"/>
    </w:rPr>
  </w:style>
  <w:style w:type="character" w:customStyle="1" w:styleId="83">
    <w:name w:val="Title Char"/>
    <w:basedOn w:val="44"/>
    <w:qFormat/>
    <w:uiPriority w:val="10"/>
    <w:rPr>
      <w:sz w:val="48"/>
      <w:szCs w:val="48"/>
    </w:rPr>
  </w:style>
  <w:style w:type="character" w:customStyle="1" w:styleId="84">
    <w:name w:val="Subtitle Char"/>
    <w:basedOn w:val="44"/>
    <w:qFormat/>
    <w:uiPriority w:val="11"/>
    <w:rPr>
      <w:sz w:val="24"/>
      <w:szCs w:val="24"/>
    </w:rPr>
  </w:style>
  <w:style w:type="character" w:customStyle="1" w:styleId="85">
    <w:name w:val="Quote Char"/>
    <w:qFormat/>
    <w:uiPriority w:val="29"/>
    <w:rPr>
      <w:i/>
    </w:rPr>
  </w:style>
  <w:style w:type="character" w:customStyle="1" w:styleId="86">
    <w:name w:val="Intense Quote Char"/>
    <w:qFormat/>
    <w:uiPriority w:val="30"/>
    <w:rPr>
      <w:i/>
    </w:rPr>
  </w:style>
  <w:style w:type="table" w:customStyle="1" w:styleId="87">
    <w:name w:val="无格式表格 11"/>
    <w:basedOn w:val="4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8">
    <w:name w:val="无格式表格 21"/>
    <w:basedOn w:val="4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9">
    <w:name w:val="无格式表格 31"/>
    <w:basedOn w:val="4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0">
    <w:name w:val="无格式表格 41"/>
    <w:basedOn w:val="4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1">
    <w:name w:val="无格式表格 51"/>
    <w:basedOn w:val="4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2">
    <w:name w:val="网格表 1 浅色1"/>
    <w:basedOn w:val="4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3">
    <w:name w:val="网格表 21"/>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网格表 31"/>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网格表 41"/>
    <w:basedOn w:val="4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网格表 5 深色1"/>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网格表 6 彩色1"/>
    <w:basedOn w:val="4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网格表 7 彩色1"/>
    <w:basedOn w:val="4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清单表 1 浅色1"/>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0">
    <w:name w:val="清单表 21"/>
    <w:basedOn w:val="4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01">
    <w:name w:val="清单表 31"/>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02">
    <w:name w:val="清单表 41"/>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03">
    <w:name w:val="清单表 5 深色1"/>
    <w:basedOn w:val="4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04">
    <w:name w:val="清单表 6 彩色1"/>
    <w:basedOn w:val="4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05">
    <w:name w:val="清单表 7 彩色1"/>
    <w:basedOn w:val="42"/>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106">
    <w:name w:val="Endnote Text Char"/>
    <w:qFormat/>
    <w:uiPriority w:val="99"/>
    <w:rPr>
      <w:sz w:val="20"/>
    </w:rPr>
  </w:style>
  <w:style w:type="paragraph" w:customStyle="1" w:styleId="107">
    <w:name w:val="TOC 标题111"/>
    <w:unhideWhenUsed/>
    <w:qFormat/>
    <w:uiPriority w:val="39"/>
    <w:rPr>
      <w:rFonts w:ascii="Calibri" w:hAnsi="Calibri" w:eastAsia="宋体" w:cs="Times New Roman"/>
      <w:lang w:val="en-US" w:eastAsia="zh-CN" w:bidi="ar-SA"/>
    </w:rPr>
  </w:style>
  <w:style w:type="paragraph" w:customStyle="1" w:styleId="108">
    <w:name w:val="正文文本1"/>
    <w:basedOn w:val="109"/>
    <w:next w:val="50"/>
    <w:qFormat/>
    <w:uiPriority w:val="0"/>
    <w:pPr>
      <w:spacing w:after="120"/>
    </w:pPr>
    <w:rPr>
      <w:lang w:eastAsia="en-US"/>
    </w:rPr>
  </w:style>
  <w:style w:type="paragraph" w:customStyle="1" w:styleId="109">
    <w:name w:val="正文11"/>
    <w:next w:val="110"/>
    <w:link w:val="27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0">
    <w:name w:val="目录 11"/>
    <w:basedOn w:val="109"/>
    <w:next w:val="109"/>
    <w:qFormat/>
    <w:uiPriority w:val="0"/>
    <w:pPr>
      <w:spacing w:before="120" w:after="120"/>
      <w:jc w:val="left"/>
    </w:pPr>
    <w:rPr>
      <w:rFonts w:ascii="Calibri" w:hAnsi="Calibri" w:eastAsia="Arial"/>
      <w:b/>
      <w:bCs/>
      <w:caps/>
      <w:sz w:val="20"/>
      <w:szCs w:val="20"/>
    </w:rPr>
  </w:style>
  <w:style w:type="character" w:customStyle="1" w:styleId="111">
    <w:name w:val="Heading 1 Char"/>
    <w:basedOn w:val="44"/>
    <w:link w:val="112"/>
    <w:qFormat/>
    <w:uiPriority w:val="9"/>
    <w:rPr>
      <w:rFonts w:ascii="Arial" w:hAnsi="Arial" w:eastAsia="Arial" w:cs="Arial"/>
      <w:sz w:val="40"/>
      <w:szCs w:val="40"/>
    </w:rPr>
  </w:style>
  <w:style w:type="paragraph" w:customStyle="1" w:styleId="112">
    <w:name w:val="Heading 1"/>
    <w:link w:val="111"/>
    <w:qFormat/>
    <w:uiPriority w:val="9"/>
    <w:pPr>
      <w:keepNext/>
      <w:keepLines/>
      <w:spacing w:before="480" w:after="200"/>
      <w:outlineLvl w:val="0"/>
    </w:pPr>
    <w:rPr>
      <w:rFonts w:ascii="Arial" w:hAnsi="Arial" w:eastAsia="Arial" w:cs="Arial"/>
      <w:sz w:val="40"/>
      <w:szCs w:val="40"/>
      <w:lang w:val="en-US" w:eastAsia="zh-CN" w:bidi="ar-SA"/>
    </w:rPr>
  </w:style>
  <w:style w:type="character" w:customStyle="1" w:styleId="113">
    <w:name w:val="Heading 2 Char"/>
    <w:basedOn w:val="44"/>
    <w:qFormat/>
    <w:uiPriority w:val="9"/>
    <w:rPr>
      <w:rFonts w:ascii="Arial" w:hAnsi="Arial" w:eastAsia="Arial" w:cs="Arial"/>
      <w:sz w:val="34"/>
    </w:rPr>
  </w:style>
  <w:style w:type="character" w:customStyle="1" w:styleId="114">
    <w:name w:val="Heading 3 Char"/>
    <w:basedOn w:val="44"/>
    <w:qFormat/>
    <w:uiPriority w:val="9"/>
    <w:rPr>
      <w:rFonts w:ascii="Arial" w:hAnsi="Arial" w:eastAsia="Arial" w:cs="Arial"/>
      <w:sz w:val="30"/>
      <w:szCs w:val="30"/>
    </w:rPr>
  </w:style>
  <w:style w:type="character" w:customStyle="1" w:styleId="115">
    <w:name w:val="标题 4 Char"/>
    <w:basedOn w:val="44"/>
    <w:link w:val="7"/>
    <w:qFormat/>
    <w:uiPriority w:val="9"/>
    <w:rPr>
      <w:rFonts w:ascii="Arial" w:hAnsi="Arial" w:eastAsia="Arial" w:cs="Arial"/>
      <w:b/>
      <w:bCs/>
      <w:sz w:val="26"/>
      <w:szCs w:val="26"/>
    </w:rPr>
  </w:style>
  <w:style w:type="character" w:customStyle="1" w:styleId="116">
    <w:name w:val="标题 5 Char"/>
    <w:basedOn w:val="44"/>
    <w:link w:val="8"/>
    <w:qFormat/>
    <w:uiPriority w:val="9"/>
    <w:rPr>
      <w:rFonts w:ascii="Arial" w:hAnsi="Arial" w:eastAsia="Arial" w:cs="Arial"/>
      <w:b/>
      <w:bCs/>
      <w:sz w:val="24"/>
      <w:szCs w:val="24"/>
    </w:rPr>
  </w:style>
  <w:style w:type="character" w:customStyle="1" w:styleId="117">
    <w:name w:val="标题 6 Char"/>
    <w:basedOn w:val="44"/>
    <w:link w:val="9"/>
    <w:qFormat/>
    <w:uiPriority w:val="9"/>
    <w:rPr>
      <w:rFonts w:ascii="Arial" w:hAnsi="Arial" w:eastAsia="Arial" w:cs="Arial"/>
      <w:b/>
      <w:bCs/>
      <w:sz w:val="22"/>
      <w:szCs w:val="22"/>
    </w:rPr>
  </w:style>
  <w:style w:type="character" w:customStyle="1" w:styleId="118">
    <w:name w:val="标题 7 Char"/>
    <w:basedOn w:val="44"/>
    <w:link w:val="10"/>
    <w:qFormat/>
    <w:uiPriority w:val="9"/>
    <w:rPr>
      <w:rFonts w:ascii="Arial" w:hAnsi="Arial" w:eastAsia="Arial" w:cs="Arial"/>
      <w:b/>
      <w:bCs/>
      <w:i/>
      <w:iCs/>
      <w:sz w:val="22"/>
      <w:szCs w:val="22"/>
    </w:rPr>
  </w:style>
  <w:style w:type="character" w:customStyle="1" w:styleId="119">
    <w:name w:val="标题 8 Char"/>
    <w:basedOn w:val="44"/>
    <w:link w:val="11"/>
    <w:qFormat/>
    <w:uiPriority w:val="9"/>
    <w:rPr>
      <w:rFonts w:ascii="Arial" w:hAnsi="Arial" w:eastAsia="Arial" w:cs="Arial"/>
      <w:i/>
      <w:iCs/>
      <w:sz w:val="22"/>
      <w:szCs w:val="22"/>
    </w:rPr>
  </w:style>
  <w:style w:type="character" w:customStyle="1" w:styleId="120">
    <w:name w:val="标题 9 Char"/>
    <w:basedOn w:val="44"/>
    <w:link w:val="12"/>
    <w:qFormat/>
    <w:uiPriority w:val="9"/>
    <w:rPr>
      <w:rFonts w:ascii="Arial" w:hAnsi="Arial" w:eastAsia="Arial" w:cs="Arial"/>
      <w:i/>
      <w:iCs/>
      <w:sz w:val="21"/>
      <w:szCs w:val="21"/>
    </w:rPr>
  </w:style>
  <w:style w:type="paragraph" w:styleId="121">
    <w:name w:val="No Spacing"/>
    <w:qFormat/>
    <w:uiPriority w:val="1"/>
    <w:rPr>
      <w:rFonts w:ascii="Times New Roman" w:hAnsi="Times New Roman" w:eastAsia="宋体" w:cs="Times New Roman"/>
      <w:lang w:val="en-US" w:eastAsia="zh-CN" w:bidi="ar-SA"/>
    </w:rPr>
  </w:style>
  <w:style w:type="character" w:customStyle="1" w:styleId="122">
    <w:name w:val="标题 Char"/>
    <w:basedOn w:val="44"/>
    <w:link w:val="38"/>
    <w:qFormat/>
    <w:uiPriority w:val="10"/>
    <w:rPr>
      <w:sz w:val="48"/>
      <w:szCs w:val="48"/>
    </w:rPr>
  </w:style>
  <w:style w:type="character" w:customStyle="1" w:styleId="123">
    <w:name w:val="副标题 Char"/>
    <w:basedOn w:val="44"/>
    <w:link w:val="31"/>
    <w:qFormat/>
    <w:uiPriority w:val="11"/>
    <w:rPr>
      <w:sz w:val="24"/>
      <w:szCs w:val="24"/>
    </w:rPr>
  </w:style>
  <w:style w:type="paragraph" w:styleId="124">
    <w:name w:val="Quote"/>
    <w:basedOn w:val="1"/>
    <w:next w:val="1"/>
    <w:link w:val="125"/>
    <w:qFormat/>
    <w:uiPriority w:val="29"/>
    <w:pPr>
      <w:ind w:left="720" w:right="720"/>
    </w:pPr>
    <w:rPr>
      <w:i/>
    </w:rPr>
  </w:style>
  <w:style w:type="character" w:customStyle="1" w:styleId="125">
    <w:name w:val="引用 Char"/>
    <w:link w:val="124"/>
    <w:qFormat/>
    <w:uiPriority w:val="29"/>
    <w:rPr>
      <w:i/>
    </w:rPr>
  </w:style>
  <w:style w:type="paragraph" w:styleId="126">
    <w:name w:val="Intense Quote"/>
    <w:basedOn w:val="1"/>
    <w:next w:val="1"/>
    <w:link w:val="12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7">
    <w:name w:val="明显引用 Char"/>
    <w:link w:val="126"/>
    <w:qFormat/>
    <w:uiPriority w:val="30"/>
    <w:rPr>
      <w:i/>
    </w:rPr>
  </w:style>
  <w:style w:type="character" w:customStyle="1" w:styleId="128">
    <w:name w:val="Header Char"/>
    <w:basedOn w:val="44"/>
    <w:qFormat/>
    <w:uiPriority w:val="99"/>
  </w:style>
  <w:style w:type="character" w:customStyle="1" w:styleId="129">
    <w:name w:val="Footer Char"/>
    <w:basedOn w:val="44"/>
    <w:qFormat/>
    <w:uiPriority w:val="99"/>
  </w:style>
  <w:style w:type="character" w:customStyle="1" w:styleId="130">
    <w:name w:val="Caption Char"/>
    <w:qFormat/>
    <w:uiPriority w:val="99"/>
  </w:style>
  <w:style w:type="table" w:customStyle="1" w:styleId="131">
    <w:name w:val="Table Grid Light"/>
    <w:basedOn w:val="4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
    <w:name w:val="Grid Table 1 Light - Accent 1"/>
    <w:basedOn w:val="4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33">
    <w:name w:val="Grid Table 1 Light - Accent 2"/>
    <w:basedOn w:val="4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34">
    <w:name w:val="Grid Table 1 Light - Accent 3"/>
    <w:basedOn w:val="4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35">
    <w:name w:val="Grid Table 1 Light - Accent 4"/>
    <w:basedOn w:val="4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36">
    <w:name w:val="Grid Table 1 Light - Accent 5"/>
    <w:basedOn w:val="4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37">
    <w:name w:val="Grid Table 1 Light - Accent 6"/>
    <w:basedOn w:val="4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38">
    <w:name w:val="Grid Table 2 - Accent 1"/>
    <w:basedOn w:val="4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39">
    <w:name w:val="Grid Table 2 - Accent 2"/>
    <w:basedOn w:val="4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0">
    <w:name w:val="Grid Table 2 - Accent 3"/>
    <w:basedOn w:val="4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1">
    <w:name w:val="Grid Table 2 - Accent 4"/>
    <w:basedOn w:val="4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2">
    <w:name w:val="Grid Table 2 - Accent 5"/>
    <w:basedOn w:val="42"/>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3">
    <w:name w:val="Grid Table 2 - Accent 6"/>
    <w:basedOn w:val="42"/>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4">
    <w:name w:val="Grid Table 3 - Accent 1"/>
    <w:basedOn w:val="4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45">
    <w:name w:val="Grid Table 3 - Accent 2"/>
    <w:basedOn w:val="4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6">
    <w:name w:val="Grid Table 3 - Accent 3"/>
    <w:basedOn w:val="4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7">
    <w:name w:val="Grid Table 3 - Accent 4"/>
    <w:basedOn w:val="4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8">
    <w:name w:val="Grid Table 3 - Accent 5"/>
    <w:basedOn w:val="42"/>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9">
    <w:name w:val="Grid Table 3 - Accent 6"/>
    <w:basedOn w:val="42"/>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0">
    <w:name w:val="Grid Table 4 - Accent 1"/>
    <w:basedOn w:val="4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51">
    <w:name w:val="Grid Table 4 - Accent 2"/>
    <w:basedOn w:val="4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2">
    <w:name w:val="Grid Table 4 - Accent 3"/>
    <w:basedOn w:val="4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3">
    <w:name w:val="Grid Table 4 - Accent 4"/>
    <w:basedOn w:val="4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54">
    <w:name w:val="Grid Table 4 - Accent 5"/>
    <w:basedOn w:val="4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55">
    <w:name w:val="Grid Table 4 - Accent 6"/>
    <w:basedOn w:val="4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6">
    <w:name w:val="Grid Table 5 Dark- Accent 1"/>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57">
    <w:name w:val="Grid Table 5 Dark - Accent 2"/>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58">
    <w:name w:val="Grid Table 5 Dark - Accent 3"/>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59">
    <w:name w:val="Grid Table 5 Dark- Accent 4"/>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60">
    <w:name w:val="Grid Table 5 Dark - Accent 5"/>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61">
    <w:name w:val="Grid Table 5 Dark - Accent 6"/>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62">
    <w:name w:val="Grid Table 6 Colorful - Accent 1"/>
    <w:basedOn w:val="4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63">
    <w:name w:val="Grid Table 6 Colorful - Accent 2"/>
    <w:basedOn w:val="4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4">
    <w:name w:val="Grid Table 6 Colorful - Accent 3"/>
    <w:basedOn w:val="4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65">
    <w:name w:val="Grid Table 6 Colorful - Accent 4"/>
    <w:basedOn w:val="4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6">
    <w:name w:val="Grid Table 6 Colorful - Accent 5"/>
    <w:basedOn w:val="4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67">
    <w:name w:val="Grid Table 6 Colorful - Accent 6"/>
    <w:basedOn w:val="4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68">
    <w:name w:val="Grid Table 7 Colorful - Accent 1"/>
    <w:basedOn w:val="4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69">
    <w:name w:val="Grid Table 7 Colorful - Accent 2"/>
    <w:basedOn w:val="4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0">
    <w:name w:val="Grid Table 7 Colorful - Accent 3"/>
    <w:basedOn w:val="4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71">
    <w:name w:val="Grid Table 7 Colorful - Accent 4"/>
    <w:basedOn w:val="4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2">
    <w:name w:val="Grid Table 7 Colorful - Accent 5"/>
    <w:basedOn w:val="4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73">
    <w:name w:val="Grid Table 7 Colorful - Accent 6"/>
    <w:basedOn w:val="4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74">
    <w:name w:val="List Table 1 Light - Accent 1"/>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75">
    <w:name w:val="List Table 1 Light - Accent 2"/>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76">
    <w:name w:val="List Table 1 Light - Accent 3"/>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77">
    <w:name w:val="List Table 1 Light - Accent 4"/>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78">
    <w:name w:val="List Table 1 Light - Accent 5"/>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79">
    <w:name w:val="List Table 1 Light - Accent 6"/>
    <w:basedOn w:val="42"/>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80">
    <w:name w:val="List Table 2 - Accent 1"/>
    <w:basedOn w:val="4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81">
    <w:name w:val="List Table 2 - Accent 2"/>
    <w:basedOn w:val="4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2">
    <w:name w:val="List Table 2 - Accent 3"/>
    <w:basedOn w:val="4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3">
    <w:name w:val="List Table 2 - Accent 4"/>
    <w:basedOn w:val="4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4">
    <w:name w:val="List Table 2 - Accent 5"/>
    <w:basedOn w:val="4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5">
    <w:name w:val="List Table 2 - Accent 6"/>
    <w:basedOn w:val="4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6">
    <w:name w:val="List Table 3 - Accent 1"/>
    <w:basedOn w:val="4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87">
    <w:name w:val="List Table 3 - Accent 2"/>
    <w:basedOn w:val="4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88">
    <w:name w:val="List Table 3 - Accent 3"/>
    <w:basedOn w:val="4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89">
    <w:name w:val="List Table 3 - Accent 4"/>
    <w:basedOn w:val="4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90">
    <w:name w:val="List Table 3 - Accent 5"/>
    <w:basedOn w:val="4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91">
    <w:name w:val="List Table 3 - Accent 6"/>
    <w:basedOn w:val="4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92">
    <w:name w:val="List Table 4 - Accent 1"/>
    <w:basedOn w:val="4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93">
    <w:name w:val="List Table 4 - Accent 2"/>
    <w:basedOn w:val="4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94">
    <w:name w:val="List Table 4 - Accent 3"/>
    <w:basedOn w:val="4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95">
    <w:name w:val="List Table 4 - Accent 4"/>
    <w:basedOn w:val="4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96">
    <w:name w:val="List Table 4 - Accent 5"/>
    <w:basedOn w:val="4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97">
    <w:name w:val="List Table 4 - Accent 6"/>
    <w:basedOn w:val="4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98">
    <w:name w:val="List Table 5 Dark - Accent 1"/>
    <w:basedOn w:val="4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99">
    <w:name w:val="List Table 5 Dark - Accent 2"/>
    <w:basedOn w:val="4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00">
    <w:name w:val="List Table 5 Dark - Accent 3"/>
    <w:basedOn w:val="4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01">
    <w:name w:val="List Table 5 Dark - Accent 4"/>
    <w:basedOn w:val="4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02">
    <w:name w:val="List Table 5 Dark - Accent 5"/>
    <w:basedOn w:val="4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03">
    <w:name w:val="List Table 5 Dark - Accent 6"/>
    <w:basedOn w:val="4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04">
    <w:name w:val="List Table 6 Colorful - Accent 1"/>
    <w:basedOn w:val="42"/>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5">
    <w:name w:val="List Table 6 Colorful - Accent 2"/>
    <w:basedOn w:val="42"/>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6">
    <w:name w:val="List Table 6 Colorful - Accent 3"/>
    <w:basedOn w:val="42"/>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7">
    <w:name w:val="List Table 6 Colorful - Accent 4"/>
    <w:basedOn w:val="42"/>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8">
    <w:name w:val="List Table 6 Colorful - Accent 5"/>
    <w:basedOn w:val="42"/>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9">
    <w:name w:val="List Table 6 Colorful - Accent 6"/>
    <w:basedOn w:val="42"/>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0">
    <w:name w:val="List Table 7 Colorful - Accent 1"/>
    <w:basedOn w:val="42"/>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11">
    <w:name w:val="List Table 7 Colorful - Accent 2"/>
    <w:basedOn w:val="42"/>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2">
    <w:name w:val="List Table 7 Colorful - Accent 3"/>
    <w:basedOn w:val="42"/>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13">
    <w:name w:val="List Table 7 Colorful - Accent 4"/>
    <w:basedOn w:val="42"/>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4">
    <w:name w:val="List Table 7 Colorful - Accent 5"/>
    <w:basedOn w:val="42"/>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15">
    <w:name w:val="List Table 7 Colorful - Accent 6"/>
    <w:basedOn w:val="42"/>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6">
    <w:name w:val="Lined - Accent"/>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7">
    <w:name w:val="Lined - Accent 1"/>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8">
    <w:name w:val="Lined - Accent 2"/>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9">
    <w:name w:val="Lined - Accent 3"/>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20">
    <w:name w:val="Lined - Accent 4"/>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1">
    <w:name w:val="Lined - Accent 5"/>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22">
    <w:name w:val="Lined - Accent 6"/>
    <w:basedOn w:val="4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23">
    <w:name w:val="Bordered &amp; Lined - Accent"/>
    <w:basedOn w:val="4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4">
    <w:name w:val="Bordered &amp; Lined - Accent 1"/>
    <w:basedOn w:val="4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25">
    <w:name w:val="Bordered &amp; Lined - Accent 2"/>
    <w:basedOn w:val="4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26">
    <w:name w:val="Bordered &amp; Lined - Accent 3"/>
    <w:basedOn w:val="4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27">
    <w:name w:val="Bordered &amp; Lined - Accent 4"/>
    <w:basedOn w:val="4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8">
    <w:name w:val="Bordered &amp; Lined - Accent 5"/>
    <w:basedOn w:val="4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29">
    <w:name w:val="Bordered &amp; Lined - Accent 6"/>
    <w:basedOn w:val="4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30">
    <w:name w:val="Bordered"/>
    <w:basedOn w:val="4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31">
    <w:name w:val="Bordered - Accent 1"/>
    <w:basedOn w:val="4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32">
    <w:name w:val="Bordered - Accent 2"/>
    <w:basedOn w:val="4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33">
    <w:name w:val="Bordered - Accent 3"/>
    <w:basedOn w:val="4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34">
    <w:name w:val="Bordered - Accent 4"/>
    <w:basedOn w:val="4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35">
    <w:name w:val="Bordered - Accent 5"/>
    <w:basedOn w:val="4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36">
    <w:name w:val="Bordered - Accent 6"/>
    <w:basedOn w:val="4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37">
    <w:name w:val="Footnote Text Char"/>
    <w:qFormat/>
    <w:uiPriority w:val="99"/>
    <w:rPr>
      <w:sz w:val="18"/>
    </w:rPr>
  </w:style>
  <w:style w:type="character" w:customStyle="1" w:styleId="238">
    <w:name w:val="尾注文本 Char"/>
    <w:link w:val="25"/>
    <w:qFormat/>
    <w:uiPriority w:val="99"/>
    <w:rPr>
      <w:sz w:val="20"/>
    </w:rPr>
  </w:style>
  <w:style w:type="paragraph" w:customStyle="1" w:styleId="239">
    <w:name w:val="TOC 标题11"/>
    <w:unhideWhenUsed/>
    <w:qFormat/>
    <w:uiPriority w:val="39"/>
    <w:rPr>
      <w:rFonts w:ascii="Times New Roman" w:hAnsi="Times New Roman" w:eastAsia="宋体" w:cs="Times New Roman"/>
      <w:lang w:val="en-US" w:eastAsia="zh-CN" w:bidi="ar-SA"/>
    </w:rPr>
  </w:style>
  <w:style w:type="paragraph" w:customStyle="1" w:styleId="240">
    <w:name w:val="p0"/>
    <w:basedOn w:val="1"/>
    <w:qFormat/>
    <w:uiPriority w:val="0"/>
    <w:pPr>
      <w:widowControl/>
    </w:pPr>
    <w:rPr>
      <w:szCs w:val="21"/>
    </w:rPr>
  </w:style>
  <w:style w:type="paragraph" w:styleId="241">
    <w:name w:val="List Paragraph"/>
    <w:basedOn w:val="1"/>
    <w:qFormat/>
    <w:uiPriority w:val="1"/>
    <w:pPr>
      <w:ind w:firstLine="420"/>
    </w:pPr>
  </w:style>
  <w:style w:type="character" w:customStyle="1" w:styleId="242">
    <w:name w:val="批注框文本 Char"/>
    <w:basedOn w:val="44"/>
    <w:link w:val="26"/>
    <w:qFormat/>
    <w:uiPriority w:val="0"/>
    <w:rPr>
      <w:rFonts w:ascii="Times New Roman" w:hAnsi="Times New Roman" w:eastAsia="宋体" w:cs="Times New Roman"/>
      <w:sz w:val="18"/>
      <w:szCs w:val="18"/>
    </w:rPr>
  </w:style>
  <w:style w:type="paragraph" w:customStyle="1" w:styleId="243">
    <w:name w:val="Default"/>
    <w:qFormat/>
    <w:uiPriority w:val="0"/>
    <w:pPr>
      <w:widowControl w:val="0"/>
    </w:pPr>
    <w:rPr>
      <w:rFonts w:ascii="宋体" w:hAnsi="Times New Roman" w:eastAsia="宋体" w:cs="宋体"/>
      <w:color w:val="000000"/>
      <w:sz w:val="24"/>
      <w:szCs w:val="24"/>
      <w:lang w:val="en-US" w:eastAsia="zh-CN" w:bidi="ar-SA"/>
    </w:rPr>
  </w:style>
  <w:style w:type="character" w:customStyle="1" w:styleId="244">
    <w:name w:val="页脚 Char"/>
    <w:basedOn w:val="44"/>
    <w:link w:val="27"/>
    <w:qFormat/>
    <w:uiPriority w:val="99"/>
    <w:rPr>
      <w:rFonts w:ascii="Times New Roman" w:hAnsi="Times New Roman" w:eastAsia="宋体" w:cs="Times New Roman"/>
      <w:sz w:val="18"/>
      <w:szCs w:val="18"/>
    </w:rPr>
  </w:style>
  <w:style w:type="character" w:customStyle="1" w:styleId="245">
    <w:name w:val="NormalCharacter"/>
    <w:semiHidden/>
    <w:qFormat/>
    <w:uiPriority w:val="0"/>
    <w:rPr>
      <w:sz w:val="28"/>
      <w:lang w:val="en-US" w:eastAsia="zh-CN" w:bidi="ar-SA"/>
    </w:rPr>
  </w:style>
  <w:style w:type="paragraph" w:customStyle="1" w:styleId="246">
    <w:name w:val="179"/>
    <w:basedOn w:val="1"/>
    <w:qFormat/>
    <w:uiPriority w:val="0"/>
    <w:pPr>
      <w:widowControl/>
      <w:ind w:firstLine="420"/>
      <w:jc w:val="left"/>
    </w:pPr>
    <w:rPr>
      <w:rFonts w:ascii="宋体" w:hAnsi="宋体"/>
      <w:sz w:val="24"/>
    </w:rPr>
  </w:style>
  <w:style w:type="paragraph" w:customStyle="1" w:styleId="247">
    <w:name w:val="UserStyle_0"/>
    <w:qFormat/>
    <w:uiPriority w:val="0"/>
    <w:rPr>
      <w:rFonts w:ascii="Times New Roman" w:hAnsi="Times New Roman" w:eastAsia="宋体" w:cs="Times New Roman"/>
      <w:color w:val="000000"/>
      <w:sz w:val="24"/>
      <w:szCs w:val="24"/>
      <w:lang w:val="en-US" w:eastAsia="zh-CN" w:bidi="ar-SA"/>
    </w:rPr>
  </w:style>
  <w:style w:type="paragraph" w:customStyle="1" w:styleId="248">
    <w:name w:val="标准"/>
    <w:basedOn w:val="1"/>
    <w:qFormat/>
    <w:uiPriority w:val="0"/>
    <w:pPr>
      <w:spacing w:line="360" w:lineRule="auto"/>
      <w:ind w:firstLine="200"/>
    </w:pPr>
    <w:rPr>
      <w:rFonts w:cs="宋体"/>
      <w:sz w:val="20"/>
      <w:szCs w:val="20"/>
    </w:rPr>
  </w:style>
  <w:style w:type="character" w:customStyle="1" w:styleId="249">
    <w:name w:val="批注文字 Char"/>
    <w:basedOn w:val="44"/>
    <w:link w:val="17"/>
    <w:semiHidden/>
    <w:qFormat/>
    <w:uiPriority w:val="0"/>
    <w:rPr>
      <w:rFonts w:ascii="Times New Roman" w:hAnsi="Times New Roman" w:eastAsia="宋体" w:cs="Times New Roman"/>
      <w:sz w:val="21"/>
      <w:szCs w:val="24"/>
    </w:rPr>
  </w:style>
  <w:style w:type="character" w:customStyle="1" w:styleId="250">
    <w:name w:val="批注主题 Char"/>
    <w:basedOn w:val="249"/>
    <w:link w:val="39"/>
    <w:semiHidden/>
    <w:qFormat/>
    <w:uiPriority w:val="0"/>
    <w:rPr>
      <w:rFonts w:ascii="Times New Roman" w:hAnsi="Times New Roman" w:eastAsia="宋体" w:cs="Times New Roman"/>
      <w:b/>
      <w:bCs/>
      <w:sz w:val="21"/>
      <w:szCs w:val="24"/>
    </w:rPr>
  </w:style>
  <w:style w:type="character" w:customStyle="1" w:styleId="251">
    <w:name w:val="标题 2 Char"/>
    <w:basedOn w:val="44"/>
    <w:link w:val="5"/>
    <w:qFormat/>
    <w:uiPriority w:val="9"/>
    <w:rPr>
      <w:rFonts w:asciiTheme="majorHAnsi" w:hAnsiTheme="majorHAnsi" w:eastAsiaTheme="majorEastAsia" w:cstheme="majorBidi"/>
      <w:b/>
      <w:bCs/>
      <w:sz w:val="32"/>
      <w:szCs w:val="32"/>
    </w:rPr>
  </w:style>
  <w:style w:type="character" w:customStyle="1" w:styleId="252">
    <w:name w:val="标题 3 Char"/>
    <w:basedOn w:val="44"/>
    <w:link w:val="6"/>
    <w:qFormat/>
    <w:uiPriority w:val="9"/>
    <w:rPr>
      <w:rFonts w:ascii="Times New Roman" w:hAnsi="Times New Roman" w:eastAsia="宋体" w:cs="Times New Roman"/>
      <w:b/>
      <w:bCs/>
      <w:sz w:val="32"/>
      <w:szCs w:val="32"/>
    </w:rPr>
  </w:style>
  <w:style w:type="character" w:customStyle="1" w:styleId="253">
    <w:name w:val="标题 1 Char"/>
    <w:basedOn w:val="44"/>
    <w:link w:val="4"/>
    <w:qFormat/>
    <w:uiPriority w:val="0"/>
    <w:rPr>
      <w:rFonts w:ascii="Times New Roman" w:hAnsi="Times New Roman" w:eastAsia="新宋体" w:cs="Times New Roman"/>
      <w:b/>
      <w:bCs/>
      <w:sz w:val="30"/>
      <w:szCs w:val="44"/>
    </w:rPr>
  </w:style>
  <w:style w:type="character" w:customStyle="1" w:styleId="254">
    <w:name w:val="页眉 Char"/>
    <w:basedOn w:val="44"/>
    <w:link w:val="28"/>
    <w:qFormat/>
    <w:uiPriority w:val="99"/>
    <w:rPr>
      <w:rFonts w:ascii="Times New Roman" w:hAnsi="Times New Roman" w:eastAsia="宋体" w:cs="Times New Roman"/>
      <w:sz w:val="18"/>
      <w:szCs w:val="18"/>
    </w:rPr>
  </w:style>
  <w:style w:type="character" w:customStyle="1" w:styleId="255">
    <w:name w:val="正文文本 Char"/>
    <w:basedOn w:val="44"/>
    <w:link w:val="18"/>
    <w:qFormat/>
    <w:uiPriority w:val="99"/>
    <w:rPr>
      <w:rFonts w:ascii="Calibri" w:hAnsi="Calibri" w:eastAsia="宋体" w:cs="Times New Roman"/>
      <w:sz w:val="21"/>
      <w:szCs w:val="24"/>
    </w:rPr>
  </w:style>
  <w:style w:type="paragraph" w:customStyle="1" w:styleId="256">
    <w:name w:val="_Style 11"/>
    <w:basedOn w:val="1"/>
    <w:next w:val="241"/>
    <w:qFormat/>
    <w:uiPriority w:val="34"/>
    <w:pPr>
      <w:ind w:firstLine="420"/>
    </w:pPr>
    <w:rPr>
      <w:color w:val="000000"/>
      <w:szCs w:val="21"/>
    </w:rPr>
  </w:style>
  <w:style w:type="paragraph" w:customStyle="1" w:styleId="257">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58">
    <w:name w:val="BodyText1I2"/>
    <w:basedOn w:val="1"/>
    <w:qFormat/>
    <w:uiPriority w:val="0"/>
    <w:pPr>
      <w:widowControl/>
      <w:spacing w:line="360" w:lineRule="auto"/>
      <w:ind w:firstLine="420"/>
    </w:pPr>
    <w:rPr>
      <w:rFonts w:ascii="宋体" w:hAnsi="宋体" w:cstheme="minorBidi"/>
      <w:sz w:val="20"/>
      <w:szCs w:val="20"/>
    </w:rPr>
  </w:style>
  <w:style w:type="paragraph" w:customStyle="1" w:styleId="259">
    <w:name w:val="UserStyle_133"/>
    <w:basedOn w:val="1"/>
    <w:qFormat/>
    <w:uiPriority w:val="0"/>
    <w:pPr>
      <w:widowControl/>
    </w:pPr>
    <w:rPr>
      <w:rFonts w:ascii="Tahoma" w:hAnsi="Tahoma" w:cstheme="minorBidi"/>
      <w:sz w:val="24"/>
    </w:rPr>
  </w:style>
  <w:style w:type="paragraph" w:customStyle="1" w:styleId="260">
    <w:name w:val="AnnotationText"/>
    <w:basedOn w:val="1"/>
    <w:link w:val="261"/>
    <w:qFormat/>
    <w:uiPriority w:val="0"/>
    <w:pPr>
      <w:widowControl/>
      <w:jc w:val="left"/>
    </w:pPr>
    <w:rPr>
      <w:rFonts w:cstheme="minorBidi"/>
    </w:rPr>
  </w:style>
  <w:style w:type="character" w:customStyle="1" w:styleId="261">
    <w:name w:val="UserStyle_12"/>
    <w:link w:val="260"/>
    <w:qFormat/>
    <w:uiPriority w:val="0"/>
    <w:rPr>
      <w:rFonts w:ascii="Times New Roman" w:hAnsi="Times New Roman" w:eastAsia="宋体"/>
      <w:sz w:val="21"/>
      <w:szCs w:val="24"/>
    </w:rPr>
  </w:style>
  <w:style w:type="paragraph" w:customStyle="1" w:styleId="262">
    <w:name w:val="UserStyle_115"/>
    <w:qFormat/>
    <w:uiPriority w:val="0"/>
    <w:rPr>
      <w:rFonts w:ascii="Times New Roman" w:hAnsi="Times New Roman" w:eastAsia="宋体" w:cstheme="minorBidi"/>
      <w:color w:val="000000"/>
      <w:sz w:val="24"/>
      <w:szCs w:val="24"/>
      <w:lang w:val="en-US" w:eastAsia="zh-CN" w:bidi="ar-SA"/>
    </w:rPr>
  </w:style>
  <w:style w:type="paragraph" w:customStyle="1" w:styleId="263">
    <w:name w:val="*正文-表格"/>
    <w:basedOn w:val="1"/>
    <w:qFormat/>
    <w:uiPriority w:val="0"/>
    <w:rPr>
      <w:sz w:val="24"/>
      <w:szCs w:val="20"/>
    </w:rPr>
  </w:style>
  <w:style w:type="character" w:customStyle="1" w:styleId="264">
    <w:name w:val="font21"/>
    <w:basedOn w:val="44"/>
    <w:qFormat/>
    <w:uiPriority w:val="0"/>
    <w:rPr>
      <w:rFonts w:hint="eastAsia" w:ascii="宋体" w:hAnsi="宋体" w:eastAsia="宋体" w:cs="宋体"/>
      <w:b/>
      <w:bCs/>
      <w:color w:val="000000"/>
      <w:sz w:val="28"/>
      <w:szCs w:val="28"/>
      <w:u w:val="none"/>
    </w:rPr>
  </w:style>
  <w:style w:type="paragraph" w:customStyle="1" w:styleId="265">
    <w:name w:val="标题 5（有编号）（绿盟科技）"/>
    <w:basedOn w:val="1"/>
    <w:next w:val="266"/>
    <w:qFormat/>
    <w:uiPriority w:val="99"/>
    <w:pPr>
      <w:keepNext/>
      <w:keepLines/>
      <w:numPr>
        <w:ilvl w:val="4"/>
        <w:numId w:val="1"/>
      </w:numPr>
      <w:spacing w:before="280" w:after="156" w:line="376" w:lineRule="auto"/>
      <w:jc w:val="left"/>
      <w:outlineLvl w:val="4"/>
    </w:pPr>
    <w:rPr>
      <w:rFonts w:ascii="Arial" w:hAnsi="Arial" w:eastAsia="黑体"/>
      <w:b/>
      <w:sz w:val="24"/>
      <w:szCs w:val="28"/>
    </w:rPr>
  </w:style>
  <w:style w:type="paragraph" w:customStyle="1" w:styleId="266">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67">
    <w:name w:val="投标文件正文"/>
    <w:basedOn w:val="1"/>
    <w:qFormat/>
    <w:uiPriority w:val="0"/>
    <w:pPr>
      <w:spacing w:before="40" w:after="40" w:line="400" w:lineRule="exact"/>
      <w:ind w:firstLine="200"/>
    </w:pPr>
    <w:rPr>
      <w:sz w:val="24"/>
    </w:rPr>
  </w:style>
  <w:style w:type="character" w:customStyle="1" w:styleId="268">
    <w:name w:val="批注文字 字符"/>
    <w:qFormat/>
    <w:uiPriority w:val="0"/>
    <w:rPr>
      <w:rFonts w:ascii="Times New Roman" w:hAnsi="Times New Roman"/>
      <w:sz w:val="21"/>
      <w:szCs w:val="24"/>
    </w:rPr>
  </w:style>
  <w:style w:type="paragraph" w:customStyle="1" w:styleId="269">
    <w:name w:val="列表段落1"/>
    <w:basedOn w:val="1"/>
    <w:qFormat/>
    <w:uiPriority w:val="0"/>
    <w:pPr>
      <w:spacing w:line="288" w:lineRule="auto"/>
      <w:ind w:left="420" w:firstLine="420" w:firstLineChars="200"/>
    </w:pPr>
    <w:rPr>
      <w:rFonts w:ascii="Calibri" w:hAnsi="Calibri" w:eastAsia="仿宋"/>
      <w:sz w:val="24"/>
      <w:szCs w:val="22"/>
    </w:rPr>
  </w:style>
  <w:style w:type="paragraph" w:customStyle="1" w:styleId="270">
    <w:name w:val="BodyTextIndent"/>
    <w:basedOn w:val="1"/>
    <w:next w:val="271"/>
    <w:qFormat/>
    <w:uiPriority w:val="0"/>
    <w:pPr>
      <w:spacing w:after="120"/>
      <w:ind w:left="420" w:leftChars="200"/>
      <w:textAlignment w:val="baseline"/>
    </w:pPr>
  </w:style>
  <w:style w:type="paragraph" w:customStyle="1" w:styleId="271">
    <w:name w:val="EnvelopeReturn"/>
    <w:basedOn w:val="1"/>
    <w:qFormat/>
    <w:uiPriority w:val="0"/>
    <w:pPr>
      <w:snapToGrid w:val="0"/>
      <w:textAlignment w:val="baseline"/>
    </w:pPr>
    <w:rPr>
      <w:rFonts w:ascii="Arial" w:hAnsi="Arial"/>
      <w:kern w:val="2"/>
    </w:rPr>
  </w:style>
  <w:style w:type="character" w:customStyle="1" w:styleId="272">
    <w:name w:val="z-窗体顶端 Char"/>
    <w:basedOn w:val="44"/>
    <w:qFormat/>
    <w:uiPriority w:val="0"/>
    <w:rPr>
      <w:sz w:val="21"/>
    </w:rPr>
  </w:style>
  <w:style w:type="paragraph" w:customStyle="1" w:styleId="273">
    <w:name w:val="HTML Top of Form"/>
    <w:basedOn w:val="1"/>
    <w:link w:val="274"/>
    <w:qFormat/>
    <w:uiPriority w:val="0"/>
    <w:pPr>
      <w:widowControl/>
      <w:ind w:firstLine="420"/>
      <w:jc w:val="left"/>
    </w:pPr>
    <w:rPr>
      <w:szCs w:val="20"/>
    </w:rPr>
  </w:style>
  <w:style w:type="character" w:customStyle="1" w:styleId="274">
    <w:name w:val="z-窗体顶端 Char1"/>
    <w:basedOn w:val="44"/>
    <w:link w:val="273"/>
    <w:semiHidden/>
    <w:qFormat/>
    <w:uiPriority w:val="99"/>
    <w:rPr>
      <w:rFonts w:ascii="Arial" w:hAnsi="Arial" w:cs="Arial"/>
      <w:vanish/>
      <w:sz w:val="16"/>
      <w:szCs w:val="16"/>
    </w:rPr>
  </w:style>
  <w:style w:type="character" w:customStyle="1" w:styleId="275">
    <w:name w:val="正文文本首行缩进 字符"/>
    <w:basedOn w:val="44"/>
    <w:link w:val="109"/>
    <w:qFormat/>
    <w:uiPriority w:val="0"/>
    <w:rPr>
      <w:sz w:val="21"/>
      <w:szCs w:val="24"/>
    </w:rPr>
  </w:style>
  <w:style w:type="paragraph" w:customStyle="1" w:styleId="276">
    <w:name w:val="副标题1"/>
    <w:basedOn w:val="109"/>
    <w:next w:val="109"/>
    <w:qFormat/>
    <w:uiPriority w:val="0"/>
    <w:pPr>
      <w:spacing w:before="240" w:after="60" w:line="312" w:lineRule="auto"/>
      <w:ind w:firstLine="200"/>
      <w:jc w:val="center"/>
      <w:outlineLvl w:val="1"/>
    </w:pPr>
    <w:rPr>
      <w:rFonts w:ascii="Cambria" w:hAnsi="Cambria" w:eastAsia="Arial"/>
      <w:b/>
      <w:bCs/>
      <w:sz w:val="32"/>
      <w:szCs w:val="32"/>
    </w:rPr>
  </w:style>
  <w:style w:type="paragraph" w:customStyle="1" w:styleId="277">
    <w:name w:val="页眉1"/>
    <w:basedOn w:val="109"/>
    <w:qFormat/>
    <w:uiPriority w:val="0"/>
    <w:pPr>
      <w:pBdr>
        <w:bottom w:val="single" w:color="000000" w:sz="6" w:space="1"/>
      </w:pBdr>
      <w:tabs>
        <w:tab w:val="center" w:pos="4153"/>
        <w:tab w:val="right" w:pos="8306"/>
      </w:tabs>
      <w:jc w:val="center"/>
    </w:pPr>
    <w:rPr>
      <w:rFonts w:ascii="Arial" w:hAnsi="Arial"/>
      <w:color w:val="000000"/>
      <w:sz w:val="18"/>
      <w:szCs w:val="18"/>
      <w:lang w:val="en-US" w:eastAsia="zh-CN"/>
    </w:rPr>
  </w:style>
  <w:style w:type="paragraph" w:customStyle="1" w:styleId="278">
    <w:name w:val="页脚1"/>
    <w:basedOn w:val="109"/>
    <w:qFormat/>
    <w:uiPriority w:val="0"/>
    <w:pPr>
      <w:tabs>
        <w:tab w:val="center" w:pos="4153"/>
        <w:tab w:val="right" w:pos="8306"/>
      </w:tabs>
      <w:jc w:val="left"/>
    </w:pPr>
    <w:rPr>
      <w:rFonts w:ascii="Arial" w:hAnsi="Arial"/>
      <w:color w:val="000000"/>
      <w:sz w:val="18"/>
      <w:szCs w:val="18"/>
      <w:lang w:val="en-US" w:eastAsia="zh-CN"/>
    </w:rPr>
  </w:style>
  <w:style w:type="paragraph" w:customStyle="1" w:styleId="279">
    <w:name w:val="页脚11"/>
    <w:qFormat/>
    <w:uiPriority w:val="0"/>
    <w:pPr>
      <w:tabs>
        <w:tab w:val="center" w:pos="7143"/>
        <w:tab w:val="right" w:pos="14287"/>
      </w:tabs>
    </w:pPr>
    <w:rPr>
      <w:rFonts w:hint="default" w:ascii="Times New Roman" w:hAnsi="Times New Roman" w:eastAsia="Arial" w:cs="Times New Roman"/>
      <w:lang w:val="en-US" w:eastAsia="zh-CN" w:bidi="ar-SA"/>
    </w:rPr>
  </w:style>
  <w:style w:type="paragraph" w:customStyle="1" w:styleId="280">
    <w:name w:val="正文12"/>
    <w:next w:val="281"/>
    <w:qFormat/>
    <w:uiPriority w:val="0"/>
    <w:rPr>
      <w:rFonts w:hint="default" w:ascii="Times New Roman" w:hAnsi="Times New Roman" w:eastAsia="宋体" w:cs="Times New Roman"/>
      <w:lang w:val="en-US" w:eastAsia="zh-CN" w:bidi="ar-SA"/>
    </w:rPr>
  </w:style>
  <w:style w:type="paragraph" w:customStyle="1" w:styleId="281">
    <w:name w:val="文本块11"/>
    <w:basedOn w:val="280"/>
    <w:qFormat/>
    <w:uiPriority w:val="0"/>
    <w:pPr>
      <w:ind w:left="256" w:right="6" w:firstLine="624"/>
    </w:pPr>
    <w:rPr>
      <w:rFonts w:ascii="Arial" w:hAnsi="Arial" w:eastAsia="仿宋"/>
      <w:sz w:val="28"/>
    </w:rPr>
  </w:style>
  <w:style w:type="paragraph" w:customStyle="1" w:styleId="282">
    <w:name w:val="标题 11"/>
    <w:basedOn w:val="53"/>
    <w:next w:val="53"/>
    <w:qFormat/>
    <w:uiPriority w:val="0"/>
    <w:pPr>
      <w:keepNext/>
      <w:keepLines/>
      <w:spacing w:line="578" w:lineRule="auto"/>
      <w:jc w:val="center"/>
      <w:outlineLvl w:val="0"/>
    </w:pPr>
    <w:rPr>
      <w:rFonts w:eastAsia="新宋体"/>
      <w:b/>
      <w:bCs/>
      <w:sz w:val="30"/>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79CF9-AB77-4A0B-911E-43FFAD61A3BB}">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customXml/itemProps5.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63</Pages>
  <Words>36065</Words>
  <Characters>39210</Characters>
  <Lines>314</Lines>
  <Paragraphs>88</Paragraphs>
  <TotalTime>1</TotalTime>
  <ScaleCrop>false</ScaleCrop>
  <LinksUpToDate>false</LinksUpToDate>
  <CharactersWithSpaces>40123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2022-06-07T08:02:00Z</dcterms:created>
  <dc:creator>Administrator</dc:creator>
  <cp:lastModifiedBy>Administrator</cp:lastModifiedBy>
  <dcterms:modified xsi:type="dcterms:W3CDTF">2022-11-21T05:54:48Z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E564AF82E54E4BA9BCD9014BFEB907E5</vt:lpwstr>
  </property>
</Properties>
</file>