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color w:val="auto"/>
          <w:spacing w:val="76"/>
          <w:w w:val="80"/>
          <w:sz w:val="156"/>
          <w:highlight w:val="none"/>
        </w:rPr>
      </w:pPr>
      <w:bookmarkStart w:id="5" w:name="_GoBack"/>
      <w:bookmarkEnd w:id="5"/>
    </w:p>
    <w:p>
      <w:pPr>
        <w:jc w:val="center"/>
        <w:rPr>
          <w:rFonts w:hint="eastAsia" w:ascii="宋体" w:hAnsi="宋体" w:eastAsia="宋体" w:cs="宋体"/>
          <w:b/>
          <w:color w:val="auto"/>
          <w:spacing w:val="76"/>
          <w:w w:val="80"/>
          <w:sz w:val="156"/>
          <w:highlight w:val="none"/>
        </w:rPr>
      </w:pPr>
      <w:r>
        <w:rPr>
          <w:rFonts w:hint="eastAsia" w:ascii="宋体" w:hAnsi="宋体" w:eastAsia="宋体" w:cs="宋体"/>
          <w:b/>
          <w:color w:val="auto"/>
          <w:spacing w:val="76"/>
          <w:w w:val="80"/>
          <w:sz w:val="156"/>
          <w:highlight w:val="none"/>
        </w:rPr>
        <w:t>招标文件</w:t>
      </w:r>
    </w:p>
    <w:p>
      <w:pPr>
        <w:rPr>
          <w:rFonts w:hint="eastAsia" w:ascii="宋体" w:hAnsi="宋体" w:eastAsia="宋体" w:cs="宋体"/>
          <w:b/>
          <w:color w:val="auto"/>
          <w:sz w:val="32"/>
          <w:highlight w:val="none"/>
        </w:rPr>
      </w:pPr>
    </w:p>
    <w:p>
      <w:pPr>
        <w:pStyle w:val="5"/>
        <w:rPr>
          <w:rFonts w:hint="eastAsia"/>
          <w:color w:val="auto"/>
          <w:highlight w:val="none"/>
        </w:rPr>
      </w:pPr>
    </w:p>
    <w:p>
      <w:pPr>
        <w:pStyle w:val="5"/>
        <w:rPr>
          <w:rFonts w:hint="eastAsia"/>
          <w:color w:val="auto"/>
          <w:highlight w:val="none"/>
        </w:rPr>
      </w:pPr>
    </w:p>
    <w:p>
      <w:pPr>
        <w:ind w:firstLine="630"/>
        <w:rPr>
          <w:rFonts w:hint="eastAsia" w:ascii="宋体" w:hAnsi="宋体" w:eastAsia="宋体" w:cs="宋体"/>
          <w:color w:val="auto"/>
          <w:sz w:val="32"/>
          <w:highlight w:val="none"/>
        </w:rPr>
      </w:pPr>
      <w:r>
        <w:rPr>
          <w:rFonts w:hint="eastAsia" w:ascii="宋体" w:hAnsi="宋体" w:eastAsia="宋体" w:cs="宋体"/>
          <w:color w:val="auto"/>
          <w:sz w:val="32"/>
          <w:highlight w:val="none"/>
        </w:rPr>
        <w:t xml:space="preserve">   </w:t>
      </w:r>
    </w:p>
    <w:p>
      <w:pPr>
        <w:pStyle w:val="5"/>
        <w:rPr>
          <w:rFonts w:hint="eastAsia"/>
          <w:color w:val="auto"/>
          <w:highlight w:val="none"/>
        </w:rPr>
      </w:pPr>
    </w:p>
    <w:p>
      <w:pPr>
        <w:ind w:firstLine="964" w:firstLineChars="300"/>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rPr>
        <w:t>项目名称：</w:t>
      </w:r>
      <w:r>
        <w:rPr>
          <w:rFonts w:hint="eastAsia" w:ascii="宋体" w:hAnsi="宋体" w:cs="宋体"/>
          <w:b/>
          <w:color w:val="auto"/>
          <w:sz w:val="32"/>
          <w:szCs w:val="32"/>
          <w:highlight w:val="none"/>
          <w:lang w:eastAsia="zh-CN"/>
        </w:rPr>
        <w:t>垃圾分类收集亭提档升级</w:t>
      </w:r>
    </w:p>
    <w:p>
      <w:pPr>
        <w:ind w:firstLine="964" w:firstLineChars="300"/>
        <w:rPr>
          <w:rFonts w:hint="eastAsia" w:ascii="宋体" w:hAnsi="宋体" w:eastAsia="宋体" w:cs="宋体"/>
          <w:b/>
          <w:color w:val="auto"/>
          <w:sz w:val="32"/>
          <w:szCs w:val="32"/>
          <w:highlight w:val="none"/>
          <w:lang w:val="en-US" w:eastAsia="zh-CN"/>
        </w:rPr>
      </w:pPr>
      <w:r>
        <w:rPr>
          <w:rFonts w:hint="eastAsia" w:ascii="宋体" w:hAnsi="宋体" w:eastAsia="宋体" w:cs="宋体"/>
          <w:b/>
          <w:color w:val="auto"/>
          <w:sz w:val="32"/>
          <w:szCs w:val="32"/>
          <w:highlight w:val="none"/>
        </w:rPr>
        <w:t>项目编号：</w:t>
      </w:r>
      <w:r>
        <w:rPr>
          <w:rFonts w:hint="eastAsia" w:ascii="宋体" w:hAnsi="宋体" w:cs="宋体"/>
          <w:b/>
          <w:color w:val="auto"/>
          <w:sz w:val="32"/>
          <w:szCs w:val="32"/>
          <w:highlight w:val="none"/>
          <w:lang w:eastAsia="zh-CN"/>
        </w:rPr>
        <w:t>徐采公（2021）YZJS（Q）024</w:t>
      </w:r>
    </w:p>
    <w:p>
      <w:pPr>
        <w:ind w:firstLine="964" w:firstLineChars="300"/>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rPr>
        <w:t>采 购 人：</w:t>
      </w:r>
      <w:r>
        <w:rPr>
          <w:rFonts w:hint="eastAsia" w:ascii="宋体" w:hAnsi="宋体" w:cs="宋体"/>
          <w:b/>
          <w:color w:val="auto"/>
          <w:sz w:val="32"/>
          <w:szCs w:val="32"/>
          <w:highlight w:val="none"/>
          <w:lang w:eastAsia="zh-CN"/>
        </w:rPr>
        <w:t>徐州市鼓楼区城市管理局</w:t>
      </w:r>
    </w:p>
    <w:p>
      <w:pPr>
        <w:rPr>
          <w:rFonts w:hint="eastAsia" w:ascii="宋体" w:hAnsi="宋体" w:eastAsia="宋体" w:cs="宋体"/>
          <w:color w:val="auto"/>
          <w:sz w:val="32"/>
          <w:highlight w:val="none"/>
        </w:rPr>
      </w:pPr>
    </w:p>
    <w:p>
      <w:pPr>
        <w:rPr>
          <w:rFonts w:hint="eastAsia" w:ascii="宋体" w:hAnsi="宋体" w:eastAsia="宋体" w:cs="宋体"/>
          <w:b/>
          <w:color w:val="auto"/>
          <w:sz w:val="32"/>
          <w:highlight w:val="none"/>
        </w:rPr>
      </w:pPr>
    </w:p>
    <w:p>
      <w:pPr>
        <w:jc w:val="center"/>
        <w:rPr>
          <w:rFonts w:hint="eastAsia" w:ascii="宋体" w:hAnsi="宋体" w:eastAsia="宋体" w:cs="宋体"/>
          <w:color w:val="auto"/>
          <w:sz w:val="32"/>
          <w:szCs w:val="32"/>
          <w:highlight w:val="none"/>
        </w:rPr>
      </w:pPr>
    </w:p>
    <w:p>
      <w:pPr>
        <w:jc w:val="center"/>
        <w:rPr>
          <w:rFonts w:hint="eastAsia" w:ascii="宋体" w:hAnsi="宋体" w:eastAsia="宋体" w:cs="宋体"/>
          <w:color w:val="auto"/>
          <w:sz w:val="32"/>
          <w:szCs w:val="32"/>
          <w:highlight w:val="none"/>
        </w:rPr>
      </w:pPr>
    </w:p>
    <w:p>
      <w:pPr>
        <w:jc w:val="center"/>
        <w:rPr>
          <w:rFonts w:hint="eastAsia" w:ascii="宋体" w:hAnsi="宋体" w:eastAsia="宋体" w:cs="宋体"/>
          <w:color w:val="auto"/>
          <w:sz w:val="32"/>
          <w:szCs w:val="32"/>
          <w:highlight w:val="none"/>
        </w:rPr>
      </w:pPr>
    </w:p>
    <w:p>
      <w:pPr>
        <w:pStyle w:val="5"/>
        <w:rPr>
          <w:rFonts w:hint="eastAsia"/>
          <w:color w:val="auto"/>
          <w:highlight w:val="none"/>
        </w:rPr>
      </w:pPr>
    </w:p>
    <w:p>
      <w:pPr>
        <w:ind w:firstLine="964" w:firstLineChars="300"/>
        <w:rPr>
          <w:rFonts w:hint="eastAsia" w:ascii="宋体" w:hAnsi="宋体" w:eastAsia="宋体" w:cs="宋体"/>
          <w:b/>
          <w:bCs/>
          <w:color w:val="auto"/>
          <w:sz w:val="32"/>
          <w:szCs w:val="32"/>
          <w:highlight w:val="none"/>
          <w:lang w:eastAsia="zh-CN"/>
        </w:rPr>
      </w:pPr>
      <w:r>
        <w:rPr>
          <w:rFonts w:hint="eastAsia" w:ascii="宋体" w:hAnsi="宋体" w:eastAsia="宋体" w:cs="宋体"/>
          <w:b/>
          <w:bCs/>
          <w:color w:val="auto"/>
          <w:sz w:val="32"/>
          <w:szCs w:val="32"/>
          <w:highlight w:val="none"/>
        </w:rPr>
        <w:t>采购代理机构：</w:t>
      </w:r>
      <w:r>
        <w:rPr>
          <w:rFonts w:hint="eastAsia" w:ascii="宋体" w:hAnsi="宋体" w:cs="宋体"/>
          <w:b/>
          <w:bCs/>
          <w:color w:val="auto"/>
          <w:sz w:val="32"/>
          <w:szCs w:val="32"/>
          <w:highlight w:val="none"/>
          <w:lang w:eastAsia="zh-CN"/>
        </w:rPr>
        <w:t>永曌（江苏）项目管理有限公司</w:t>
      </w:r>
    </w:p>
    <w:p>
      <w:pPr>
        <w:ind w:firstLine="1285" w:firstLineChars="400"/>
        <w:rPr>
          <w:rFonts w:hint="eastAsia" w:ascii="宋体" w:hAnsi="宋体" w:eastAsia="宋体" w:cs="宋体"/>
          <w:b/>
          <w:bCs/>
          <w:color w:val="auto"/>
          <w:sz w:val="32"/>
          <w:szCs w:val="32"/>
          <w:highlight w:val="none"/>
        </w:rPr>
      </w:pPr>
    </w:p>
    <w:p>
      <w:pPr>
        <w:ind w:firstLine="1285" w:firstLineChars="400"/>
        <w:jc w:val="center"/>
        <w:rPr>
          <w:rFonts w:hint="eastAsia" w:ascii="宋体" w:hAnsi="宋体" w:eastAsia="宋体" w:cs="宋体"/>
          <w:color w:val="auto"/>
          <w:sz w:val="24"/>
          <w:highlight w:val="none"/>
        </w:rPr>
      </w:pPr>
      <w:r>
        <w:rPr>
          <w:rFonts w:hint="eastAsia" w:ascii="宋体" w:hAnsi="宋体" w:eastAsia="宋体" w:cs="宋体"/>
          <w:b/>
          <w:bCs/>
          <w:color w:val="auto"/>
          <w:sz w:val="32"/>
          <w:szCs w:val="32"/>
          <w:highlight w:val="none"/>
        </w:rPr>
        <w:t>二〇二一年</w:t>
      </w:r>
      <w:r>
        <w:rPr>
          <w:rFonts w:hint="eastAsia" w:ascii="宋体" w:hAnsi="宋体" w:eastAsia="宋体" w:cs="宋体"/>
          <w:b/>
          <w:bCs/>
          <w:color w:val="auto"/>
          <w:sz w:val="32"/>
          <w:szCs w:val="32"/>
          <w:highlight w:val="none"/>
          <w:lang w:eastAsia="zh-CN"/>
        </w:rPr>
        <w:t>九</w:t>
      </w:r>
      <w:r>
        <w:rPr>
          <w:rFonts w:hint="eastAsia" w:ascii="宋体" w:hAnsi="宋体" w:eastAsia="宋体" w:cs="宋体"/>
          <w:b/>
          <w:bCs/>
          <w:color w:val="auto"/>
          <w:sz w:val="32"/>
          <w:szCs w:val="32"/>
          <w:highlight w:val="none"/>
        </w:rPr>
        <w:t>月</w:t>
      </w:r>
    </w:p>
    <w:p>
      <w:pPr>
        <w:pStyle w:val="3"/>
        <w:ind w:firstLine="0" w:firstLineChars="0"/>
        <w:jc w:val="center"/>
        <w:rPr>
          <w:rFonts w:hint="eastAsia" w:ascii="宋体" w:hAnsi="宋体" w:eastAsia="宋体" w:cs="宋体"/>
          <w:color w:val="auto"/>
          <w:sz w:val="44"/>
          <w:szCs w:val="44"/>
          <w:highlight w:val="none"/>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3"/>
        <w:ind w:firstLine="0" w:firstLineChars="0"/>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 xml:space="preserve"> 目 录</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第一章  投标邀请</w:t>
      </w:r>
    </w:p>
    <w:p>
      <w:pPr>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第二章  投标人须知</w:t>
      </w:r>
    </w:p>
    <w:p>
      <w:pPr>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第三章  投标资料表</w:t>
      </w:r>
    </w:p>
    <w:p>
      <w:pPr>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第四章  评标标准</w:t>
      </w:r>
    </w:p>
    <w:p>
      <w:pPr>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第五章  拟签订的合同文本</w:t>
      </w:r>
    </w:p>
    <w:p>
      <w:pPr>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第六章  采购需求</w:t>
      </w:r>
    </w:p>
    <w:p>
      <w:pPr>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第七章  投标文件相关格式</w:t>
      </w:r>
    </w:p>
    <w:p>
      <w:pPr>
        <w:jc w:val="center"/>
        <w:rPr>
          <w:rFonts w:hint="eastAsia" w:ascii="宋体" w:hAnsi="宋体" w:eastAsia="宋体" w:cs="宋体"/>
          <w:color w:val="auto"/>
          <w:sz w:val="30"/>
          <w:szCs w:val="30"/>
          <w:highlight w:val="none"/>
        </w:rPr>
      </w:pPr>
    </w:p>
    <w:p>
      <w:pPr>
        <w:jc w:val="center"/>
        <w:outlineLvl w:val="0"/>
        <w:rPr>
          <w:rFonts w:hint="eastAsia" w:ascii="宋体" w:hAnsi="宋体" w:eastAsia="宋体" w:cs="宋体"/>
          <w:color w:val="auto"/>
          <w:sz w:val="30"/>
          <w:szCs w:val="30"/>
          <w:highlight w:val="none"/>
        </w:rPr>
      </w:pPr>
      <w:bookmarkStart w:id="0" w:name="_Toc15161"/>
      <w:r>
        <w:rPr>
          <w:rFonts w:hint="eastAsia" w:ascii="宋体" w:hAnsi="宋体" w:eastAsia="宋体" w:cs="宋体"/>
          <w:color w:val="auto"/>
          <w:sz w:val="30"/>
          <w:szCs w:val="30"/>
          <w:highlight w:val="none"/>
        </w:rPr>
        <w:br w:type="page"/>
      </w:r>
      <w:r>
        <w:rPr>
          <w:rFonts w:hint="eastAsia" w:ascii="宋体" w:hAnsi="宋体" w:eastAsia="宋体" w:cs="宋体"/>
          <w:b/>
          <w:bCs/>
          <w:color w:val="auto"/>
          <w:sz w:val="30"/>
          <w:szCs w:val="30"/>
          <w:highlight w:val="none"/>
        </w:rPr>
        <w:t>第一章  投标邀请书</w:t>
      </w:r>
      <w:bookmarkEnd w:id="0"/>
    </w:p>
    <w:p>
      <w:pPr>
        <w:jc w:val="center"/>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r>
        <w:rPr>
          <w:rFonts w:hint="eastAsia" w:ascii="宋体" w:hAnsi="宋体" w:cs="宋体"/>
          <w:color w:val="auto"/>
          <w:sz w:val="24"/>
          <w:highlight w:val="none"/>
          <w:lang w:eastAsia="zh-CN"/>
        </w:rPr>
        <w:t>永曌（江苏）项目管理有限公司</w:t>
      </w:r>
      <w:r>
        <w:rPr>
          <w:rFonts w:hint="eastAsia" w:ascii="宋体" w:hAnsi="宋体" w:eastAsia="宋体" w:cs="宋体"/>
          <w:color w:val="auto"/>
          <w:sz w:val="24"/>
          <w:highlight w:val="none"/>
        </w:rPr>
        <w:t>对</w:t>
      </w:r>
      <w:r>
        <w:rPr>
          <w:rFonts w:hint="eastAsia" w:ascii="宋体" w:hAnsi="宋体" w:cs="宋体"/>
          <w:color w:val="auto"/>
          <w:sz w:val="24"/>
          <w:highlight w:val="none"/>
          <w:u w:val="single"/>
          <w:lang w:eastAsia="zh-CN"/>
        </w:rPr>
        <w:t>垃圾分类收集亭提档升级</w:t>
      </w:r>
      <w:r>
        <w:rPr>
          <w:rFonts w:hint="eastAsia" w:ascii="宋体" w:hAnsi="宋体" w:eastAsia="宋体" w:cs="宋体"/>
          <w:color w:val="auto"/>
          <w:sz w:val="24"/>
          <w:highlight w:val="none"/>
        </w:rPr>
        <w:t>进行公开招标采购，现欢迎符合相关条件的</w:t>
      </w:r>
      <w:r>
        <w:rPr>
          <w:rFonts w:hint="eastAsia" w:ascii="宋体" w:hAnsi="宋体" w:cs="宋体"/>
          <w:color w:val="auto"/>
          <w:sz w:val="24"/>
          <w:highlight w:val="none"/>
          <w:lang w:eastAsia="zh-CN"/>
        </w:rPr>
        <w:t>投标人</w:t>
      </w:r>
      <w:r>
        <w:rPr>
          <w:rFonts w:hint="eastAsia" w:ascii="宋体" w:hAnsi="宋体" w:eastAsia="宋体" w:cs="宋体"/>
          <w:color w:val="auto"/>
          <w:sz w:val="24"/>
          <w:highlight w:val="none"/>
        </w:rPr>
        <w:t>投标。</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一、项目名称和项目编号</w:t>
      </w:r>
    </w:p>
    <w:p>
      <w:pPr>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项目名称：</w:t>
      </w:r>
      <w:r>
        <w:rPr>
          <w:rFonts w:hint="eastAsia" w:ascii="宋体" w:hAnsi="宋体" w:cs="宋体"/>
          <w:color w:val="auto"/>
          <w:sz w:val="24"/>
          <w:highlight w:val="none"/>
          <w:lang w:eastAsia="zh-CN"/>
        </w:rPr>
        <w:t>垃圾分类收集亭提档升级</w:t>
      </w:r>
    </w:p>
    <w:p>
      <w:pPr>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项目编号：</w:t>
      </w:r>
      <w:r>
        <w:rPr>
          <w:rFonts w:hint="eastAsia" w:ascii="宋体" w:hAnsi="宋体" w:cs="宋体"/>
          <w:color w:val="auto"/>
          <w:sz w:val="24"/>
          <w:highlight w:val="none"/>
          <w:lang w:eastAsia="zh-CN"/>
        </w:rPr>
        <w:t>徐采公（2021）YZJS（Q）024</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二、投标人的资格要求：</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见本项目公开招标公告。</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三、获取招标文件</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本项目采用网上注册登记方式。</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1、潜在投标人访问电子招标投标交易平台的网络地址和方法:</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(1)电子招标投标交易平台的网络地址:</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(http://www.xzggzy.com.cn/dlrk/019001/ztlogin.html)中“政府采购</w:t>
      </w:r>
      <w:r>
        <w:rPr>
          <w:rFonts w:hint="eastAsia" w:ascii="宋体" w:hAnsi="宋体" w:cs="宋体"/>
          <w:color w:val="auto"/>
          <w:sz w:val="24"/>
          <w:highlight w:val="none"/>
          <w:lang w:eastAsia="zh-CN"/>
        </w:rPr>
        <w:t>投标人</w:t>
      </w:r>
      <w:r>
        <w:rPr>
          <w:rFonts w:hint="eastAsia" w:ascii="宋体" w:hAnsi="宋体" w:eastAsia="宋体" w:cs="宋体"/>
          <w:color w:val="auto"/>
          <w:sz w:val="24"/>
          <w:highlight w:val="none"/>
        </w:rPr>
        <w:t>”。</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(2)“CA数字证书”的获取:投标人在电子招标投标交易平台注册登记，如实递交有关信息，并经电子招标投标交易平台验证。见“徐州市公共资源交易平台”“业务指南及管理制度</w:t>
      </w:r>
      <w:r>
        <w:rPr>
          <w:rFonts w:hint="eastAsia" w:ascii="宋体" w:hAnsi="宋体" w:eastAsia="宋体" w:cs="宋体"/>
          <w:color w:val="auto"/>
          <w:sz w:val="18"/>
          <w:szCs w:val="18"/>
          <w:highlight w:val="none"/>
        </w:rPr>
        <w:t>(http://www.xzggzy.com.cn/bszn/020002/superviseInfo.html)</w:t>
      </w:r>
      <w:r>
        <w:rPr>
          <w:rFonts w:hint="eastAsia" w:ascii="宋体" w:hAnsi="宋体" w:eastAsia="宋体" w:cs="宋体"/>
          <w:color w:val="auto"/>
          <w:sz w:val="24"/>
          <w:highlight w:val="none"/>
        </w:rPr>
        <w:t>”中“1江苏CFCA证书及电子签章在线办理指南”或“2国信CA证书及电子签章办理指南”。</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2、招标代理机构(采购代理机构)将数据电文形式的招标文件加载至电子招标投标交易平台，供潜在投标人下载或者查阅。</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四、投标有关信息：</w:t>
      </w:r>
    </w:p>
    <w:p>
      <w:pPr>
        <w:ind w:left="479" w:leftChars="228" w:firstLine="128" w:firstLineChars="53"/>
        <w:jc w:val="left"/>
        <w:rPr>
          <w:rFonts w:hint="default"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rPr>
        <w:t>1.投标截止时间：</w:t>
      </w:r>
      <w:r>
        <w:rPr>
          <w:rFonts w:hint="eastAsia" w:ascii="宋体" w:hAnsi="宋体" w:cs="宋体"/>
          <w:b/>
          <w:bCs/>
          <w:color w:val="auto"/>
          <w:sz w:val="24"/>
          <w:highlight w:val="none"/>
          <w:lang w:val="en-US" w:eastAsia="zh-CN"/>
        </w:rPr>
        <w:t>2021年10月19日</w:t>
      </w:r>
      <w:r>
        <w:rPr>
          <w:rFonts w:hint="eastAsia" w:ascii="宋体" w:hAnsi="宋体" w:eastAsia="宋体" w:cs="宋体"/>
          <w:b/>
          <w:bCs/>
          <w:color w:val="auto"/>
          <w:sz w:val="24"/>
          <w:highlight w:val="none"/>
        </w:rPr>
        <w:t>北京时间</w:t>
      </w:r>
      <w:r>
        <w:rPr>
          <w:rFonts w:hint="eastAsia" w:ascii="宋体" w:hAnsi="宋体" w:eastAsia="宋体" w:cs="宋体"/>
          <w:b/>
          <w:bCs/>
          <w:color w:val="auto"/>
          <w:sz w:val="24"/>
          <w:highlight w:val="none"/>
          <w:lang w:val="en-US" w:eastAsia="zh-CN"/>
        </w:rPr>
        <w:t xml:space="preserve"> </w:t>
      </w:r>
      <w:r>
        <w:rPr>
          <w:rFonts w:hint="eastAsia" w:ascii="宋体" w:hAnsi="宋体" w:cs="宋体"/>
          <w:b/>
          <w:bCs/>
          <w:color w:val="auto"/>
          <w:sz w:val="24"/>
          <w:highlight w:val="none"/>
          <w:lang w:val="en-US" w:eastAsia="zh-CN"/>
        </w:rPr>
        <w:t>10:00</w:t>
      </w:r>
    </w:p>
    <w:p>
      <w:pPr>
        <w:ind w:left="479" w:leftChars="228" w:firstLine="128" w:firstLineChars="53"/>
        <w:jc w:val="left"/>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rPr>
        <w:t>2.开标时间：</w:t>
      </w:r>
      <w:r>
        <w:rPr>
          <w:rFonts w:hint="eastAsia" w:ascii="宋体" w:hAnsi="宋体" w:cs="宋体"/>
          <w:b/>
          <w:bCs/>
          <w:color w:val="auto"/>
          <w:sz w:val="24"/>
          <w:highlight w:val="none"/>
          <w:lang w:val="en-US" w:eastAsia="zh-CN"/>
        </w:rPr>
        <w:t>2021年10月19日</w:t>
      </w:r>
      <w:r>
        <w:rPr>
          <w:rFonts w:hint="eastAsia" w:ascii="宋体" w:hAnsi="宋体" w:eastAsia="宋体" w:cs="宋体"/>
          <w:b/>
          <w:bCs/>
          <w:color w:val="auto"/>
          <w:sz w:val="24"/>
          <w:highlight w:val="none"/>
        </w:rPr>
        <w:t>北京时间</w:t>
      </w:r>
      <w:r>
        <w:rPr>
          <w:rFonts w:hint="eastAsia" w:ascii="宋体" w:hAnsi="宋体" w:eastAsia="宋体" w:cs="宋体"/>
          <w:b/>
          <w:bCs/>
          <w:color w:val="auto"/>
          <w:sz w:val="24"/>
          <w:highlight w:val="none"/>
          <w:lang w:val="en-US" w:eastAsia="zh-CN"/>
        </w:rPr>
        <w:t xml:space="preserve"> </w:t>
      </w:r>
      <w:r>
        <w:rPr>
          <w:rFonts w:hint="eastAsia" w:ascii="宋体" w:hAnsi="宋体" w:cs="宋体"/>
          <w:b/>
          <w:bCs/>
          <w:color w:val="auto"/>
          <w:sz w:val="24"/>
          <w:highlight w:val="none"/>
          <w:lang w:val="en-US" w:eastAsia="zh-CN"/>
        </w:rPr>
        <w:t>10:00</w:t>
      </w:r>
    </w:p>
    <w:p>
      <w:pPr>
        <w:ind w:left="19" w:leftChars="9" w:firstLine="588" w:firstLineChars="244"/>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3.开标地点：</w:t>
      </w:r>
      <w:r>
        <w:rPr>
          <w:rFonts w:hint="eastAsia" w:ascii="宋体" w:hAnsi="宋体" w:cs="宋体"/>
          <w:color w:val="auto"/>
          <w:sz w:val="24"/>
          <w:highlight w:val="none"/>
        </w:rPr>
        <w:t>徐州市</w:t>
      </w:r>
      <w:r>
        <w:rPr>
          <w:rFonts w:hint="eastAsia" w:ascii="宋体" w:hAnsi="宋体" w:cs="宋体"/>
          <w:color w:val="auto"/>
          <w:sz w:val="24"/>
          <w:highlight w:val="none"/>
          <w:lang w:eastAsia="zh-CN"/>
        </w:rPr>
        <w:t>新城区</w:t>
      </w:r>
      <w:r>
        <w:rPr>
          <w:rFonts w:hint="eastAsia" w:ascii="宋体" w:hAnsi="宋体" w:cs="宋体"/>
          <w:color w:val="auto"/>
          <w:sz w:val="24"/>
          <w:highlight w:val="none"/>
        </w:rPr>
        <w:t>新安路5号（市规划馆南侧），徐州市公共资源交易中心</w:t>
      </w:r>
      <w:r>
        <w:rPr>
          <w:rFonts w:hint="eastAsia" w:ascii="宋体" w:hAnsi="宋体" w:cs="宋体"/>
          <w:color w:val="auto"/>
          <w:sz w:val="24"/>
          <w:highlight w:val="none"/>
          <w:lang w:eastAsia="zh-CN"/>
        </w:rPr>
        <w:t>三</w:t>
      </w:r>
      <w:r>
        <w:rPr>
          <w:rFonts w:hint="eastAsia" w:ascii="宋体" w:hAnsi="宋体" w:eastAsia="宋体" w:cs="宋体"/>
          <w:b/>
          <w:bCs/>
          <w:color w:val="auto"/>
          <w:sz w:val="24"/>
          <w:highlight w:val="none"/>
        </w:rPr>
        <w:t>楼（</w:t>
      </w:r>
      <w:r>
        <w:rPr>
          <w:rFonts w:hint="eastAsia" w:ascii="宋体" w:hAnsi="宋体" w:cs="宋体"/>
          <w:b/>
          <w:bCs/>
          <w:color w:val="auto"/>
          <w:sz w:val="24"/>
          <w:highlight w:val="none"/>
          <w:lang w:val="en-US" w:eastAsia="zh-CN"/>
        </w:rPr>
        <w:t>340</w:t>
      </w:r>
      <w:r>
        <w:rPr>
          <w:rFonts w:hint="eastAsia" w:ascii="宋体" w:hAnsi="宋体" w:eastAsia="宋体" w:cs="宋体"/>
          <w:b/>
          <w:bCs/>
          <w:color w:val="auto"/>
          <w:sz w:val="24"/>
          <w:highlight w:val="none"/>
        </w:rPr>
        <w:t>房间）第</w:t>
      </w:r>
      <w:r>
        <w:rPr>
          <w:rFonts w:hint="eastAsia" w:ascii="宋体" w:hAnsi="宋体" w:cs="宋体"/>
          <w:b/>
          <w:bCs/>
          <w:color w:val="auto"/>
          <w:sz w:val="24"/>
          <w:highlight w:val="none"/>
          <w:lang w:val="en-US" w:eastAsia="zh-CN"/>
        </w:rPr>
        <w:t>六</w:t>
      </w:r>
      <w:r>
        <w:rPr>
          <w:rFonts w:hint="eastAsia" w:ascii="宋体" w:hAnsi="宋体" w:eastAsia="宋体" w:cs="宋体"/>
          <w:b/>
          <w:bCs/>
          <w:color w:val="auto"/>
          <w:sz w:val="24"/>
          <w:highlight w:val="none"/>
        </w:rPr>
        <w:t>开标室。</w:t>
      </w:r>
    </w:p>
    <w:p>
      <w:pPr>
        <w:ind w:left="19" w:leftChars="9" w:firstLine="458" w:firstLineChars="191"/>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五、</w:t>
      </w:r>
      <w:r>
        <w:rPr>
          <w:rFonts w:hint="eastAsia" w:ascii="宋体" w:hAnsi="宋体" w:cs="宋体"/>
          <w:color w:val="auto"/>
          <w:sz w:val="24"/>
          <w:highlight w:val="none"/>
          <w:lang w:eastAsia="zh-CN"/>
        </w:rPr>
        <w:t>投标人</w:t>
      </w:r>
      <w:r>
        <w:rPr>
          <w:rFonts w:hint="eastAsia" w:ascii="宋体" w:hAnsi="宋体" w:eastAsia="宋体" w:cs="宋体"/>
          <w:color w:val="auto"/>
          <w:sz w:val="24"/>
          <w:highlight w:val="none"/>
        </w:rPr>
        <w:t>认为招标文件存在不合理条件，对</w:t>
      </w:r>
      <w:r>
        <w:rPr>
          <w:rFonts w:hint="eastAsia" w:ascii="宋体" w:hAnsi="宋体" w:cs="宋体"/>
          <w:color w:val="auto"/>
          <w:sz w:val="24"/>
          <w:highlight w:val="none"/>
          <w:lang w:eastAsia="zh-CN"/>
        </w:rPr>
        <w:t>投标人</w:t>
      </w:r>
      <w:r>
        <w:rPr>
          <w:rFonts w:hint="eastAsia" w:ascii="宋体" w:hAnsi="宋体" w:eastAsia="宋体" w:cs="宋体"/>
          <w:color w:val="auto"/>
          <w:sz w:val="24"/>
          <w:highlight w:val="none"/>
        </w:rPr>
        <w:t>实行差别或者歧视性待遇，使自己的权益受到损害的，可以在知道或者应知其权益受到损害之日起七个工作日内，以书面形式向采购代理机构提出。</w:t>
      </w:r>
      <w:r>
        <w:rPr>
          <w:rFonts w:hint="eastAsia" w:ascii="宋体" w:hAnsi="宋体" w:eastAsia="宋体" w:cs="宋体"/>
          <w:color w:val="auto"/>
          <w:sz w:val="24"/>
          <w:highlight w:val="none"/>
        </w:rPr>
        <w:br w:type="textWrapping"/>
      </w:r>
      <w:r>
        <w:rPr>
          <w:rFonts w:hint="eastAsia" w:ascii="宋体" w:hAnsi="宋体" w:eastAsia="宋体" w:cs="宋体"/>
          <w:color w:val="auto"/>
          <w:sz w:val="24"/>
          <w:highlight w:val="none"/>
        </w:rPr>
        <w:t xml:space="preserve">   六、采购人</w:t>
      </w:r>
    </w:p>
    <w:p>
      <w:pPr>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1．名称：</w:t>
      </w:r>
      <w:r>
        <w:rPr>
          <w:rFonts w:hint="eastAsia" w:ascii="宋体" w:hAnsi="宋体" w:cs="宋体"/>
          <w:color w:val="auto"/>
          <w:sz w:val="24"/>
          <w:highlight w:val="none"/>
          <w:lang w:eastAsia="zh-CN"/>
        </w:rPr>
        <w:t>徐州市鼓楼区城市管理局</w:t>
      </w:r>
    </w:p>
    <w:p>
      <w:pPr>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2．地址：</w:t>
      </w:r>
      <w:r>
        <w:rPr>
          <w:rFonts w:hint="eastAsia" w:ascii="宋体 ! important" w:hAnsi="宋体 ! important" w:eastAsia="宋体 ! important" w:cs="宋体 ! important"/>
          <w:sz w:val="24"/>
          <w:szCs w:val="24"/>
          <w:lang w:eastAsia="zh-CN"/>
        </w:rPr>
        <w:t>徐州市鼓楼区环城路128号</w:t>
      </w:r>
      <w:r>
        <w:rPr>
          <w:rFonts w:hint="default" w:ascii="宋体 ! important" w:hAnsi="宋体 ! important" w:eastAsia="宋体 ! important" w:cs="宋体 ! important"/>
          <w:sz w:val="24"/>
          <w:szCs w:val="24"/>
        </w:rPr>
        <w:t xml:space="preserve"> </w:t>
      </w:r>
    </w:p>
    <w:p>
      <w:pPr>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3. 联系方法：</w:t>
      </w:r>
      <w:r>
        <w:rPr>
          <w:rFonts w:hint="eastAsia" w:ascii="宋体" w:hAnsi="宋体" w:cs="宋体"/>
          <w:color w:val="auto"/>
          <w:sz w:val="24"/>
          <w:highlight w:val="none"/>
          <w:lang w:eastAsia="zh-CN"/>
        </w:rPr>
        <w:t>15950661626</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 采购项目联系人：</w:t>
      </w:r>
      <w:r>
        <w:rPr>
          <w:rFonts w:hint="eastAsia" w:ascii="宋体" w:hAnsi="宋体" w:cs="宋体"/>
          <w:color w:val="auto"/>
          <w:sz w:val="24"/>
          <w:highlight w:val="none"/>
          <w:lang w:eastAsia="zh-CN"/>
        </w:rPr>
        <w:t xml:space="preserve">孙磊 </w:t>
      </w:r>
      <w:r>
        <w:rPr>
          <w:rFonts w:hint="eastAsia" w:ascii="宋体" w:hAnsi="宋体" w:eastAsia="宋体" w:cs="宋体"/>
          <w:color w:val="auto"/>
          <w:sz w:val="24"/>
          <w:highlight w:val="none"/>
        </w:rPr>
        <w:t xml:space="preserve">      </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七、采购代理机构</w:t>
      </w:r>
    </w:p>
    <w:p>
      <w:pPr>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1．名称：</w:t>
      </w:r>
      <w:r>
        <w:rPr>
          <w:rFonts w:hint="eastAsia" w:ascii="宋体" w:hAnsi="宋体" w:cs="宋体"/>
          <w:color w:val="auto"/>
          <w:sz w:val="24"/>
          <w:highlight w:val="none"/>
          <w:lang w:eastAsia="zh-CN"/>
        </w:rPr>
        <w:t>永曌（江苏）项目管理有限公司</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2．地址：</w:t>
      </w:r>
      <w:r>
        <w:rPr>
          <w:rFonts w:hint="eastAsia" w:ascii="宋体" w:hAnsi="宋体" w:cs="宋体"/>
          <w:color w:val="auto"/>
          <w:sz w:val="24"/>
          <w:highlight w:val="none"/>
          <w:lang w:eastAsia="zh-CN"/>
        </w:rPr>
        <w:t>徐州市鼓楼区平山北路39号龟山民博文化园A区2号楼406室</w:t>
      </w:r>
      <w:r>
        <w:rPr>
          <w:rFonts w:hint="eastAsia" w:ascii="宋体" w:hAnsi="宋体" w:eastAsia="宋体" w:cs="宋体"/>
          <w:color w:val="auto"/>
          <w:sz w:val="24"/>
          <w:highlight w:val="none"/>
        </w:rPr>
        <w:t xml:space="preserve"> </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3．联系方法：</w:t>
      </w:r>
      <w:r>
        <w:rPr>
          <w:rFonts w:hint="eastAsia" w:ascii="宋体" w:hAnsi="宋体" w:cs="宋体"/>
          <w:color w:val="auto"/>
          <w:sz w:val="24"/>
          <w:highlight w:val="none"/>
          <w:lang w:eastAsia="zh-CN"/>
        </w:rPr>
        <w:t>0516-87666667</w:t>
      </w:r>
      <w:r>
        <w:rPr>
          <w:rFonts w:hint="eastAsia" w:ascii="宋体" w:hAnsi="宋体" w:eastAsia="宋体" w:cs="宋体"/>
          <w:color w:val="auto"/>
          <w:sz w:val="24"/>
          <w:highlight w:val="none"/>
        </w:rPr>
        <w:t>4</w:t>
      </w:r>
    </w:p>
    <w:p>
      <w:pPr>
        <w:ind w:firstLine="480" w:firstLineChars="200"/>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 xml:space="preserve">4. </w:t>
      </w:r>
      <w:r>
        <w:rPr>
          <w:rFonts w:hint="eastAsia" w:ascii="宋体" w:hAnsi="宋体" w:eastAsia="宋体" w:cs="宋体"/>
          <w:color w:val="auto"/>
          <w:sz w:val="24"/>
          <w:highlight w:val="none"/>
        </w:rPr>
        <w:t>采购项目联系人：</w:t>
      </w:r>
      <w:r>
        <w:rPr>
          <w:rFonts w:hint="eastAsia" w:ascii="宋体" w:hAnsi="宋体" w:cs="宋体"/>
          <w:color w:val="auto"/>
          <w:sz w:val="24"/>
          <w:highlight w:val="none"/>
          <w:lang w:eastAsia="zh-CN"/>
        </w:rPr>
        <w:t>刘自成</w:t>
      </w:r>
      <w:r>
        <w:rPr>
          <w:rFonts w:hint="eastAsia" w:ascii="宋体" w:hAnsi="宋体" w:eastAsia="宋体" w:cs="宋体"/>
          <w:color w:val="auto"/>
          <w:sz w:val="24"/>
          <w:highlight w:val="none"/>
        </w:rPr>
        <w:t xml:space="preserve">      </w:t>
      </w:r>
    </w:p>
    <w:p>
      <w:pPr>
        <w:rPr>
          <w:rFonts w:hint="eastAsia" w:ascii="宋体" w:hAnsi="宋体" w:eastAsia="宋体" w:cs="宋体"/>
          <w:color w:val="auto"/>
          <w:sz w:val="24"/>
          <w:highlight w:val="none"/>
        </w:rPr>
      </w:pPr>
    </w:p>
    <w:p>
      <w:pPr>
        <w:jc w:val="center"/>
        <w:rPr>
          <w:rFonts w:hint="eastAsia" w:ascii="宋体" w:hAnsi="宋体" w:eastAsia="宋体" w:cs="宋体"/>
          <w:b/>
          <w:bCs/>
          <w:color w:val="auto"/>
          <w:sz w:val="30"/>
          <w:szCs w:val="30"/>
          <w:highlight w:val="none"/>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eastAsia" w:ascii="宋体" w:hAnsi="宋体" w:cs="宋体"/>
          <w:color w:val="auto"/>
          <w:sz w:val="24"/>
          <w:highlight w:val="none"/>
          <w:lang w:val="en-US" w:eastAsia="zh-CN"/>
        </w:rPr>
        <w:t xml:space="preserve">                                    2021年9月23日</w:t>
      </w:r>
    </w:p>
    <w:p>
      <w:pPr>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第二章  投标人须知</w:t>
      </w:r>
    </w:p>
    <w:p>
      <w:pPr>
        <w:rPr>
          <w:rFonts w:hint="eastAsia" w:ascii="宋体" w:hAnsi="宋体" w:eastAsia="宋体" w:cs="宋体"/>
          <w:color w:val="auto"/>
          <w:sz w:val="24"/>
          <w:highlight w:val="none"/>
        </w:rPr>
      </w:pPr>
    </w:p>
    <w:p>
      <w:pPr>
        <w:jc w:val="center"/>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目 录</w:t>
      </w:r>
    </w:p>
    <w:p>
      <w:pPr>
        <w:spacing w:line="360" w:lineRule="auto"/>
        <w:ind w:left="420" w:leftChars="200"/>
        <w:rPr>
          <w:rFonts w:hint="eastAsia" w:ascii="宋体" w:hAnsi="宋体" w:eastAsia="宋体" w:cs="宋体"/>
          <w:color w:val="auto"/>
          <w:sz w:val="30"/>
          <w:szCs w:val="30"/>
          <w:highlight w:val="none"/>
        </w:rPr>
      </w:pPr>
    </w:p>
    <w:p>
      <w:pPr>
        <w:spacing w:line="360" w:lineRule="auto"/>
        <w:ind w:left="420" w:leftChars="200"/>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一、总则</w:t>
      </w:r>
    </w:p>
    <w:p>
      <w:pPr>
        <w:spacing w:line="360" w:lineRule="auto"/>
        <w:ind w:left="420" w:leftChars="200"/>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二、招标</w:t>
      </w:r>
    </w:p>
    <w:p>
      <w:pPr>
        <w:spacing w:line="360" w:lineRule="auto"/>
        <w:ind w:left="420" w:leftChars="200"/>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三、投标</w:t>
      </w:r>
    </w:p>
    <w:p>
      <w:pPr>
        <w:spacing w:line="360" w:lineRule="auto"/>
        <w:ind w:left="420" w:leftChars="200"/>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四、开标</w:t>
      </w:r>
    </w:p>
    <w:p>
      <w:pPr>
        <w:spacing w:line="360" w:lineRule="auto"/>
        <w:ind w:left="420" w:leftChars="200"/>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五、评标</w:t>
      </w:r>
    </w:p>
    <w:p>
      <w:pPr>
        <w:spacing w:line="360" w:lineRule="auto"/>
        <w:ind w:left="420" w:leftChars="200"/>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六、定标</w:t>
      </w:r>
    </w:p>
    <w:p>
      <w:pPr>
        <w:spacing w:line="360" w:lineRule="auto"/>
        <w:ind w:left="420" w:leftChars="200"/>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七、政府采购合同</w:t>
      </w:r>
    </w:p>
    <w:p>
      <w:pPr>
        <w:spacing w:line="360" w:lineRule="auto"/>
        <w:ind w:left="420" w:leftChars="200"/>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八、询问和质疑</w:t>
      </w:r>
    </w:p>
    <w:p>
      <w:pPr>
        <w:spacing w:line="360" w:lineRule="auto"/>
        <w:ind w:left="420" w:leftChars="200"/>
        <w:rPr>
          <w:rFonts w:hint="eastAsia" w:ascii="宋体" w:hAnsi="宋体" w:eastAsia="宋体" w:cs="宋体"/>
          <w:color w:val="auto"/>
          <w:sz w:val="30"/>
          <w:szCs w:val="30"/>
          <w:highlight w:val="none"/>
        </w:rPr>
      </w:pPr>
    </w:p>
    <w:p>
      <w:pPr>
        <w:spacing w:line="360" w:lineRule="auto"/>
        <w:rPr>
          <w:rFonts w:hint="eastAsia" w:ascii="宋体" w:hAnsi="宋体" w:eastAsia="宋体" w:cs="宋体"/>
          <w:color w:val="auto"/>
          <w:sz w:val="30"/>
          <w:szCs w:val="30"/>
          <w:highlight w:val="none"/>
        </w:rPr>
      </w:pPr>
    </w:p>
    <w:p>
      <w:pPr>
        <w:spacing w:line="360" w:lineRule="auto"/>
        <w:ind w:left="420" w:leftChars="200"/>
        <w:rPr>
          <w:rFonts w:hint="eastAsia" w:ascii="宋体" w:hAnsi="宋体" w:eastAsia="宋体" w:cs="宋体"/>
          <w:color w:val="auto"/>
          <w:sz w:val="30"/>
          <w:szCs w:val="30"/>
          <w:highlight w:val="none"/>
        </w:rPr>
      </w:pPr>
    </w:p>
    <w:p>
      <w:pPr>
        <w:jc w:val="center"/>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br w:type="page"/>
      </w:r>
      <w:r>
        <w:rPr>
          <w:rFonts w:hint="eastAsia" w:ascii="宋体" w:hAnsi="宋体" w:eastAsia="宋体" w:cs="宋体"/>
          <w:b/>
          <w:bCs/>
          <w:color w:val="auto"/>
          <w:sz w:val="30"/>
          <w:szCs w:val="30"/>
          <w:highlight w:val="none"/>
        </w:rPr>
        <w:t>一、总则</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 采购人</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kern w:val="0"/>
          <w:sz w:val="24"/>
          <w:highlight w:val="none"/>
        </w:rPr>
        <w:t>采购人是指依法进行政府采购的国家机关、事业单位、团体组织。</w:t>
      </w: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 政府采购方式</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w:t>
      </w:r>
      <w:r>
        <w:rPr>
          <w:rFonts w:hint="eastAsia" w:ascii="宋体" w:hAnsi="宋体" w:eastAsia="宋体" w:cs="宋体"/>
          <w:color w:val="auto"/>
          <w:kern w:val="0"/>
          <w:sz w:val="24"/>
          <w:highlight w:val="none"/>
        </w:rPr>
        <w:t>政府采购货物或者服务（以下简称“货物服务”）招标分为公开招标和邀请招标。</w:t>
      </w:r>
    </w:p>
    <w:p>
      <w:pPr>
        <w:ind w:firstLine="480" w:firstLineChars="200"/>
        <w:rPr>
          <w:rFonts w:hint="eastAsia" w:ascii="宋体" w:hAnsi="宋体" w:eastAsia="宋体" w:cs="宋体"/>
          <w:color w:val="auto"/>
          <w:sz w:val="24"/>
          <w:highlight w:val="none"/>
        </w:rPr>
      </w:pPr>
    </w:p>
    <w:p>
      <w:pPr>
        <w:widowControl/>
        <w:adjustRightInd w:val="0"/>
        <w:snapToGrid w:val="0"/>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 采购人应当在货物服务招标投标活动中落实节约能源、保护环境、扶持不发达地区和少数民族地区、促进中小企业发展等政府采购政策。</w:t>
      </w:r>
    </w:p>
    <w:p>
      <w:pPr>
        <w:ind w:firstLine="480" w:firstLineChars="200"/>
        <w:rPr>
          <w:rFonts w:hint="eastAsia" w:ascii="宋体" w:hAnsi="宋体" w:eastAsia="宋体" w:cs="宋体"/>
          <w:color w:val="auto"/>
          <w:sz w:val="24"/>
          <w:highlight w:val="none"/>
        </w:rPr>
      </w:pP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 </w:t>
      </w:r>
      <w:r>
        <w:rPr>
          <w:rFonts w:hint="eastAsia" w:ascii="宋体" w:hAnsi="宋体" w:eastAsia="宋体" w:cs="宋体"/>
          <w:color w:val="auto"/>
          <w:kern w:val="0"/>
          <w:sz w:val="24"/>
          <w:highlight w:val="none"/>
        </w:rPr>
        <w:t>采购人应当按照财政部制定的《政府采购品目分类目录》确定采购项目属性。按照《政府采购品目分类目录》无法确定的，按照有利于采购项目实施的原则确定</w:t>
      </w:r>
      <w:r>
        <w:rPr>
          <w:rFonts w:hint="eastAsia" w:ascii="宋体" w:hAnsi="宋体" w:eastAsia="宋体" w:cs="宋体"/>
          <w:color w:val="auto"/>
          <w:sz w:val="24"/>
          <w:highlight w:val="none"/>
        </w:rPr>
        <w:t>。</w:t>
      </w:r>
    </w:p>
    <w:p>
      <w:pPr>
        <w:ind w:firstLine="480" w:firstLineChars="200"/>
        <w:rPr>
          <w:rFonts w:hint="eastAsia" w:ascii="宋体" w:hAnsi="宋体" w:eastAsia="宋体" w:cs="宋体"/>
          <w:color w:val="auto"/>
          <w:kern w:val="0"/>
          <w:sz w:val="24"/>
          <w:highlight w:val="none"/>
        </w:rPr>
      </w:pPr>
    </w:p>
    <w:p>
      <w:pPr>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5.采购人委托采购代理机构代理招标的，采购代理机构应当在采购人委托的范围内依法开展采购活动。</w:t>
      </w:r>
    </w:p>
    <w:p>
      <w:pPr>
        <w:ind w:firstLine="480" w:firstLineChars="200"/>
        <w:rPr>
          <w:rFonts w:hint="eastAsia" w:ascii="宋体" w:hAnsi="宋体" w:eastAsia="宋体" w:cs="宋体"/>
          <w:color w:val="auto"/>
          <w:kern w:val="0"/>
          <w:sz w:val="24"/>
          <w:highlight w:val="none"/>
        </w:rPr>
      </w:pPr>
    </w:p>
    <w:p>
      <w:pPr>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 xml:space="preserve">6. </w:t>
      </w:r>
      <w:r>
        <w:rPr>
          <w:rFonts w:hint="eastAsia" w:ascii="宋体" w:hAnsi="宋体" w:eastAsia="宋体" w:cs="宋体"/>
          <w:color w:val="auto"/>
          <w:kern w:val="0"/>
          <w:sz w:val="24"/>
          <w:highlight w:val="none"/>
        </w:rPr>
        <w:t>投标人的资格条件</w:t>
      </w:r>
    </w:p>
    <w:p>
      <w:pPr>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6.1</w:t>
      </w:r>
      <w:r>
        <w:rPr>
          <w:rFonts w:hint="eastAsia" w:ascii="宋体" w:hAnsi="宋体" w:eastAsia="宋体" w:cs="宋体"/>
          <w:color w:val="auto"/>
          <w:kern w:val="0"/>
          <w:sz w:val="24"/>
          <w:highlight w:val="none"/>
        </w:rPr>
        <w:t>参加政府采购货物服务投标活动的</w:t>
      </w:r>
      <w:r>
        <w:rPr>
          <w:rFonts w:hint="eastAsia" w:ascii="宋体" w:hAnsi="宋体" w:cs="宋体"/>
          <w:color w:val="auto"/>
          <w:kern w:val="0"/>
          <w:sz w:val="24"/>
          <w:highlight w:val="none"/>
          <w:lang w:eastAsia="zh-CN"/>
        </w:rPr>
        <w:t>投标人</w:t>
      </w:r>
      <w:r>
        <w:rPr>
          <w:rFonts w:hint="eastAsia" w:ascii="宋体" w:hAnsi="宋体" w:eastAsia="宋体" w:cs="宋体"/>
          <w:color w:val="auto"/>
          <w:kern w:val="0"/>
          <w:sz w:val="24"/>
          <w:highlight w:val="none"/>
        </w:rPr>
        <w:t>（以下简称“投标人”），应当是提供本国货物服务的本国</w:t>
      </w:r>
      <w:r>
        <w:rPr>
          <w:rFonts w:hint="eastAsia" w:ascii="宋体" w:hAnsi="宋体" w:cs="宋体"/>
          <w:color w:val="auto"/>
          <w:kern w:val="0"/>
          <w:sz w:val="24"/>
          <w:highlight w:val="none"/>
          <w:lang w:eastAsia="zh-CN"/>
        </w:rPr>
        <w:t>投标人</w:t>
      </w:r>
      <w:r>
        <w:rPr>
          <w:rFonts w:hint="eastAsia" w:ascii="宋体" w:hAnsi="宋体" w:eastAsia="宋体" w:cs="宋体"/>
          <w:color w:val="auto"/>
          <w:kern w:val="0"/>
          <w:sz w:val="24"/>
          <w:highlight w:val="none"/>
        </w:rPr>
        <w:t>，但法律、行政法规规定外国</w:t>
      </w:r>
      <w:r>
        <w:rPr>
          <w:rFonts w:hint="eastAsia" w:ascii="宋体" w:hAnsi="宋体" w:cs="宋体"/>
          <w:color w:val="auto"/>
          <w:kern w:val="0"/>
          <w:sz w:val="24"/>
          <w:highlight w:val="none"/>
          <w:lang w:eastAsia="zh-CN"/>
        </w:rPr>
        <w:t>投标人</w:t>
      </w:r>
      <w:r>
        <w:rPr>
          <w:rFonts w:hint="eastAsia" w:ascii="宋体" w:hAnsi="宋体" w:eastAsia="宋体" w:cs="宋体"/>
          <w:color w:val="auto"/>
          <w:kern w:val="0"/>
          <w:sz w:val="24"/>
          <w:highlight w:val="none"/>
        </w:rPr>
        <w:t>可以参加货物服务招标投标活动的除外。</w:t>
      </w:r>
    </w:p>
    <w:p>
      <w:pPr>
        <w:widowControl/>
        <w:adjustRightInd w:val="0"/>
        <w:snapToGrid w:val="0"/>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投标人，是指响应招标、参加投标竞争的法人、其他组织或者自然人。</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6.2 投标人授权代表系指法定代表人或受法人委托的受托人。</w:t>
      </w: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7. 投标费用</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7.1 投标人应承担所有与准备和参加投标有关的费用。无论投标的结果如何，采购代理机构对上述费用不承担任何责任和义务。</w:t>
      </w:r>
    </w:p>
    <w:p>
      <w:pPr>
        <w:rPr>
          <w:rFonts w:hint="eastAsia" w:ascii="宋体" w:hAnsi="宋体" w:eastAsia="宋体" w:cs="宋体"/>
          <w:b/>
          <w:bCs/>
          <w:color w:val="auto"/>
          <w:sz w:val="24"/>
          <w:highlight w:val="none"/>
        </w:rPr>
      </w:pPr>
    </w:p>
    <w:p>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二、招标</w:t>
      </w:r>
    </w:p>
    <w:p>
      <w:pPr>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8. 招标文件的内容</w:t>
      </w:r>
    </w:p>
    <w:p>
      <w:pPr>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8.1</w:t>
      </w:r>
      <w:r>
        <w:rPr>
          <w:rFonts w:hint="eastAsia" w:ascii="宋体" w:hAnsi="宋体" w:eastAsia="宋体" w:cs="宋体"/>
          <w:color w:val="auto"/>
          <w:kern w:val="0"/>
          <w:sz w:val="24"/>
          <w:highlight w:val="none"/>
        </w:rPr>
        <w:t>招标文件包括以下内容：</w:t>
      </w:r>
    </w:p>
    <w:p>
      <w:pPr>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第一章 投标邀请</w:t>
      </w:r>
    </w:p>
    <w:p>
      <w:pPr>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第二章 投标人须知</w:t>
      </w:r>
    </w:p>
    <w:p>
      <w:pPr>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第三章 投标资料表</w:t>
      </w:r>
    </w:p>
    <w:p>
      <w:pPr>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第四章 评标标准</w:t>
      </w:r>
    </w:p>
    <w:p>
      <w:pPr>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第五章 拟签订的合同文本</w:t>
      </w:r>
    </w:p>
    <w:p>
      <w:pPr>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第六章 采购需求</w:t>
      </w:r>
    </w:p>
    <w:p>
      <w:pPr>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第七章 投标文件相关格式</w:t>
      </w:r>
    </w:p>
    <w:p>
      <w:pPr>
        <w:ind w:firstLine="360" w:firstLineChars="150"/>
        <w:rPr>
          <w:rFonts w:hint="eastAsia" w:ascii="宋体" w:hAnsi="宋体" w:eastAsia="宋体" w:cs="宋体"/>
          <w:color w:val="auto"/>
          <w:sz w:val="24"/>
          <w:highlight w:val="none"/>
        </w:rPr>
      </w:pPr>
    </w:p>
    <w:p>
      <w:pPr>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9. 招标文件澄清或者修改</w:t>
      </w:r>
    </w:p>
    <w:p>
      <w:pPr>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9.1采购代理机构可以对已发出的招标文件、资格预审文件、投标邀请书进行必要的澄清或者修改，但不得改变采购标的和资格条件。澄清或者修改应当在原公告发布媒体上发布澄清公告。澄清或者修改的内容为招标文件、资格预审文件、投标邀请书的组成部分。</w:t>
      </w:r>
    </w:p>
    <w:p>
      <w:pPr>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澄清或者修改的内容可能影响投标文件编制的，采购代理机构应当在投标截止时间至少15日前，以书面形式通知所有获取招标文件的潜在投标人；不足15日的，采购代理机构应当顺延提交投标文件的截止时间。</w:t>
      </w:r>
    </w:p>
    <w:p>
      <w:pPr>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9.2现场考察以招标文件第三章《投标资料表》中的要求为准。</w:t>
      </w:r>
    </w:p>
    <w:p>
      <w:pPr>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9.3开标前答疑会以招标文件第三章《投标资料表》中的要求为准。</w:t>
      </w:r>
    </w:p>
    <w:p>
      <w:pPr>
        <w:ind w:firstLine="360" w:firstLineChars="150"/>
        <w:rPr>
          <w:rFonts w:hint="eastAsia" w:ascii="宋体" w:hAnsi="宋体" w:eastAsia="宋体" w:cs="宋体"/>
          <w:color w:val="auto"/>
          <w:sz w:val="24"/>
          <w:highlight w:val="none"/>
        </w:rPr>
      </w:pPr>
    </w:p>
    <w:p>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三、投标</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10. 投标人应当按照招标文件的要求编制投标文件。投标文件应对招标文件提出的要求和条件作出实质性响应。</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 投标文件的语言</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11.1 投标文件以及投标人与采购代理机构就有关投标的往来函电均应使用招标文件第三章《投标资料表》规定的语言书写，否则无效。</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12. 投标文件的构成</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12.1 投标文件的构成以招标文件第三章《投标资料表》中的要求为准。</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12.2投标人应当提交的资格、资信证明文件：以招标文件第三章《投标资料表》中的要求为准。</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13. 投标函和价格表、商务条件、交货和提供服务的时间</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13.1 投标函和价格表：要求见本章12、13，格式见招标文件第七章《投标文件相关格式》中《投标函》和《开标一览表》。</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13.2商务条件：以招标文件第三章《投标资料表》中的要求为准。</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13.3交货和提供服务的时间：以招标文件第三章《投标资料表》中的要求为准。</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14.投标报价要求</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14.1 投标人应按照招标文件的要求报出分项价格和总价。</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14.2 投标人应按照招标文件的要求进行报价，如投标人作出偏离，应在《偏离表》中列出。</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14.3 采购人不支付报价以外的任何费用。</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14.4 投标人所报的价格在合同执行过程中是固定的，不得以任何理由予以变更。投标人提交滑动价格的投标文件在资格性、符合性检查时按照无效投标处理。</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14.5投标人只能提交一个投标价格，投标人提交多个价格的投标文件在资格性、符合性检查时按照无效投标处理。</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15. 投标货币</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15.1以招标文件第三章《投标资料表》中的要求为准。</w:t>
      </w:r>
    </w:p>
    <w:p>
      <w:pPr>
        <w:ind w:firstLine="482" w:firstLineChars="200"/>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16. 投标保证金：本项目不需要交纳投标保证金。</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17. 投标有效期</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17.1投标有效期为开标之日后90天。采购人可以要求对投标有效期延长一次，但该延长期最长不超过30天。</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17.2采购人应在距投标有效期满20日之前书面通知投标人，要求其延长投标有效期。如果有关投标人同意延长投标有效期的要求，其应在原投标有效期期满前以书面形式向采购人确认。</w:t>
      </w:r>
    </w:p>
    <w:p>
      <w:pPr>
        <w:ind w:firstLine="480" w:firstLineChars="200"/>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highlight w:val="none"/>
        </w:rPr>
        <w:t>17.3如果采购人发出要求投标有效期延长的通知并在投标有效期届满前没有收到投标人同意其投标有效期延长的书面通知，则视为该投标人不接受上述延期的要求。</w:t>
      </w:r>
      <w:r>
        <w:rPr>
          <w:rFonts w:hint="eastAsia" w:ascii="宋体" w:hAnsi="宋体" w:eastAsia="宋体" w:cs="宋体"/>
          <w:b/>
          <w:bCs/>
          <w:color w:val="auto"/>
          <w:sz w:val="24"/>
          <w:highlight w:val="none"/>
          <w:lang w:val="en-US" w:eastAsia="zh-CN"/>
        </w:rPr>
        <w:t xml:space="preserve"> </w:t>
      </w:r>
    </w:p>
    <w:p>
      <w:pPr>
        <w:numPr>
          <w:ilvl w:val="0"/>
          <w:numId w:val="0"/>
        </w:numP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val="en-US" w:eastAsia="zh-CN"/>
        </w:rPr>
        <w:t xml:space="preserve">    18.</w:t>
      </w:r>
      <w:r>
        <w:rPr>
          <w:rFonts w:hint="eastAsia" w:ascii="宋体" w:hAnsi="宋体" w:eastAsia="宋体" w:cs="宋体"/>
          <w:b/>
          <w:bCs/>
          <w:color w:val="auto"/>
          <w:sz w:val="24"/>
          <w:highlight w:val="none"/>
        </w:rPr>
        <w:t>投标文件的编制要求和签署要求：</w:t>
      </w:r>
    </w:p>
    <w:p>
      <w:pPr>
        <w:spacing w:line="400" w:lineRule="exact"/>
        <w:ind w:firstLine="482"/>
        <w:rPr>
          <w:rFonts w:hint="eastAsia" w:ascii="宋体" w:hAnsi="宋体" w:cs="宋体"/>
          <w:b/>
          <w:bCs/>
          <w:color w:val="auto"/>
          <w:kern w:val="0"/>
          <w:sz w:val="24"/>
          <w:highlight w:val="none"/>
          <w:u w:val="none"/>
        </w:rPr>
      </w:pPr>
      <w:r>
        <w:rPr>
          <w:rFonts w:hint="eastAsia" w:ascii="宋体" w:hAnsi="宋体" w:cs="宋体"/>
          <w:b/>
          <w:bCs/>
          <w:color w:val="auto"/>
          <w:kern w:val="0"/>
          <w:sz w:val="24"/>
          <w:highlight w:val="none"/>
          <w:u w:val="none"/>
        </w:rPr>
        <w:t>18.1.</w:t>
      </w:r>
      <w:r>
        <w:rPr>
          <w:rFonts w:hint="eastAsia" w:ascii="宋体" w:hAnsi="宋体" w:cs="宋体"/>
          <w:b/>
          <w:bCs/>
          <w:color w:val="auto"/>
          <w:kern w:val="0"/>
          <w:sz w:val="24"/>
          <w:highlight w:val="none"/>
          <w:u w:val="none"/>
          <w:lang w:val="en-US" w:eastAsia="zh-CN"/>
        </w:rPr>
        <w:t>各标段</w:t>
      </w:r>
      <w:r>
        <w:rPr>
          <w:rFonts w:hint="eastAsia" w:ascii="宋体" w:hAnsi="宋体" w:cs="宋体"/>
          <w:b/>
          <w:bCs/>
          <w:color w:val="auto"/>
          <w:kern w:val="0"/>
          <w:sz w:val="24"/>
          <w:highlight w:val="none"/>
          <w:u w:val="none"/>
        </w:rPr>
        <w:t>电子投标文件要求</w:t>
      </w:r>
    </w:p>
    <w:p>
      <w:pPr>
        <w:spacing w:line="400" w:lineRule="exact"/>
        <w:ind w:firstLine="482"/>
        <w:rPr>
          <w:rFonts w:hint="eastAsia" w:ascii="宋体" w:hAnsi="宋体" w:cs="宋体"/>
          <w:b/>
          <w:bCs/>
          <w:color w:val="auto"/>
          <w:kern w:val="0"/>
          <w:sz w:val="24"/>
          <w:highlight w:val="none"/>
          <w:u w:val="none"/>
        </w:rPr>
      </w:pPr>
      <w:r>
        <w:rPr>
          <w:rFonts w:hint="eastAsia" w:ascii="宋体" w:hAnsi="宋体" w:cs="宋体"/>
          <w:b/>
          <w:bCs/>
          <w:color w:val="auto"/>
          <w:kern w:val="0"/>
          <w:sz w:val="24"/>
          <w:highlight w:val="none"/>
          <w:u w:val="none"/>
        </w:rPr>
        <w:t>（1）投标人应由其法定代表人或法定代表人授权代表在规定的网上投标时间，凭 CA 证书登陆徐州市公共资源交易平台在线编制投标文件（电子数据），并在投标截止时间之前上传投标文件。</w:t>
      </w:r>
    </w:p>
    <w:p>
      <w:pPr>
        <w:spacing w:line="400" w:lineRule="exact"/>
        <w:ind w:firstLine="482"/>
        <w:rPr>
          <w:rFonts w:hint="eastAsia" w:ascii="宋体" w:hAnsi="宋体" w:cs="宋体"/>
          <w:b/>
          <w:bCs/>
          <w:color w:val="auto"/>
          <w:kern w:val="0"/>
          <w:sz w:val="24"/>
          <w:highlight w:val="none"/>
          <w:u w:val="none"/>
        </w:rPr>
      </w:pPr>
      <w:r>
        <w:rPr>
          <w:rFonts w:hint="eastAsia" w:ascii="宋体" w:hAnsi="宋体" w:cs="宋体"/>
          <w:b/>
          <w:bCs/>
          <w:color w:val="auto"/>
          <w:kern w:val="0"/>
          <w:sz w:val="24"/>
          <w:highlight w:val="none"/>
          <w:u w:val="none"/>
        </w:rPr>
        <w:t>（2）投标人应对 CA 证书妥善保管，如被他人盗用投标，因此带来的结果均由投标人自行承担。</w:t>
      </w:r>
    </w:p>
    <w:p>
      <w:pPr>
        <w:spacing w:line="400" w:lineRule="exact"/>
        <w:ind w:firstLine="482"/>
        <w:rPr>
          <w:rFonts w:hint="eastAsia" w:ascii="宋体" w:hAnsi="宋体" w:cs="宋体"/>
          <w:b/>
          <w:bCs/>
          <w:color w:val="auto"/>
          <w:kern w:val="0"/>
          <w:sz w:val="24"/>
          <w:highlight w:val="none"/>
          <w:u w:val="none"/>
        </w:rPr>
      </w:pPr>
      <w:r>
        <w:rPr>
          <w:rFonts w:hint="eastAsia" w:ascii="宋体" w:hAnsi="宋体" w:cs="宋体"/>
          <w:b/>
          <w:bCs/>
          <w:color w:val="auto"/>
          <w:kern w:val="0"/>
          <w:sz w:val="24"/>
          <w:highlight w:val="none"/>
          <w:u w:val="none"/>
        </w:rPr>
        <w:t>（3）投标人在投标现场应带好 CA 证书进行现场解密，因此带来的结果均由投标人自行承担。</w:t>
      </w:r>
    </w:p>
    <w:p>
      <w:pPr>
        <w:spacing w:line="400" w:lineRule="exact"/>
        <w:ind w:firstLine="482"/>
        <w:rPr>
          <w:rFonts w:hint="eastAsia" w:ascii="宋体" w:hAnsi="宋体" w:cs="宋体"/>
          <w:b/>
          <w:bCs/>
          <w:color w:val="auto"/>
          <w:kern w:val="0"/>
          <w:sz w:val="24"/>
          <w:highlight w:val="none"/>
          <w:u w:val="none"/>
        </w:rPr>
      </w:pPr>
      <w:r>
        <w:rPr>
          <w:rFonts w:hint="eastAsia" w:ascii="宋体" w:hAnsi="宋体" w:cs="宋体"/>
          <w:b/>
          <w:bCs/>
          <w:color w:val="auto"/>
          <w:kern w:val="0"/>
          <w:sz w:val="24"/>
          <w:highlight w:val="none"/>
          <w:u w:val="none"/>
        </w:rPr>
        <w:t>（4）投标人应当对招标文件提出的要求和条件作出实质性响应，并在电子投标系统逐条应答。</w:t>
      </w:r>
    </w:p>
    <w:p>
      <w:pPr>
        <w:spacing w:line="400" w:lineRule="exact"/>
        <w:ind w:firstLine="482"/>
        <w:rPr>
          <w:rFonts w:hint="eastAsia" w:ascii="宋体" w:hAnsi="宋体" w:cs="宋体"/>
          <w:b/>
          <w:bCs/>
          <w:color w:val="auto"/>
          <w:kern w:val="0"/>
          <w:sz w:val="24"/>
          <w:highlight w:val="none"/>
          <w:u w:val="none"/>
        </w:rPr>
      </w:pPr>
      <w:r>
        <w:rPr>
          <w:rFonts w:hint="eastAsia" w:ascii="宋体" w:hAnsi="宋体" w:cs="宋体"/>
          <w:b/>
          <w:bCs/>
          <w:color w:val="auto"/>
          <w:kern w:val="0"/>
          <w:sz w:val="24"/>
          <w:highlight w:val="none"/>
          <w:u w:val="none"/>
        </w:rPr>
        <w:t>（5）投标人应对要求提供的资格证明文件（如资质证书、资格证书）、技术资料（如白皮书、彩页、手册、检测报告等）扫描上传至投标系统。</w:t>
      </w:r>
    </w:p>
    <w:p>
      <w:pPr>
        <w:spacing w:line="400" w:lineRule="exact"/>
        <w:ind w:firstLine="482"/>
        <w:rPr>
          <w:rFonts w:hint="eastAsia" w:ascii="宋体" w:hAnsi="宋体" w:cs="宋体"/>
          <w:b/>
          <w:bCs/>
          <w:color w:val="auto"/>
          <w:kern w:val="0"/>
          <w:sz w:val="24"/>
          <w:highlight w:val="none"/>
          <w:u w:val="none"/>
        </w:rPr>
      </w:pPr>
      <w:r>
        <w:rPr>
          <w:rFonts w:hint="eastAsia" w:ascii="宋体" w:hAnsi="宋体" w:cs="宋体"/>
          <w:b/>
          <w:bCs/>
          <w:color w:val="auto"/>
          <w:kern w:val="0"/>
          <w:sz w:val="24"/>
          <w:highlight w:val="none"/>
          <w:u w:val="none"/>
        </w:rPr>
        <w:t xml:space="preserve">18.2. </w:t>
      </w:r>
      <w:r>
        <w:rPr>
          <w:rFonts w:hint="eastAsia" w:ascii="宋体" w:hAnsi="宋体" w:cs="宋体"/>
          <w:b/>
          <w:bCs/>
          <w:color w:val="auto"/>
          <w:kern w:val="0"/>
          <w:sz w:val="24"/>
          <w:highlight w:val="none"/>
          <w:u w:val="none"/>
          <w:lang w:val="en-US" w:eastAsia="zh-CN"/>
        </w:rPr>
        <w:t>各标段</w:t>
      </w:r>
      <w:r>
        <w:rPr>
          <w:rFonts w:hint="eastAsia" w:ascii="宋体" w:hAnsi="宋体" w:cs="宋体"/>
          <w:b/>
          <w:bCs/>
          <w:color w:val="auto"/>
          <w:kern w:val="0"/>
          <w:sz w:val="24"/>
          <w:highlight w:val="none"/>
          <w:u w:val="none"/>
        </w:rPr>
        <w:t>纸质投标文件要求</w:t>
      </w:r>
    </w:p>
    <w:p>
      <w:pPr>
        <w:spacing w:line="400" w:lineRule="exact"/>
        <w:ind w:firstLine="482"/>
        <w:rPr>
          <w:rFonts w:hint="eastAsia" w:ascii="宋体" w:hAnsi="宋体" w:cs="宋体"/>
          <w:b/>
          <w:bCs/>
          <w:color w:val="auto"/>
          <w:kern w:val="0"/>
          <w:sz w:val="24"/>
          <w:highlight w:val="none"/>
          <w:u w:val="none"/>
        </w:rPr>
      </w:pPr>
      <w:r>
        <w:rPr>
          <w:rFonts w:hint="eastAsia" w:ascii="宋体" w:hAnsi="宋体" w:cs="宋体"/>
          <w:b/>
          <w:bCs/>
          <w:color w:val="auto"/>
          <w:kern w:val="0"/>
          <w:sz w:val="24"/>
          <w:highlight w:val="none"/>
          <w:u w:val="none"/>
        </w:rPr>
        <w:t>（1）投标人应在投标截止时间前，将纸质投标文件伍份（壹正肆副）、《开标一览表》壹份及证明材料原件（如有）一并提交。</w:t>
      </w:r>
    </w:p>
    <w:p>
      <w:pPr>
        <w:spacing w:line="400" w:lineRule="exact"/>
        <w:ind w:firstLine="482"/>
        <w:rPr>
          <w:rFonts w:hint="eastAsia" w:ascii="宋体" w:hAnsi="宋体" w:cs="宋体"/>
          <w:b/>
          <w:bCs/>
          <w:color w:val="auto"/>
          <w:kern w:val="0"/>
          <w:sz w:val="24"/>
          <w:highlight w:val="none"/>
          <w:u w:val="none"/>
        </w:rPr>
      </w:pPr>
      <w:r>
        <w:rPr>
          <w:rFonts w:hint="eastAsia" w:ascii="宋体" w:hAnsi="宋体" w:cs="宋体"/>
          <w:b/>
          <w:bCs/>
          <w:color w:val="auto"/>
          <w:kern w:val="0"/>
          <w:sz w:val="24"/>
          <w:highlight w:val="none"/>
          <w:u w:val="none"/>
        </w:rPr>
        <w:t>（2）按本章（10）规定所编制的每份投标文件正本和所有副本，均需打印或用不退色墨水书写。</w:t>
      </w:r>
    </w:p>
    <w:p>
      <w:pPr>
        <w:spacing w:line="400" w:lineRule="exact"/>
        <w:ind w:firstLine="482"/>
        <w:rPr>
          <w:rFonts w:hint="eastAsia" w:ascii="宋体" w:hAnsi="宋体" w:cs="宋体"/>
          <w:b/>
          <w:bCs/>
          <w:color w:val="auto"/>
          <w:kern w:val="0"/>
          <w:sz w:val="24"/>
          <w:highlight w:val="none"/>
          <w:u w:val="none"/>
        </w:rPr>
      </w:pPr>
      <w:r>
        <w:rPr>
          <w:rFonts w:hint="eastAsia" w:ascii="宋体" w:hAnsi="宋体" w:cs="宋体"/>
          <w:b/>
          <w:bCs/>
          <w:color w:val="auto"/>
          <w:kern w:val="0"/>
          <w:sz w:val="24"/>
          <w:highlight w:val="none"/>
          <w:u w:val="none"/>
        </w:rPr>
        <w:t>（3）投标文件中任何行间插字、涂改和增删，必须由投标人授权代表在旁边签字或加盖投标人公章方为有效。</w:t>
      </w:r>
    </w:p>
    <w:p>
      <w:pPr>
        <w:spacing w:line="400" w:lineRule="exact"/>
        <w:ind w:firstLine="482"/>
        <w:rPr>
          <w:rFonts w:hint="eastAsia" w:ascii="宋体" w:hAnsi="宋体" w:cs="宋体"/>
          <w:b/>
          <w:bCs/>
          <w:color w:val="auto"/>
          <w:kern w:val="0"/>
          <w:sz w:val="24"/>
          <w:highlight w:val="none"/>
          <w:u w:val="none"/>
        </w:rPr>
      </w:pPr>
      <w:r>
        <w:rPr>
          <w:rFonts w:hint="eastAsia" w:ascii="宋体" w:hAnsi="宋体" w:cs="宋体"/>
          <w:b/>
          <w:bCs/>
          <w:color w:val="auto"/>
          <w:kern w:val="0"/>
          <w:sz w:val="24"/>
          <w:highlight w:val="none"/>
          <w:u w:val="none"/>
        </w:rPr>
        <w:t>19. 投标文件的密封、盖章要求</w:t>
      </w:r>
    </w:p>
    <w:p>
      <w:pPr>
        <w:spacing w:line="400" w:lineRule="exact"/>
        <w:ind w:firstLine="482"/>
        <w:rPr>
          <w:rFonts w:hint="eastAsia" w:ascii="宋体" w:hAnsi="宋体" w:cs="宋体"/>
          <w:b/>
          <w:bCs/>
          <w:color w:val="auto"/>
          <w:kern w:val="0"/>
          <w:sz w:val="24"/>
          <w:highlight w:val="none"/>
          <w:u w:val="none"/>
        </w:rPr>
      </w:pPr>
      <w:r>
        <w:rPr>
          <w:rFonts w:hint="eastAsia" w:ascii="宋体" w:hAnsi="宋体" w:cs="宋体"/>
          <w:b/>
          <w:bCs/>
          <w:color w:val="auto"/>
          <w:kern w:val="0"/>
          <w:sz w:val="24"/>
          <w:highlight w:val="none"/>
          <w:u w:val="none"/>
        </w:rPr>
        <w:t>19.1 投标人应在纸质投标文件封面上注明“正本”或“副本”，并将纸质投标文件密封，封袋上应标明《投标文件》字样。</w:t>
      </w:r>
    </w:p>
    <w:p>
      <w:pPr>
        <w:spacing w:line="400" w:lineRule="exact"/>
        <w:ind w:firstLine="482"/>
        <w:rPr>
          <w:rFonts w:hint="eastAsia" w:ascii="宋体" w:hAnsi="宋体" w:cs="宋体"/>
          <w:b/>
          <w:bCs/>
          <w:color w:val="auto"/>
          <w:kern w:val="0"/>
          <w:sz w:val="24"/>
          <w:highlight w:val="none"/>
          <w:u w:val="none"/>
        </w:rPr>
      </w:pPr>
      <w:r>
        <w:rPr>
          <w:rFonts w:hint="eastAsia" w:ascii="宋体" w:hAnsi="宋体" w:cs="宋体"/>
          <w:b/>
          <w:bCs/>
          <w:color w:val="auto"/>
          <w:kern w:val="0"/>
          <w:sz w:val="24"/>
          <w:highlight w:val="none"/>
          <w:u w:val="none"/>
        </w:rPr>
        <w:t>19.2 上述封袋上都应标明投标人（全称）、项目编号、项目名称</w:t>
      </w:r>
      <w:r>
        <w:rPr>
          <w:rFonts w:hint="eastAsia" w:ascii="宋体" w:hAnsi="宋体" w:cs="宋体"/>
          <w:b/>
          <w:bCs/>
          <w:color w:val="auto"/>
          <w:kern w:val="0"/>
          <w:sz w:val="24"/>
          <w:highlight w:val="none"/>
          <w:u w:val="none"/>
          <w:lang w:eastAsia="zh-CN"/>
        </w:rPr>
        <w:t>、</w:t>
      </w:r>
      <w:r>
        <w:rPr>
          <w:rFonts w:hint="eastAsia" w:ascii="宋体" w:hAnsi="宋体" w:cs="宋体"/>
          <w:b/>
          <w:bCs/>
          <w:color w:val="auto"/>
          <w:kern w:val="0"/>
          <w:sz w:val="24"/>
          <w:highlight w:val="none"/>
          <w:u w:val="none"/>
          <w:lang w:val="en-US" w:eastAsia="zh-CN"/>
        </w:rPr>
        <w:t>标段号</w:t>
      </w:r>
      <w:r>
        <w:rPr>
          <w:rFonts w:hint="eastAsia" w:ascii="宋体" w:hAnsi="宋体" w:cs="宋体"/>
          <w:b/>
          <w:bCs/>
          <w:color w:val="auto"/>
          <w:kern w:val="0"/>
          <w:sz w:val="24"/>
          <w:highlight w:val="none"/>
          <w:u w:val="none"/>
        </w:rPr>
        <w:t>及</w:t>
      </w:r>
      <w:r>
        <w:rPr>
          <w:rFonts w:hint="eastAsia" w:ascii="宋体" w:hAnsi="宋体" w:cs="宋体"/>
          <w:b/>
          <w:bCs/>
          <w:color w:val="auto"/>
          <w:kern w:val="0"/>
          <w:sz w:val="24"/>
          <w:highlight w:val="none"/>
          <w:u w:val="single"/>
        </w:rPr>
        <w:t>“于2021年</w:t>
      </w:r>
      <w:r>
        <w:rPr>
          <w:rFonts w:hint="eastAsia" w:ascii="宋体" w:hAnsi="宋体" w:cs="宋体"/>
          <w:b/>
          <w:bCs/>
          <w:color w:val="auto"/>
          <w:kern w:val="0"/>
          <w:sz w:val="24"/>
          <w:highlight w:val="none"/>
          <w:u w:val="single"/>
          <w:lang w:val="en-US" w:eastAsia="zh-CN"/>
        </w:rPr>
        <w:t>10</w:t>
      </w:r>
      <w:r>
        <w:rPr>
          <w:rFonts w:hint="eastAsia" w:ascii="宋体" w:hAnsi="宋体" w:cs="宋体"/>
          <w:b/>
          <w:bCs/>
          <w:color w:val="auto"/>
          <w:kern w:val="0"/>
          <w:sz w:val="24"/>
          <w:highlight w:val="none"/>
          <w:u w:val="single"/>
        </w:rPr>
        <w:t>月</w:t>
      </w:r>
      <w:r>
        <w:rPr>
          <w:rFonts w:hint="eastAsia" w:ascii="宋体" w:hAnsi="宋体" w:cs="宋体"/>
          <w:b/>
          <w:bCs/>
          <w:color w:val="auto"/>
          <w:kern w:val="0"/>
          <w:sz w:val="24"/>
          <w:highlight w:val="none"/>
          <w:u w:val="single"/>
          <w:lang w:val="en-US" w:eastAsia="zh-CN"/>
        </w:rPr>
        <w:t>19</w:t>
      </w:r>
      <w:r>
        <w:rPr>
          <w:rFonts w:hint="eastAsia" w:ascii="宋体" w:hAnsi="宋体" w:cs="宋体"/>
          <w:b/>
          <w:bCs/>
          <w:color w:val="auto"/>
          <w:kern w:val="0"/>
          <w:sz w:val="24"/>
          <w:highlight w:val="none"/>
          <w:u w:val="single"/>
        </w:rPr>
        <w:t>日北京时间</w:t>
      </w:r>
      <w:r>
        <w:rPr>
          <w:rFonts w:hint="eastAsia" w:ascii="宋体" w:hAnsi="宋体" w:cs="宋体"/>
          <w:b/>
          <w:bCs/>
          <w:color w:val="auto"/>
          <w:kern w:val="0"/>
          <w:sz w:val="24"/>
          <w:highlight w:val="none"/>
          <w:u w:val="single"/>
          <w:lang w:eastAsia="zh-CN"/>
        </w:rPr>
        <w:t>10:00</w:t>
      </w:r>
      <w:r>
        <w:rPr>
          <w:rFonts w:hint="eastAsia" w:ascii="宋体" w:hAnsi="宋体" w:cs="宋体"/>
          <w:b/>
          <w:bCs/>
          <w:color w:val="auto"/>
          <w:kern w:val="0"/>
          <w:sz w:val="24"/>
          <w:highlight w:val="none"/>
          <w:u w:val="single"/>
        </w:rPr>
        <w:t>之前不准启封”</w:t>
      </w:r>
      <w:r>
        <w:rPr>
          <w:rFonts w:hint="eastAsia" w:ascii="宋体" w:hAnsi="宋体" w:cs="宋体"/>
          <w:b/>
          <w:bCs/>
          <w:color w:val="auto"/>
          <w:kern w:val="0"/>
          <w:sz w:val="24"/>
          <w:highlight w:val="none"/>
          <w:u w:val="none"/>
        </w:rPr>
        <w:t>字样。</w:t>
      </w:r>
    </w:p>
    <w:p>
      <w:pPr>
        <w:spacing w:line="400" w:lineRule="exact"/>
        <w:ind w:firstLine="482"/>
        <w:rPr>
          <w:rFonts w:hint="eastAsia" w:ascii="宋体" w:hAnsi="宋体" w:cs="宋体"/>
          <w:b/>
          <w:bCs/>
          <w:color w:val="auto"/>
          <w:kern w:val="0"/>
          <w:sz w:val="24"/>
          <w:highlight w:val="none"/>
          <w:u w:val="none"/>
        </w:rPr>
      </w:pPr>
      <w:r>
        <w:rPr>
          <w:rFonts w:hint="eastAsia" w:ascii="宋体" w:hAnsi="宋体" w:cs="宋体"/>
          <w:b/>
          <w:bCs/>
          <w:color w:val="auto"/>
          <w:kern w:val="0"/>
          <w:sz w:val="24"/>
          <w:highlight w:val="none"/>
          <w:u w:val="none"/>
        </w:rPr>
        <w:t>19.3 投标文件的盖章要求以招标文件第三章《投标资料表》中的要求为准。</w:t>
      </w:r>
    </w:p>
    <w:p>
      <w:pPr>
        <w:spacing w:line="400" w:lineRule="exact"/>
        <w:ind w:firstLine="482"/>
        <w:rPr>
          <w:rFonts w:hint="eastAsia" w:ascii="宋体" w:hAnsi="宋体" w:cs="宋体"/>
          <w:b/>
          <w:bCs/>
          <w:color w:val="auto"/>
          <w:kern w:val="0"/>
          <w:sz w:val="24"/>
          <w:highlight w:val="none"/>
          <w:u w:val="none"/>
        </w:rPr>
      </w:pPr>
      <w:r>
        <w:rPr>
          <w:rFonts w:hint="eastAsia" w:ascii="宋体" w:hAnsi="宋体" w:cs="宋体"/>
          <w:b/>
          <w:bCs/>
          <w:color w:val="auto"/>
          <w:kern w:val="0"/>
          <w:sz w:val="24"/>
          <w:highlight w:val="none"/>
          <w:u w:val="none"/>
        </w:rPr>
        <w:t>19.4投标文件应</w:t>
      </w:r>
      <w:r>
        <w:rPr>
          <w:rFonts w:hint="eastAsia" w:ascii="宋体" w:hAnsi="宋体" w:cs="宋体"/>
          <w:b/>
          <w:bCs/>
          <w:color w:val="auto"/>
          <w:kern w:val="0"/>
          <w:sz w:val="24"/>
          <w:highlight w:val="none"/>
          <w:u w:val="none"/>
          <w:lang w:val="en-US" w:eastAsia="zh-CN"/>
        </w:rPr>
        <w:t>胶装</w:t>
      </w:r>
      <w:r>
        <w:rPr>
          <w:rFonts w:hint="eastAsia" w:ascii="宋体" w:hAnsi="宋体" w:cs="宋体"/>
          <w:b/>
          <w:bCs/>
          <w:color w:val="auto"/>
          <w:kern w:val="0"/>
          <w:sz w:val="24"/>
          <w:highlight w:val="none"/>
          <w:u w:val="none"/>
        </w:rPr>
        <w:t>成册，编制目录，注明页码，并按照招标文件规定要求加盖投标人公章。投标文件的副本可以是正本的复印件。</w:t>
      </w:r>
    </w:p>
    <w:p>
      <w:pPr>
        <w:spacing w:line="360" w:lineRule="auto"/>
        <w:ind w:firstLine="482"/>
        <w:rPr>
          <w:rFonts w:hint="eastAsia" w:ascii="宋体" w:hAnsi="宋体" w:cs="宋体"/>
          <w:b/>
          <w:bCs/>
          <w:color w:val="auto"/>
          <w:kern w:val="0"/>
          <w:sz w:val="24"/>
          <w:highlight w:val="none"/>
          <w:u w:val="none"/>
        </w:rPr>
      </w:pPr>
      <w:r>
        <w:rPr>
          <w:rFonts w:hint="eastAsia" w:ascii="宋体" w:hAnsi="宋体" w:cs="宋体"/>
          <w:b/>
          <w:bCs/>
          <w:color w:val="auto"/>
          <w:kern w:val="0"/>
          <w:sz w:val="24"/>
          <w:highlight w:val="none"/>
          <w:u w:val="none"/>
        </w:rPr>
        <w:t>19.5投标文件装订的次序按第三章《投标资料表》的要求进行。</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20. 提交投标文件的截止时间</w:t>
      </w:r>
    </w:p>
    <w:p>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 xml:space="preserve">20.1 </w:t>
      </w:r>
      <w:r>
        <w:rPr>
          <w:rFonts w:hint="eastAsia" w:ascii="宋体" w:hAnsi="宋体" w:cs="宋体"/>
          <w:b/>
          <w:bCs/>
          <w:color w:val="auto"/>
          <w:kern w:val="0"/>
          <w:sz w:val="24"/>
          <w:highlight w:val="none"/>
          <w:u w:val="none"/>
        </w:rPr>
        <w:t>投标人应当在招标文件要求提交投标文件的截止时间前，上传电子投标文件并将纸质投标文件密封及携带CA锁到达开标现场。采购代理机构收到投标文件后，应当签收保存，任何单位和个人不得在开标前开启投标文件</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 凡在招标文件要求提交投标文件的截止时间之后送达的投标文件，均为无效投标文件，采购代理机构应当拒收。在规定时间内各投标人携带CA锁进行网上解密。</w:t>
      </w:r>
    </w:p>
    <w:p>
      <w:pPr>
        <w:ind w:firstLine="480" w:firstLineChars="200"/>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22. 投标人在投标截止时间前，可以对所递交的投标文件进行补充、修改或者撤回，但应书面通知采购代理机构。其所进行补充、修改的内容，应当按照招标文件要求进行签署、盖章、密封，然后纳为投标文件的组成部分。</w:t>
      </w:r>
    </w:p>
    <w:p>
      <w:pPr>
        <w:widowControl/>
        <w:numPr>
          <w:ilvl w:val="0"/>
          <w:numId w:val="0"/>
        </w:numPr>
        <w:adjustRightInd w:val="0"/>
        <w:snapToGrid w:val="0"/>
        <w:jc w:val="left"/>
        <w:rPr>
          <w:rFonts w:hint="eastAsia" w:ascii="宋体" w:hAnsi="宋体" w:eastAsia="宋体" w:cs="宋体"/>
          <w:color w:val="auto"/>
          <w:sz w:val="24"/>
          <w:highlight w:val="none"/>
        </w:rPr>
      </w:pPr>
      <w:r>
        <w:rPr>
          <w:rFonts w:hint="eastAsia" w:ascii="宋体" w:hAnsi="宋体" w:eastAsia="宋体" w:cs="宋体"/>
          <w:b/>
          <w:bCs/>
          <w:color w:val="auto"/>
          <w:sz w:val="24"/>
          <w:highlight w:val="none"/>
          <w:lang w:val="en-US" w:eastAsia="zh-CN"/>
        </w:rPr>
        <w:t xml:space="preserve">    23.</w:t>
      </w:r>
      <w:r>
        <w:rPr>
          <w:rFonts w:hint="eastAsia" w:ascii="宋体" w:hAnsi="宋体" w:eastAsia="宋体" w:cs="宋体"/>
          <w:b/>
          <w:bCs/>
          <w:color w:val="auto"/>
          <w:sz w:val="24"/>
          <w:highlight w:val="none"/>
        </w:rPr>
        <w:t>本项目不允许分包。</w:t>
      </w: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24. 投标人应当遵循公平竞争的原则，不得恶意串通，不得妨碍其他投标人的竞争行为，不得损害采购人或者其他投标人的合法权益。</w:t>
      </w: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在评标过程中发现投标人有上述情形的，评标委员会应当认定其投标无效，并书面报告本级财政部门。</w:t>
      </w: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25. 有下列情形之一的，视为投标人串通投标，其投标无效：</w:t>
      </w:r>
    </w:p>
    <w:p>
      <w:pPr>
        <w:widowControl/>
        <w:adjustRightInd w:val="0"/>
        <w:snapToGrid w:val="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（一）不同投标人的投标文件由同一单位或者个人编制；</w:t>
      </w:r>
    </w:p>
    <w:p>
      <w:pPr>
        <w:widowControl/>
        <w:adjustRightInd w:val="0"/>
        <w:snapToGrid w:val="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（二）不同投标人委托同一单位或者个人办理投标事宜；</w:t>
      </w:r>
    </w:p>
    <w:p>
      <w:pPr>
        <w:widowControl/>
        <w:adjustRightInd w:val="0"/>
        <w:snapToGrid w:val="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（三）不同投标人的投标文件载明的项目管理成员或者联系人员为同一人；</w:t>
      </w:r>
    </w:p>
    <w:p>
      <w:pPr>
        <w:widowControl/>
        <w:adjustRightInd w:val="0"/>
        <w:snapToGrid w:val="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（四）不同投标人的投标文件异常一致或者投标报价呈规律性差异；</w:t>
      </w:r>
    </w:p>
    <w:p>
      <w:pPr>
        <w:widowControl/>
        <w:adjustRightInd w:val="0"/>
        <w:snapToGrid w:val="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（五）不同投标人的投标文件相互混装；</w:t>
      </w:r>
    </w:p>
    <w:p>
      <w:pPr>
        <w:widowControl/>
        <w:adjustRightInd w:val="0"/>
        <w:snapToGrid w:val="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（六）电子投标文件未按规定期限投标的，纸质投标文件未按规定的期限、地点送达的；</w:t>
      </w:r>
    </w:p>
    <w:p>
      <w:pPr>
        <w:pStyle w:val="5"/>
        <w:rPr>
          <w:rFonts w:hint="eastAsia" w:ascii="宋体" w:hAnsi="宋体" w:eastAsia="宋体" w:cs="宋体"/>
          <w:color w:val="auto"/>
          <w:highlight w:val="none"/>
        </w:rPr>
      </w:pPr>
      <w:r>
        <w:rPr>
          <w:rFonts w:hint="eastAsia" w:ascii="宋体" w:hAnsi="宋体" w:eastAsia="宋体" w:cs="宋体"/>
          <w:color w:val="auto"/>
          <w:highlight w:val="none"/>
        </w:rPr>
        <w:t>（七）电子投标文件未按招标文件要求签章的；</w:t>
      </w:r>
    </w:p>
    <w:p>
      <w:pPr>
        <w:pStyle w:val="19"/>
        <w:rPr>
          <w:rFonts w:hint="eastAsia" w:ascii="宋体" w:hAnsi="宋体" w:eastAsia="宋体" w:cs="宋体"/>
          <w:color w:val="auto"/>
          <w:sz w:val="24"/>
          <w:highlight w:val="none"/>
        </w:rPr>
      </w:pPr>
      <w:r>
        <w:rPr>
          <w:rFonts w:hint="eastAsia" w:ascii="宋体" w:hAnsi="宋体" w:eastAsia="宋体" w:cs="宋体"/>
          <w:color w:val="auto"/>
          <w:sz w:val="24"/>
          <w:highlight w:val="none"/>
        </w:rPr>
        <w:t>（八）投标人未在规定时间内解密电子投标文件的；</w:t>
      </w:r>
    </w:p>
    <w:p>
      <w:pPr>
        <w:pStyle w:val="18"/>
        <w:ind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（九）投标文件未按招标文件规定的内容和要求填写的；没有在投标系统指定位置上传对应文件、材料的；</w:t>
      </w:r>
    </w:p>
    <w:p>
      <w:pPr>
        <w:rPr>
          <w:rFonts w:hint="eastAsia" w:ascii="宋体" w:hAnsi="宋体" w:eastAsia="宋体" w:cs="宋体"/>
          <w:color w:val="auto"/>
          <w:highlight w:val="none"/>
        </w:rPr>
      </w:pPr>
      <w:r>
        <w:rPr>
          <w:rFonts w:hint="eastAsia" w:ascii="宋体" w:hAnsi="宋体" w:eastAsia="宋体" w:cs="宋体"/>
          <w:color w:val="auto"/>
          <w:sz w:val="24"/>
          <w:highlight w:val="none"/>
        </w:rPr>
        <w:t>（十）不同投标人投标文件内容存在非正常一致、项目组成员出现同一人、投标文件中错误（ 或异常）一致或雷同、电子文档信息一致或雷同的、投标报价呈规律性差异的。</w:t>
      </w:r>
    </w:p>
    <w:p>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四、开标</w:t>
      </w: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26. 开标</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26.1开标时间及地点。开标应当在招标文件确定的提交投标文件截止时间的同一时间公开进行；开标地点应当为招标文件中预先确定的地点。</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26.2开标由采购代理机构主持，邀请投标人参加。</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26.3开标时，应当由投标人或者其推选的代表检查投标文件的密封情况，经确认无误后，由采购代理机构工作人员当众拆封，并宣布投标人名称、投标价格和招标文件规定的需要宣布的其他内容。</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投标人不足3家的，不得开标。</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26.4开标过程由采购代理机构负责记录，由参加开标的各投标人代表和相关工作人员签字确认。投标人代表对开标过程和开标记录有疑义的，或者认为采购人、采购代理机构相关工作人员有需要回避情形的，应当场提出询问或者提出回避申请。</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投标人未参加开标的，视同认可开标结果。</w:t>
      </w:r>
    </w:p>
    <w:p>
      <w:pPr>
        <w:pStyle w:val="5"/>
        <w:rPr>
          <w:rFonts w:hint="eastAsia" w:ascii="宋体" w:hAnsi="宋体" w:eastAsia="宋体" w:cs="宋体"/>
          <w:color w:val="auto"/>
          <w:highlight w:val="none"/>
        </w:rPr>
      </w:pPr>
      <w:r>
        <w:rPr>
          <w:rFonts w:hint="eastAsia" w:ascii="宋体" w:hAnsi="宋体" w:eastAsia="宋体" w:cs="宋体"/>
          <w:color w:val="auto"/>
          <w:highlight w:val="none"/>
        </w:rPr>
        <w:t xml:space="preserve">   </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26.5 所有投标单位携带 CA 证书到达招标文件规定的开标地点，在到达开标时间时，解密各自投标文件，由工作人员操作系统进行开标、并宣读各投标人的《开标一览表》。</w:t>
      </w:r>
    </w:p>
    <w:p>
      <w:pPr>
        <w:pStyle w:val="19"/>
        <w:ind w:left="0" w:firstLine="482" w:firstLineChars="200"/>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rPr>
        <w:t>26.6 电子投标文件内容应与纸质文件内容相一致，如与纸质投标文件内容不符的，以纸质投标文件为准；纸质投标文件之间内容不同的，以正本为准</w:t>
      </w:r>
      <w:r>
        <w:rPr>
          <w:rFonts w:hint="eastAsia" w:ascii="宋体" w:hAnsi="宋体" w:eastAsia="宋体" w:cs="宋体"/>
          <w:b/>
          <w:bCs/>
          <w:color w:val="auto"/>
          <w:sz w:val="24"/>
          <w:highlight w:val="none"/>
          <w:lang w:eastAsia="zh-CN"/>
        </w:rPr>
        <w:t>。</w:t>
      </w:r>
    </w:p>
    <w:p>
      <w:pPr>
        <w:pStyle w:val="18"/>
        <w:rPr>
          <w:rFonts w:hint="default" w:ascii="宋体" w:hAnsi="宋体" w:eastAsia="宋体" w:cs="宋体"/>
          <w:b/>
          <w:bCs/>
          <w:color w:val="auto"/>
          <w:kern w:val="0"/>
          <w:sz w:val="24"/>
          <w:szCs w:val="20"/>
          <w:highlight w:val="none"/>
          <w:lang w:val="en-US" w:eastAsia="zh-CN" w:bidi="ar-SA"/>
        </w:rPr>
      </w:pPr>
      <w:r>
        <w:rPr>
          <w:rFonts w:hint="eastAsia" w:hAnsi="宋体" w:cs="宋体"/>
          <w:b/>
          <w:bCs/>
          <w:color w:val="auto"/>
          <w:sz w:val="24"/>
          <w:highlight w:val="none"/>
          <w:lang w:val="en-US" w:eastAsia="zh-CN"/>
        </w:rPr>
        <w:t>26.7</w:t>
      </w:r>
      <w:r>
        <w:rPr>
          <w:rFonts w:hint="eastAsia" w:hAnsi="宋体" w:cs="宋体"/>
          <w:b/>
          <w:bCs/>
          <w:color w:val="auto"/>
          <w:kern w:val="0"/>
          <w:sz w:val="24"/>
          <w:szCs w:val="20"/>
          <w:highlight w:val="none"/>
          <w:lang w:val="en-US" w:eastAsia="zh-CN" w:bidi="ar-SA"/>
        </w:rPr>
        <w:t>投标人</w:t>
      </w:r>
      <w:r>
        <w:rPr>
          <w:rFonts w:hint="eastAsia" w:ascii="宋体" w:hAnsi="宋体" w:eastAsia="宋体" w:cs="宋体"/>
          <w:b/>
          <w:bCs/>
          <w:color w:val="auto"/>
          <w:kern w:val="0"/>
          <w:sz w:val="24"/>
          <w:szCs w:val="20"/>
          <w:highlight w:val="none"/>
          <w:lang w:val="en-US" w:eastAsia="zh-CN" w:bidi="ar-SA"/>
        </w:rPr>
        <w:t>可参与</w:t>
      </w:r>
      <w:r>
        <w:rPr>
          <w:rFonts w:hint="eastAsia" w:hAnsi="宋体" w:cs="宋体"/>
          <w:b/>
          <w:bCs/>
          <w:color w:val="auto"/>
          <w:kern w:val="0"/>
          <w:sz w:val="24"/>
          <w:szCs w:val="20"/>
          <w:highlight w:val="none"/>
          <w:lang w:val="en-US" w:eastAsia="zh-CN" w:bidi="ar-SA"/>
        </w:rPr>
        <w:t>各个</w:t>
      </w:r>
      <w:r>
        <w:rPr>
          <w:rFonts w:hint="eastAsia" w:ascii="宋体" w:hAnsi="宋体" w:eastAsia="宋体" w:cs="宋体"/>
          <w:b/>
          <w:bCs/>
          <w:color w:val="auto"/>
          <w:kern w:val="0"/>
          <w:sz w:val="24"/>
          <w:szCs w:val="20"/>
          <w:highlight w:val="none"/>
          <w:lang w:val="en-US" w:eastAsia="zh-CN" w:bidi="ar-SA"/>
        </w:rPr>
        <w:t>标段的</w:t>
      </w:r>
      <w:r>
        <w:rPr>
          <w:rFonts w:hint="eastAsia" w:hAnsi="宋体" w:cs="宋体"/>
          <w:b/>
          <w:bCs/>
          <w:color w:val="auto"/>
          <w:kern w:val="0"/>
          <w:sz w:val="24"/>
          <w:szCs w:val="20"/>
          <w:highlight w:val="none"/>
          <w:lang w:val="en-US" w:eastAsia="zh-CN" w:bidi="ar-SA"/>
        </w:rPr>
        <w:t>投标</w:t>
      </w:r>
      <w:r>
        <w:rPr>
          <w:rFonts w:hint="eastAsia" w:ascii="宋体" w:hAnsi="宋体" w:eastAsia="宋体" w:cs="宋体"/>
          <w:b/>
          <w:bCs/>
          <w:color w:val="auto"/>
          <w:kern w:val="0"/>
          <w:sz w:val="24"/>
          <w:szCs w:val="20"/>
          <w:highlight w:val="none"/>
          <w:lang w:val="en-US" w:eastAsia="zh-CN" w:bidi="ar-SA"/>
        </w:rPr>
        <w:t>，但只能</w:t>
      </w:r>
      <w:r>
        <w:rPr>
          <w:rFonts w:hint="eastAsia" w:hAnsi="宋体" w:cs="宋体"/>
          <w:b/>
          <w:bCs/>
          <w:color w:val="auto"/>
          <w:kern w:val="0"/>
          <w:sz w:val="24"/>
          <w:szCs w:val="20"/>
          <w:highlight w:val="none"/>
          <w:lang w:val="en-US" w:eastAsia="zh-CN" w:bidi="ar-SA"/>
        </w:rPr>
        <w:t>中标</w:t>
      </w:r>
      <w:r>
        <w:rPr>
          <w:rFonts w:hint="eastAsia" w:ascii="宋体" w:hAnsi="宋体" w:eastAsia="宋体" w:cs="宋体"/>
          <w:b/>
          <w:bCs/>
          <w:color w:val="auto"/>
          <w:kern w:val="0"/>
          <w:sz w:val="24"/>
          <w:szCs w:val="20"/>
          <w:highlight w:val="none"/>
          <w:lang w:val="en-US" w:eastAsia="zh-CN" w:bidi="ar-SA"/>
        </w:rPr>
        <w:t>其中一个标段，</w:t>
      </w:r>
      <w:r>
        <w:rPr>
          <w:rFonts w:hint="eastAsia" w:hAnsi="宋体" w:cs="宋体"/>
          <w:b/>
          <w:bCs/>
          <w:color w:val="auto"/>
          <w:kern w:val="0"/>
          <w:sz w:val="24"/>
          <w:szCs w:val="20"/>
          <w:highlight w:val="none"/>
          <w:lang w:val="en-US" w:eastAsia="zh-CN" w:bidi="ar-SA"/>
        </w:rPr>
        <w:t>中标</w:t>
      </w:r>
      <w:r>
        <w:rPr>
          <w:rFonts w:hint="eastAsia" w:ascii="宋体" w:hAnsi="宋体" w:eastAsia="宋体" w:cs="宋体"/>
          <w:b/>
          <w:bCs/>
          <w:color w:val="auto"/>
          <w:kern w:val="0"/>
          <w:sz w:val="24"/>
          <w:szCs w:val="20"/>
          <w:highlight w:val="none"/>
          <w:lang w:val="en-US" w:eastAsia="zh-CN" w:bidi="ar-SA"/>
        </w:rPr>
        <w:t>后参与下一标段评审，但不作为</w:t>
      </w:r>
      <w:r>
        <w:rPr>
          <w:rFonts w:hint="eastAsia" w:hAnsi="宋体" w:cs="宋体"/>
          <w:b/>
          <w:bCs/>
          <w:color w:val="auto"/>
          <w:kern w:val="0"/>
          <w:sz w:val="24"/>
          <w:szCs w:val="20"/>
          <w:highlight w:val="none"/>
          <w:lang w:val="en-US" w:eastAsia="zh-CN" w:bidi="ar-SA"/>
        </w:rPr>
        <w:t>中标</w:t>
      </w:r>
      <w:r>
        <w:rPr>
          <w:rFonts w:hint="eastAsia" w:ascii="宋体" w:hAnsi="宋体" w:eastAsia="宋体" w:cs="宋体"/>
          <w:b/>
          <w:bCs/>
          <w:color w:val="auto"/>
          <w:kern w:val="0"/>
          <w:sz w:val="24"/>
          <w:szCs w:val="20"/>
          <w:highlight w:val="none"/>
          <w:lang w:val="en-US" w:eastAsia="zh-CN" w:bidi="ar-SA"/>
        </w:rPr>
        <w:t>候选人</w:t>
      </w:r>
      <w:r>
        <w:rPr>
          <w:rFonts w:hint="eastAsia" w:hAnsi="宋体" w:cs="宋体"/>
          <w:b/>
          <w:bCs/>
          <w:color w:val="auto"/>
          <w:kern w:val="0"/>
          <w:sz w:val="24"/>
          <w:szCs w:val="20"/>
          <w:highlight w:val="none"/>
          <w:lang w:val="en-US" w:eastAsia="zh-CN" w:bidi="ar-SA"/>
        </w:rPr>
        <w:t>，开标顺序按一标段、二标段先后顺序进行</w:t>
      </w:r>
      <w:r>
        <w:rPr>
          <w:rFonts w:hint="eastAsia" w:ascii="宋体" w:hAnsi="宋体" w:eastAsia="宋体" w:cs="宋体"/>
          <w:b/>
          <w:bCs/>
          <w:color w:val="auto"/>
          <w:kern w:val="0"/>
          <w:sz w:val="24"/>
          <w:szCs w:val="20"/>
          <w:highlight w:val="none"/>
          <w:lang w:val="en-US" w:eastAsia="zh-CN" w:bidi="ar-SA"/>
        </w:rPr>
        <w:t>。</w:t>
      </w:r>
    </w:p>
    <w:p>
      <w:pPr>
        <w:widowControl/>
        <w:adjustRightInd w:val="0"/>
        <w:snapToGrid w:val="0"/>
        <w:jc w:val="left"/>
        <w:rPr>
          <w:rFonts w:hint="eastAsia" w:ascii="宋体" w:hAnsi="宋体" w:eastAsia="宋体" w:cs="宋体"/>
          <w:color w:val="auto"/>
          <w:sz w:val="24"/>
          <w:highlight w:val="none"/>
        </w:rPr>
      </w:pPr>
    </w:p>
    <w:p>
      <w:pPr>
        <w:widowControl/>
        <w:adjustRightInd w:val="0"/>
        <w:snapToGrid w:val="0"/>
        <w:jc w:val="left"/>
        <w:rPr>
          <w:rFonts w:hint="eastAsia" w:ascii="宋体" w:hAnsi="宋体" w:eastAsia="宋体" w:cs="宋体"/>
          <w:color w:val="auto"/>
          <w:sz w:val="24"/>
          <w:highlight w:val="none"/>
        </w:rPr>
      </w:pPr>
    </w:p>
    <w:p>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五、评标</w:t>
      </w:r>
    </w:p>
    <w:p>
      <w:pPr>
        <w:widowControl/>
        <w:adjustRightInd w:val="0"/>
        <w:snapToGrid w:val="0"/>
        <w:ind w:firstLine="480" w:firstLineChars="200"/>
        <w:jc w:val="left"/>
        <w:rPr>
          <w:rFonts w:hint="eastAsia" w:ascii="宋体" w:hAnsi="宋体" w:eastAsia="宋体" w:cs="宋体"/>
          <w:color w:val="auto"/>
          <w:sz w:val="24"/>
          <w:highlight w:val="none"/>
        </w:rPr>
      </w:pP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27. 公开招标采购项目开标结束后，采购人依法对投标人的资格进行审查。</w:t>
      </w: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合格投标人不足3家的，不得评标。</w:t>
      </w: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27.1 评标工作由采购代理机构负责组织，并履行下列职责：</w:t>
      </w: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（一）核对评审专家身份和采购人代表授权函，对评审专家在政府采购活动中的职责履行情况予以记录，并及时将有关违法违规行为向财政部门报告；</w:t>
      </w: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（二）宣布评标纪律；</w:t>
      </w: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（三）公布投标人名单，告知评审专家应当回避的情形；</w:t>
      </w: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（四）组织评标委员会推选评标组长，采购人代表不得担任组长；</w:t>
      </w: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（五）在评标期间采取必要的通讯管理措施，保证评标活动不受外界干扰；</w:t>
      </w: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（六）根据评标委员会的要求介绍政府采购相关政策法规、招标文件；</w:t>
      </w: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（七）维护评标秩序，监督评标委员会依照招标文件规定的评标程序、方法和标准进行独立评审，及时制止和纠正采购人代表、评审专家的倾向性言论或者违法违规行为；</w:t>
      </w:r>
    </w:p>
    <w:p>
      <w:pPr>
        <w:widowControl/>
        <w:adjustRightInd w:val="0"/>
        <w:snapToGrid w:val="0"/>
        <w:ind w:firstLine="360" w:firstLineChars="15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（八）核对评标结果，有《</w:t>
      </w: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HYPERLINK "http://www.caigou2003.com/" \t "_blank"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t>政府采购</w:t>
      </w:r>
      <w:r>
        <w:rPr>
          <w:rFonts w:hint="eastAsia" w:ascii="宋体" w:hAnsi="宋体" w:eastAsia="宋体" w:cs="宋体"/>
          <w:color w:val="auto"/>
          <w:sz w:val="24"/>
          <w:highlight w:val="none"/>
        </w:rPr>
        <w:fldChar w:fldCharType="end"/>
      </w:r>
      <w:r>
        <w:rPr>
          <w:rFonts w:hint="eastAsia" w:ascii="宋体" w:hAnsi="宋体" w:eastAsia="宋体" w:cs="宋体"/>
          <w:color w:val="auto"/>
          <w:sz w:val="24"/>
          <w:highlight w:val="none"/>
        </w:rPr>
        <w:t>货物和服务招标投标管理办法》第六十四条规定情形的，要求评标委员会复核或者书面说明理由，评标委员会拒绝的，应予记录并向本级财政部门报告；</w:t>
      </w:r>
    </w:p>
    <w:p>
      <w:pPr>
        <w:widowControl/>
        <w:adjustRightInd w:val="0"/>
        <w:snapToGrid w:val="0"/>
        <w:ind w:firstLine="360" w:firstLineChars="15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（九）评审工作完成后，按照规定向评审专家支付劳务报酬和异地评审差旅费，不得向评审专家以外的其他人员支付评审劳务报酬；</w:t>
      </w:r>
    </w:p>
    <w:p>
      <w:pPr>
        <w:widowControl/>
        <w:adjustRightInd w:val="0"/>
        <w:snapToGrid w:val="0"/>
        <w:ind w:firstLine="360" w:firstLineChars="15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（十）处理与评标有关的其他事项。</w:t>
      </w:r>
    </w:p>
    <w:p>
      <w:pPr>
        <w:widowControl/>
        <w:adjustRightInd w:val="0"/>
        <w:snapToGrid w:val="0"/>
        <w:ind w:firstLine="360" w:firstLineChars="15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采购人可以在评标前说明项目背景和采购需求，说明内容不得含有歧视性、倾向性意见，不得超出招标文件所述范围。说明应当提交书面材料，并随采购文件一并存档。</w:t>
      </w:r>
    </w:p>
    <w:p>
      <w:pPr>
        <w:widowControl/>
        <w:adjustRightInd w:val="0"/>
        <w:snapToGrid w:val="0"/>
        <w:ind w:firstLine="360" w:firstLineChars="15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27.2 评标委员会负责具体评标事务，并独立履行下列职责：</w:t>
      </w:r>
    </w:p>
    <w:p>
      <w:pPr>
        <w:widowControl/>
        <w:adjustRightInd w:val="0"/>
        <w:snapToGrid w:val="0"/>
        <w:ind w:firstLine="360" w:firstLineChars="15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（一）审查、评价投标文件是否符合招标文件的商务、技术等实质性要求；</w:t>
      </w:r>
    </w:p>
    <w:p>
      <w:pPr>
        <w:widowControl/>
        <w:adjustRightInd w:val="0"/>
        <w:snapToGrid w:val="0"/>
        <w:ind w:firstLine="360" w:firstLineChars="15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（二）要求投标人对投标文件有关事项作出澄清或者说明；</w:t>
      </w:r>
    </w:p>
    <w:p>
      <w:pPr>
        <w:widowControl/>
        <w:adjustRightInd w:val="0"/>
        <w:snapToGrid w:val="0"/>
        <w:ind w:firstLine="360" w:firstLineChars="15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（三）对投标文件进行比较和评价；</w:t>
      </w:r>
    </w:p>
    <w:p>
      <w:pPr>
        <w:widowControl/>
        <w:adjustRightInd w:val="0"/>
        <w:snapToGrid w:val="0"/>
        <w:ind w:firstLine="360" w:firstLineChars="15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（四）确定中标候选人名单，以及根据采购人委托直接确定中标人；</w:t>
      </w:r>
    </w:p>
    <w:p>
      <w:pPr>
        <w:widowControl/>
        <w:adjustRightInd w:val="0"/>
        <w:snapToGrid w:val="0"/>
        <w:ind w:firstLine="360" w:firstLineChars="15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（五）向采购人、采购代理机构或者有关部门报告评标中发现的违法行为。</w:t>
      </w:r>
    </w:p>
    <w:p>
      <w:pPr>
        <w:widowControl/>
        <w:adjustRightInd w:val="0"/>
        <w:snapToGrid w:val="0"/>
        <w:ind w:firstLine="360" w:firstLineChars="15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27.3 评标委员会由采购人代表和评审专家组成，成员人数应当为5人（含）以上单数，其中评审专家不得少于成员总数的三分之二。</w:t>
      </w:r>
    </w:p>
    <w:p>
      <w:pPr>
        <w:widowControl/>
        <w:adjustRightInd w:val="0"/>
        <w:snapToGrid w:val="0"/>
        <w:ind w:firstLine="360" w:firstLineChars="150"/>
        <w:jc w:val="left"/>
        <w:rPr>
          <w:rFonts w:hint="eastAsia" w:ascii="宋体" w:hAnsi="宋体" w:eastAsia="宋体" w:cs="宋体"/>
          <w:color w:val="auto"/>
          <w:sz w:val="24"/>
          <w:highlight w:val="none"/>
        </w:rPr>
      </w:pPr>
    </w:p>
    <w:p>
      <w:pPr>
        <w:widowControl/>
        <w:adjustRightInd w:val="0"/>
        <w:snapToGrid w:val="0"/>
        <w:ind w:firstLine="482" w:firstLineChars="200"/>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28. 本项目评标方法为综合评分法。</w:t>
      </w:r>
    </w:p>
    <w:p>
      <w:pPr>
        <w:widowControl/>
        <w:adjustRightInd w:val="0"/>
        <w:snapToGrid w:val="0"/>
        <w:ind w:firstLine="600" w:firstLineChars="250"/>
        <w:jc w:val="left"/>
        <w:rPr>
          <w:rFonts w:hint="eastAsia" w:ascii="宋体" w:hAnsi="宋体" w:eastAsia="宋体" w:cs="宋体"/>
          <w:color w:val="auto"/>
          <w:sz w:val="24"/>
          <w:highlight w:val="none"/>
        </w:rPr>
      </w:pP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29.评标</w:t>
      </w: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29.1评标工作程序：</w:t>
      </w: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（一）投标文件初审。</w:t>
      </w: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1、资格性检查。</w:t>
      </w: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2、符合性检查。</w:t>
      </w: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（二）澄清有关问题。</w:t>
      </w: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（三）比较与评价。</w:t>
      </w: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（四）推荐中标候选</w:t>
      </w:r>
      <w:r>
        <w:rPr>
          <w:rFonts w:hint="eastAsia" w:ascii="宋体" w:hAnsi="宋体" w:cs="宋体"/>
          <w:color w:val="auto"/>
          <w:sz w:val="24"/>
          <w:highlight w:val="none"/>
          <w:lang w:eastAsia="zh-CN"/>
        </w:rPr>
        <w:t>投标人</w:t>
      </w:r>
      <w:r>
        <w:rPr>
          <w:rFonts w:hint="eastAsia" w:ascii="宋体" w:hAnsi="宋体" w:eastAsia="宋体" w:cs="宋体"/>
          <w:color w:val="auto"/>
          <w:sz w:val="24"/>
          <w:highlight w:val="none"/>
        </w:rPr>
        <w:t>名单。</w:t>
      </w: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（五）编写评审报告（评标报告）。</w:t>
      </w: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29.2在评标中，不得改变招标文件中规定的评标标准、方法和中标条件。评标委员会对投标文件响应性的判定基于投标文件本身的内容，而不寻求外部的证据。</w:t>
      </w: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29.3采用最低评标价法的采购项目，提供相同品牌产品的不同投标人参加同一合同项下投标的，以其中通过资格审查、符合性审查且报价最低的参加评标；报价相同的，采取随机抽取方式确定，其他投标无效。</w:t>
      </w: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使用综合评分法的采购项目，提供相同品牌产品且通过资格审查、符合性审查的不同投标人参加同一合同项下投标的，按一家投标人计算，评审后得分最高的同品牌投标人获得中标人推荐资格；评审得分相同的，由评标委员会按照招标文件规定的方式确定一个投标人获得中标人推荐资格，招标文件未规定的采取随机抽取方式确定，其他同品牌投标人不作为中标候选人。</w:t>
      </w: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非单一产品采购项目，多家投标人提供的核心产品品牌相同的，按前两款规定处理。</w:t>
      </w: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30. 投标文件报价出现前后不一致的，按照下列规定修正：</w:t>
      </w: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（一）投标文件中开标一览表（报价表）内容与投标文件中相应内容不一致的，以开标一览表（报价表）为准；</w:t>
      </w: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（二）大写金额和小写金额不一致的，以大写金额为准；</w:t>
      </w: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（三）单价金额小数点或者百分比有明显错位的，以开标一览表的总价为准，并修改单价；</w:t>
      </w: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（四）总价金额与按单价汇总金额不一致的，以单价金额计算结果为准。</w:t>
      </w: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同时出现两种以上不一致的，按照前款规定的顺序修正。修正后的报价按照投标人的澄清、说明或者补正，经投标人确认后产生约束力，投标人不确认的，其投标无效。</w:t>
      </w: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投标人的澄清、说明或者补正应当采用书面形式，并加盖公章，或者由法定代表人或其授权的代表签字。投标人的澄清、说明或者补正不得超出投标文件的范围或者改变投标文件的实质性内容。</w:t>
      </w: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31. 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adjustRightInd w:val="0"/>
        <w:snapToGrid w:val="0"/>
        <w:ind w:firstLine="480" w:firstLineChars="200"/>
        <w:jc w:val="left"/>
        <w:rPr>
          <w:rFonts w:hint="eastAsia" w:ascii="宋体" w:hAnsi="宋体" w:eastAsia="宋体" w:cs="宋体"/>
          <w:b/>
          <w:color w:val="auto"/>
          <w:sz w:val="24"/>
          <w:highlight w:val="none"/>
        </w:rPr>
      </w:pPr>
      <w:r>
        <w:rPr>
          <w:rFonts w:hint="eastAsia" w:ascii="宋体" w:hAnsi="宋体" w:eastAsia="宋体" w:cs="宋体"/>
          <w:color w:val="auto"/>
          <w:sz w:val="24"/>
          <w:highlight w:val="none"/>
        </w:rPr>
        <w:t>32. 评标委员会成员对需要共同认定的事项存在争议的，应当按照少数服从多数的原则作出结论。持不同意见的评标委员会成员应当在评标报告上签署不同意见及理由，否则视为同意评标报告。</w:t>
      </w:r>
    </w:p>
    <w:p>
      <w:pPr>
        <w:widowControl/>
        <w:adjustRightInd w:val="0"/>
        <w:snapToGrid w:val="0"/>
        <w:ind w:firstLine="480" w:firstLineChars="200"/>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33. 投标人存在下列情况之一的，投标无效:</w:t>
      </w:r>
    </w:p>
    <w:p>
      <w:pPr>
        <w:widowControl/>
        <w:adjustRightInd w:val="0"/>
        <w:snapToGrid w:val="0"/>
        <w:ind w:firstLine="480" w:firstLineChars="200"/>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（一）投标文件未按招标文件要求签署、盖章的；</w:t>
      </w:r>
    </w:p>
    <w:p>
      <w:pPr>
        <w:widowControl/>
        <w:adjustRightInd w:val="0"/>
        <w:snapToGrid w:val="0"/>
        <w:ind w:firstLine="480" w:firstLineChars="200"/>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（二）不具备招标文件中规定的资格要求的；</w:t>
      </w:r>
    </w:p>
    <w:p>
      <w:pPr>
        <w:widowControl/>
        <w:adjustRightInd w:val="0"/>
        <w:snapToGrid w:val="0"/>
        <w:ind w:firstLine="480" w:firstLineChars="200"/>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（三）报价超过招标文件中规定的预算金额或者最高限价的；</w:t>
      </w:r>
    </w:p>
    <w:p>
      <w:pPr>
        <w:widowControl/>
        <w:adjustRightInd w:val="0"/>
        <w:snapToGrid w:val="0"/>
        <w:ind w:firstLine="480" w:firstLineChars="200"/>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（四）投标文件含有采购人不能接受的附加条件的；</w:t>
      </w:r>
    </w:p>
    <w:p>
      <w:pPr>
        <w:widowControl/>
        <w:adjustRightInd w:val="0"/>
        <w:snapToGrid w:val="0"/>
        <w:ind w:firstLine="480" w:firstLineChars="200"/>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（五）法律、法规和招标文件规定的其他无效情形。</w:t>
      </w: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34. 废标条款。</w:t>
      </w: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出现下列情形之一的，应予废标：</w:t>
      </w: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（一）符合专业条件的</w:t>
      </w:r>
      <w:r>
        <w:rPr>
          <w:rFonts w:hint="eastAsia" w:ascii="宋体" w:hAnsi="宋体" w:cs="宋体"/>
          <w:color w:val="auto"/>
          <w:sz w:val="24"/>
          <w:highlight w:val="none"/>
          <w:lang w:eastAsia="zh-CN"/>
        </w:rPr>
        <w:t>投标人</w:t>
      </w:r>
      <w:r>
        <w:rPr>
          <w:rFonts w:hint="eastAsia" w:ascii="宋体" w:hAnsi="宋体" w:eastAsia="宋体" w:cs="宋体"/>
          <w:color w:val="auto"/>
          <w:sz w:val="24"/>
          <w:highlight w:val="none"/>
        </w:rPr>
        <w:t>或者对招标文件作实质响应的</w:t>
      </w:r>
      <w:r>
        <w:rPr>
          <w:rFonts w:hint="eastAsia" w:ascii="宋体" w:hAnsi="宋体" w:cs="宋体"/>
          <w:color w:val="auto"/>
          <w:sz w:val="24"/>
          <w:highlight w:val="none"/>
          <w:lang w:eastAsia="zh-CN"/>
        </w:rPr>
        <w:t>投标人</w:t>
      </w:r>
      <w:r>
        <w:rPr>
          <w:rFonts w:hint="eastAsia" w:ascii="宋体" w:hAnsi="宋体" w:eastAsia="宋体" w:cs="宋体"/>
          <w:color w:val="auto"/>
          <w:sz w:val="24"/>
          <w:highlight w:val="none"/>
        </w:rPr>
        <w:t>不足三家的；</w:t>
      </w: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（二）出现影响采购公正的违法、违规行为的；</w:t>
      </w: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（三）投标人的报价均超过了采购预算，采购人不能支付的；</w:t>
      </w: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（四）因重大变故，采购任务取消的。</w:t>
      </w:r>
    </w:p>
    <w:p>
      <w:pPr>
        <w:widowControl/>
        <w:adjustRightInd w:val="0"/>
        <w:snapToGrid w:val="0"/>
        <w:ind w:firstLine="480" w:firstLineChars="200"/>
        <w:jc w:val="left"/>
        <w:rPr>
          <w:rFonts w:hint="eastAsia" w:ascii="宋体" w:hAnsi="宋体" w:eastAsia="宋体" w:cs="宋体"/>
          <w:color w:val="auto"/>
          <w:sz w:val="24"/>
          <w:highlight w:val="none"/>
        </w:rPr>
      </w:pPr>
    </w:p>
    <w:p>
      <w:pPr>
        <w:numPr>
          <w:ilvl w:val="0"/>
          <w:numId w:val="1"/>
        </w:num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定标</w:t>
      </w:r>
    </w:p>
    <w:p>
      <w:pPr>
        <w:rPr>
          <w:rFonts w:hint="eastAsia" w:ascii="宋体" w:hAnsi="宋体" w:eastAsia="宋体" w:cs="宋体"/>
          <w:color w:val="auto"/>
          <w:sz w:val="24"/>
          <w:highlight w:val="none"/>
        </w:rPr>
      </w:pP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35. 采购代理机构应当在评标结束后2个工作日内将评标报告送采购人。</w:t>
      </w:r>
    </w:p>
    <w:p>
      <w:pPr>
        <w:widowControl/>
        <w:adjustRightInd w:val="0"/>
        <w:snapToGrid w:val="0"/>
        <w:ind w:firstLine="480" w:firstLineChars="200"/>
        <w:jc w:val="left"/>
        <w:rPr>
          <w:rFonts w:hint="eastAsia" w:ascii="宋体" w:hAnsi="宋体" w:eastAsia="宋体" w:cs="宋体"/>
          <w:color w:val="auto"/>
          <w:sz w:val="24"/>
          <w:highlight w:val="none"/>
        </w:rPr>
      </w:pP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36. 采购人应当自收到评标报告之日起5个工作日内，在评标报告确定的中标候选人名单中按顺序确定中标人。</w:t>
      </w: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37. 采购人有权对投标人投标文件的真实性进行核实，如投标人不能在采购人规定的时间内向采购人提供有效的证明文件，将被采购人认定为具有《中华人民共和国政府采购法》第七十七条所规定的“提供虚假材料谋取中标、成交的”情形，并承担相应的法律责任。</w:t>
      </w:r>
    </w:p>
    <w:p>
      <w:pPr>
        <w:ind w:firstLine="480" w:firstLineChars="200"/>
        <w:rPr>
          <w:rFonts w:hint="eastAsia" w:ascii="宋体" w:hAnsi="宋体" w:eastAsia="宋体" w:cs="宋体"/>
          <w:color w:val="auto"/>
          <w:sz w:val="24"/>
          <w:highlight w:val="none"/>
        </w:rPr>
      </w:pPr>
    </w:p>
    <w:p>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七、政府采购合同</w:t>
      </w: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38. 签订政府采购合同（合同签订方式）</w:t>
      </w: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38.1采购人应当自中标通知书发出之日起</w:t>
      </w:r>
      <w:r>
        <w:rPr>
          <w:rFonts w:hint="eastAsia" w:ascii="宋体" w:hAnsi="宋体" w:eastAsia="宋体" w:cs="宋体"/>
          <w:color w:val="auto"/>
          <w:sz w:val="24"/>
          <w:highlight w:val="none"/>
          <w:lang w:val="en-US" w:eastAsia="zh-CN"/>
        </w:rPr>
        <w:t>30</w:t>
      </w:r>
      <w:r>
        <w:rPr>
          <w:rFonts w:hint="eastAsia" w:ascii="宋体" w:hAnsi="宋体" w:eastAsia="宋体" w:cs="宋体"/>
          <w:color w:val="auto"/>
          <w:sz w:val="24"/>
          <w:highlight w:val="none"/>
        </w:rPr>
        <w:t>日内，按照招标文件和中标人投标文件的规定，与中标人签订书面合同。所签订的合同不得对招标文件确定的事项和中标人投标文件作实质性修改。</w:t>
      </w: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采购人不得向中标人提出任何不合理的要求作为签订合同的条件。</w:t>
      </w: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38.2中标或者成交</w:t>
      </w:r>
      <w:r>
        <w:rPr>
          <w:rFonts w:hint="eastAsia" w:ascii="宋体" w:hAnsi="宋体" w:cs="宋体"/>
          <w:color w:val="auto"/>
          <w:sz w:val="24"/>
          <w:highlight w:val="none"/>
          <w:lang w:eastAsia="zh-CN"/>
        </w:rPr>
        <w:t>投标人</w:t>
      </w:r>
      <w:r>
        <w:rPr>
          <w:rFonts w:hint="eastAsia" w:ascii="宋体" w:hAnsi="宋体" w:eastAsia="宋体" w:cs="宋体"/>
          <w:color w:val="auto"/>
          <w:sz w:val="24"/>
          <w:highlight w:val="none"/>
        </w:rPr>
        <w:t>拒绝与采购人签订合同的，采购人可以按照评审报告推荐的中标或者成交候选人名单排序，确定下一候选人为中标或者成交</w:t>
      </w:r>
      <w:r>
        <w:rPr>
          <w:rFonts w:hint="eastAsia" w:ascii="宋体" w:hAnsi="宋体" w:cs="宋体"/>
          <w:color w:val="auto"/>
          <w:sz w:val="24"/>
          <w:highlight w:val="none"/>
          <w:lang w:eastAsia="zh-CN"/>
        </w:rPr>
        <w:t>投标人</w:t>
      </w:r>
      <w:r>
        <w:rPr>
          <w:rFonts w:hint="eastAsia" w:ascii="宋体" w:hAnsi="宋体" w:eastAsia="宋体" w:cs="宋体"/>
          <w:color w:val="auto"/>
          <w:sz w:val="24"/>
          <w:highlight w:val="none"/>
        </w:rPr>
        <w:t>，也可以重新开展政府采购活动。</w:t>
      </w: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39. 采购人与中标人应当根据合同的约定依法履行合同义务。</w:t>
      </w: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政府采购合同的履行、违约责任和解决争议的方法等适用《中华人民共和国合同法》。</w:t>
      </w: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40.履约保证金</w:t>
      </w: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40.1中标人应在政府采购合同签订后，向采购人或采购代理机构提交《投标资料表》规定金额的履约保证金。</w:t>
      </w: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40.2 如果中标人没有遵守本章38.1 或本章39.1 的规定，采购代理机构有权取消该中标决定。在此情况下，采购人可以与排位在中标人之后第一位的中标候选人签订政府采购合同，以此类推。</w:t>
      </w: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40.3中标人凭采购人出具验收书的复印件及收款收据办理履约保证金退付手续。履约保证金在</w:t>
      </w:r>
      <w:r>
        <w:rPr>
          <w:rFonts w:hint="eastAsia" w:ascii="宋体" w:hAnsi="宋体" w:eastAsia="宋体" w:cs="宋体"/>
          <w:b w:val="0"/>
          <w:bCs w:val="0"/>
          <w:color w:val="auto"/>
          <w:sz w:val="24"/>
          <w:highlight w:val="none"/>
        </w:rPr>
        <w:t>采购人或采购代理机构</w:t>
      </w:r>
      <w:r>
        <w:rPr>
          <w:rFonts w:hint="eastAsia" w:ascii="宋体" w:hAnsi="宋体" w:eastAsia="宋体" w:cs="宋体"/>
          <w:color w:val="auto"/>
          <w:sz w:val="24"/>
          <w:highlight w:val="none"/>
        </w:rPr>
        <w:t>存放期间，不计利息。</w:t>
      </w: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41. 腐败和欺诈行为</w:t>
      </w: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41.1 采购代理机构、采购人、投标人等参与招投标的各方，均应在招标、采购、合同执行等过程中保持廉洁和最高的道德水准。</w:t>
      </w: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1、腐败和欺诈行为</w:t>
      </w: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① “腐败行为”系指在招标、采购和合同执行等过程中，为谋求利益，影响相关人员而提供、给予、接受或索取任何有价物，并导致损害买方和/或采购代理机构及他人的行为。</w:t>
      </w: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② “欺诈行为”系指为了影响招标、采购和合同执行等过程而隐瞒事实，从而给买方和/或采购代理机构及他人造成损害的行为，其中包括投标人之间的串通行为。</w:t>
      </w: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2、如果被推荐的中标人有腐败和欺诈行为，将取消其中标。</w:t>
      </w: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3、如果投标人在任何时候，被法院及政府有关管理部门认定为有腐败和欺诈行为，采购代理机构有权拒绝其投标、取消其中标资格、撤消已签署的合同。</w:t>
      </w:r>
    </w:p>
    <w:p>
      <w:pPr>
        <w:widowControl/>
        <w:adjustRightInd w:val="0"/>
        <w:snapToGrid w:val="0"/>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41.2 投标人应注意《合同通用条款》关于腐败和欺诈行为的相关规定。</w:t>
      </w:r>
    </w:p>
    <w:p>
      <w:pPr>
        <w:jc w:val="center"/>
        <w:rPr>
          <w:rFonts w:hint="eastAsia" w:ascii="宋体" w:hAnsi="宋体" w:eastAsia="宋体" w:cs="宋体"/>
          <w:color w:val="auto"/>
          <w:sz w:val="24"/>
          <w:highlight w:val="none"/>
        </w:rPr>
      </w:pPr>
    </w:p>
    <w:p>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八、询问和质疑</w:t>
      </w:r>
    </w:p>
    <w:p>
      <w:pPr>
        <w:ind w:firstLine="540" w:firstLineChars="225"/>
        <w:jc w:val="left"/>
        <w:rPr>
          <w:rFonts w:hint="eastAsia" w:ascii="宋体" w:hAnsi="宋体" w:eastAsia="宋体" w:cs="宋体"/>
          <w:color w:val="auto"/>
          <w:sz w:val="24"/>
          <w:highlight w:val="none"/>
        </w:rPr>
      </w:pPr>
    </w:p>
    <w:p>
      <w:pPr>
        <w:ind w:firstLine="540" w:firstLineChars="225"/>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42. 根据采购代理机构与采购人签订的本采购项目的《委托代理协议》，</w:t>
      </w:r>
      <w:r>
        <w:rPr>
          <w:rFonts w:hint="eastAsia" w:ascii="宋体" w:hAnsi="宋体" w:cs="宋体"/>
          <w:color w:val="auto"/>
          <w:sz w:val="24"/>
          <w:highlight w:val="none"/>
          <w:lang w:eastAsia="zh-CN"/>
        </w:rPr>
        <w:t>投标人</w:t>
      </w:r>
      <w:r>
        <w:rPr>
          <w:rFonts w:hint="eastAsia" w:ascii="宋体" w:hAnsi="宋体" w:eastAsia="宋体" w:cs="宋体"/>
          <w:color w:val="auto"/>
          <w:sz w:val="24"/>
          <w:highlight w:val="none"/>
        </w:rPr>
        <w:t>对政府采购活动事项有疑问的，可以向采购人或采购代理机构提出询问；</w:t>
      </w:r>
      <w:r>
        <w:rPr>
          <w:rFonts w:hint="eastAsia" w:ascii="宋体" w:hAnsi="宋体" w:cs="宋体"/>
          <w:color w:val="auto"/>
          <w:sz w:val="24"/>
          <w:highlight w:val="none"/>
          <w:lang w:eastAsia="zh-CN"/>
        </w:rPr>
        <w:t>投标人</w:t>
      </w:r>
      <w:r>
        <w:rPr>
          <w:rFonts w:hint="eastAsia" w:ascii="宋体" w:hAnsi="宋体" w:eastAsia="宋体" w:cs="宋体"/>
          <w:color w:val="auto"/>
          <w:sz w:val="24"/>
          <w:highlight w:val="none"/>
        </w:rPr>
        <w:t>认为采购文件、采购过程、中标或成交结果使自己的权益受到损害的，可以在知道或者应知其权益受到损害之日起七个工作日内，以书面形式向采购人或采购代理机构提出质疑，由采购人或采购代理机构依法处理。</w:t>
      </w:r>
    </w:p>
    <w:p>
      <w:pPr>
        <w:ind w:firstLine="540" w:firstLineChars="225"/>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43. 质疑和投诉按《政府采购质疑和投诉办法》执行。</w:t>
      </w:r>
    </w:p>
    <w:p>
      <w:pPr>
        <w:jc w:val="center"/>
        <w:rPr>
          <w:rFonts w:hint="eastAsia" w:ascii="宋体" w:hAnsi="宋体" w:eastAsia="宋体" w:cs="宋体"/>
          <w:b w:val="0"/>
          <w:bCs w:val="0"/>
          <w:color w:val="auto"/>
          <w:sz w:val="24"/>
          <w:highlight w:val="none"/>
          <w:lang w:eastAsia="zh-CN"/>
        </w:rPr>
      </w:pPr>
    </w:p>
    <w:p>
      <w:pPr>
        <w:ind w:firstLine="540" w:firstLineChars="225"/>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br w:type="page"/>
      </w:r>
      <w:r>
        <w:rPr>
          <w:rFonts w:hint="eastAsia" w:ascii="宋体" w:hAnsi="宋体" w:eastAsia="宋体" w:cs="宋体"/>
          <w:b/>
          <w:bCs/>
          <w:color w:val="auto"/>
          <w:sz w:val="30"/>
          <w:szCs w:val="30"/>
          <w:highlight w:val="none"/>
        </w:rPr>
        <w:t>第三章  投标资料表</w:t>
      </w:r>
    </w:p>
    <w:p>
      <w:pPr>
        <w:pStyle w:val="8"/>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该资料表的条款项号是与《投标人须知》中条款项号对应的，或增加的条款，是对《投标人须知》的补充、修改和完善，如果有矛盾的话，应以本资料表为准。</w:t>
      </w:r>
    </w:p>
    <w:tbl>
      <w:tblPr>
        <w:tblStyle w:val="12"/>
        <w:tblW w:w="8579"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425"/>
        <w:gridCol w:w="715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2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条款项号</w:t>
            </w:r>
          </w:p>
        </w:tc>
        <w:tc>
          <w:tcPr>
            <w:tcW w:w="715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2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color w:val="auto"/>
                <w:sz w:val="24"/>
                <w:highlight w:val="none"/>
              </w:rPr>
            </w:pPr>
          </w:p>
        </w:tc>
        <w:tc>
          <w:tcPr>
            <w:tcW w:w="715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一、说明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2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1.1</w:t>
            </w:r>
          </w:p>
        </w:tc>
        <w:tc>
          <w:tcPr>
            <w:tcW w:w="7154"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本项目采购人：</w:t>
            </w:r>
            <w:r>
              <w:rPr>
                <w:rFonts w:hint="eastAsia" w:ascii="宋体" w:hAnsi="宋体" w:cs="宋体"/>
                <w:color w:val="auto"/>
                <w:sz w:val="24"/>
                <w:highlight w:val="none"/>
                <w:lang w:eastAsia="zh-CN"/>
              </w:rPr>
              <w:t>徐州市鼓楼区城市管理局</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2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2.1</w:t>
            </w:r>
          </w:p>
        </w:tc>
        <w:tc>
          <w:tcPr>
            <w:tcW w:w="7154"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本次采购采用的政府采购方式：公开招标。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2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p>
        </w:tc>
        <w:tc>
          <w:tcPr>
            <w:tcW w:w="7154"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宋体"/>
                <w:color w:val="auto"/>
                <w:sz w:val="24"/>
                <w:highlight w:val="none"/>
              </w:rPr>
            </w:pPr>
            <w:r>
              <w:rPr>
                <w:rFonts w:hint="eastAsia" w:ascii="宋体" w:hAnsi="宋体" w:eastAsia="宋体" w:cs="宋体"/>
                <w:b/>
                <w:bCs/>
                <w:color w:val="auto"/>
                <w:kern w:val="0"/>
                <w:sz w:val="24"/>
                <w:highlight w:val="none"/>
                <w:lang w:eastAsia="zh-CN"/>
              </w:rPr>
              <w:t>采购人确定</w:t>
            </w:r>
            <w:r>
              <w:rPr>
                <w:rFonts w:hint="eastAsia" w:ascii="宋体" w:hAnsi="宋体" w:eastAsia="宋体" w:cs="宋体"/>
                <w:b/>
                <w:bCs/>
                <w:color w:val="auto"/>
                <w:kern w:val="0"/>
                <w:sz w:val="24"/>
                <w:highlight w:val="none"/>
              </w:rPr>
              <w:t>本项目属性为：</w:t>
            </w:r>
            <w:r>
              <w:rPr>
                <w:rFonts w:hint="eastAsia" w:ascii="宋体" w:hAnsi="宋体" w:eastAsia="宋体" w:cs="宋体"/>
                <w:b/>
                <w:bCs/>
                <w:color w:val="auto"/>
                <w:kern w:val="0"/>
                <w:sz w:val="24"/>
                <w:highlight w:val="none"/>
                <w:lang w:eastAsia="zh-CN"/>
              </w:rPr>
              <w:t>货物</w:t>
            </w:r>
            <w:r>
              <w:rPr>
                <w:rFonts w:hint="eastAsia" w:ascii="宋体" w:hAnsi="宋体" w:eastAsia="宋体" w:cs="宋体"/>
                <w:b/>
                <w:bCs/>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2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p>
        </w:tc>
        <w:tc>
          <w:tcPr>
            <w:tcW w:w="7154"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rPr>
              <w:t>本项目采购代理机构：</w:t>
            </w:r>
            <w:r>
              <w:rPr>
                <w:rFonts w:hint="eastAsia" w:ascii="宋体" w:hAnsi="宋体" w:cs="宋体"/>
                <w:color w:val="auto"/>
                <w:kern w:val="0"/>
                <w:sz w:val="24"/>
                <w:highlight w:val="none"/>
                <w:lang w:eastAsia="zh-CN"/>
              </w:rPr>
              <w:t>永曌（江苏）项目管理有限公司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2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6.</w:t>
            </w:r>
          </w:p>
        </w:tc>
        <w:tc>
          <w:tcPr>
            <w:tcW w:w="7154"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宋体"/>
                <w:color w:val="auto"/>
                <w:sz w:val="24"/>
                <w:highlight w:val="none"/>
              </w:rPr>
            </w:pPr>
            <w:r>
              <w:rPr>
                <w:rFonts w:hint="eastAsia" w:ascii="宋体" w:hAnsi="宋体" w:cs="宋体"/>
                <w:color w:val="auto"/>
                <w:sz w:val="24"/>
                <w:highlight w:val="none"/>
              </w:rPr>
              <w:t>投标人的资格条件</w:t>
            </w:r>
            <w:r>
              <w:rPr>
                <w:rFonts w:hint="eastAsia" w:ascii="宋体" w:hAnsi="宋体" w:eastAsia="宋体" w:cs="宋体"/>
                <w:color w:val="auto"/>
                <w:sz w:val="24"/>
                <w:highlight w:val="none"/>
              </w:rPr>
              <w:t>：</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1、符合《中华人民共和国政府采购法》第二十二条规定。</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同时明确相关事项如下：</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b w:val="0"/>
                <w:bCs w:val="0"/>
                <w:color w:val="auto"/>
                <w:sz w:val="24"/>
                <w:highlight w:val="none"/>
              </w:rPr>
              <w:t xml:space="preserve"> 1、本项目</w:t>
            </w:r>
            <w:r>
              <w:rPr>
                <w:rFonts w:hint="eastAsia" w:ascii="宋体" w:hAnsi="宋体" w:cs="宋体"/>
                <w:b w:val="0"/>
                <w:bCs w:val="0"/>
                <w:color w:val="auto"/>
                <w:sz w:val="24"/>
                <w:highlight w:val="none"/>
                <w:lang w:val="en-US" w:eastAsia="zh-CN"/>
              </w:rPr>
              <w:t>不</w:t>
            </w:r>
            <w:r>
              <w:rPr>
                <w:rFonts w:hint="eastAsia" w:ascii="宋体" w:hAnsi="宋体" w:eastAsia="宋体" w:cs="宋体"/>
                <w:b w:val="0"/>
                <w:bCs w:val="0"/>
                <w:color w:val="auto"/>
                <w:sz w:val="24"/>
                <w:highlight w:val="none"/>
              </w:rPr>
              <w:t>属于专门面向中小微企业采购的项目。</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2、本项目不接受联合体参与采购活动。</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3、单位负责人为同一人或者存在直接控股、管理关系的不同</w:t>
            </w:r>
            <w:r>
              <w:rPr>
                <w:rFonts w:hint="eastAsia" w:ascii="宋体" w:hAnsi="宋体" w:cs="宋体"/>
                <w:color w:val="auto"/>
                <w:sz w:val="24"/>
                <w:highlight w:val="none"/>
                <w:lang w:eastAsia="zh-CN"/>
              </w:rPr>
              <w:t>投标人</w:t>
            </w:r>
            <w:r>
              <w:rPr>
                <w:rFonts w:hint="eastAsia" w:ascii="宋体" w:hAnsi="宋体" w:eastAsia="宋体" w:cs="宋体"/>
                <w:color w:val="auto"/>
                <w:sz w:val="24"/>
                <w:highlight w:val="none"/>
              </w:rPr>
              <w:t>，不得参加同一合同项下的政府采购活动。</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4、为本采购项目提供整体设计、规范编制或者项目管理、监理、检测等服务的</w:t>
            </w:r>
            <w:r>
              <w:rPr>
                <w:rFonts w:hint="eastAsia" w:ascii="宋体" w:hAnsi="宋体" w:cs="宋体"/>
                <w:color w:val="auto"/>
                <w:sz w:val="24"/>
                <w:highlight w:val="none"/>
                <w:lang w:eastAsia="zh-CN"/>
              </w:rPr>
              <w:t>投标人</w:t>
            </w:r>
            <w:r>
              <w:rPr>
                <w:rFonts w:hint="eastAsia" w:ascii="宋体" w:hAnsi="宋体" w:eastAsia="宋体" w:cs="宋体"/>
                <w:color w:val="auto"/>
                <w:sz w:val="24"/>
                <w:highlight w:val="none"/>
              </w:rPr>
              <w:t>，不得再参加本采购项目的采购活动。</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5、查询及使用</w:t>
            </w:r>
            <w:r>
              <w:rPr>
                <w:rFonts w:hint="eastAsia" w:ascii="宋体" w:hAnsi="宋体" w:cs="宋体"/>
                <w:color w:val="auto"/>
                <w:sz w:val="24"/>
                <w:highlight w:val="none"/>
                <w:lang w:eastAsia="zh-CN"/>
              </w:rPr>
              <w:t>投标人</w:t>
            </w:r>
            <w:r>
              <w:rPr>
                <w:rFonts w:hint="eastAsia" w:ascii="宋体" w:hAnsi="宋体" w:eastAsia="宋体" w:cs="宋体"/>
                <w:color w:val="auto"/>
                <w:sz w:val="24"/>
                <w:highlight w:val="none"/>
              </w:rPr>
              <w:t>信用记录：</w:t>
            </w:r>
          </w:p>
          <w:p>
            <w:pPr>
              <w:ind w:firstLine="420" w:firstLineChars="175"/>
              <w:rPr>
                <w:rFonts w:hint="eastAsia" w:ascii="宋体" w:hAnsi="宋体" w:eastAsia="宋体" w:cs="宋体"/>
                <w:color w:val="auto"/>
                <w:sz w:val="24"/>
                <w:highlight w:val="none"/>
              </w:rPr>
            </w:pPr>
            <w:r>
              <w:rPr>
                <w:rFonts w:hint="eastAsia" w:ascii="宋体" w:hAnsi="宋体" w:eastAsia="宋体" w:cs="宋体"/>
                <w:color w:val="auto"/>
                <w:sz w:val="24"/>
                <w:highlight w:val="none"/>
              </w:rPr>
              <w:t>⑴由采购人查询信用信息。</w:t>
            </w:r>
          </w:p>
          <w:p>
            <w:pPr>
              <w:ind w:firstLine="420" w:firstLineChars="175"/>
              <w:rPr>
                <w:rFonts w:hint="eastAsia" w:ascii="宋体" w:hAnsi="宋体" w:eastAsia="宋体" w:cs="宋体"/>
                <w:color w:val="auto"/>
                <w:sz w:val="24"/>
                <w:highlight w:val="none"/>
              </w:rPr>
            </w:pPr>
            <w:r>
              <w:rPr>
                <w:rFonts w:hint="eastAsia" w:ascii="宋体" w:hAnsi="宋体" w:eastAsia="宋体" w:cs="宋体"/>
                <w:color w:val="auto"/>
                <w:sz w:val="24"/>
                <w:highlight w:val="none"/>
              </w:rPr>
              <w:t>⑵查询渠道包括：</w:t>
            </w:r>
          </w:p>
          <w:p>
            <w:pPr>
              <w:ind w:firstLine="420" w:firstLineChars="175"/>
              <w:rPr>
                <w:rFonts w:hint="eastAsia" w:ascii="宋体" w:hAnsi="宋体" w:eastAsia="宋体" w:cs="宋体"/>
                <w:color w:val="auto"/>
                <w:sz w:val="24"/>
                <w:highlight w:val="none"/>
              </w:rPr>
            </w:pPr>
            <w:r>
              <w:rPr>
                <w:rFonts w:hint="eastAsia" w:ascii="宋体" w:hAnsi="宋体" w:eastAsia="宋体" w:cs="宋体"/>
                <w:color w:val="auto"/>
                <w:sz w:val="24"/>
                <w:highlight w:val="none"/>
              </w:rPr>
              <w:t>①“信用中国”网（www.creditchina.gov.cn）；</w:t>
            </w:r>
          </w:p>
          <w:p>
            <w:pPr>
              <w:ind w:firstLine="420" w:firstLineChars="175"/>
              <w:rPr>
                <w:rFonts w:hint="eastAsia" w:ascii="宋体" w:hAnsi="宋体" w:eastAsia="宋体" w:cs="宋体"/>
                <w:color w:val="auto"/>
                <w:sz w:val="24"/>
                <w:highlight w:val="none"/>
              </w:rPr>
            </w:pPr>
            <w:r>
              <w:rPr>
                <w:rFonts w:hint="eastAsia" w:ascii="宋体" w:hAnsi="宋体" w:eastAsia="宋体" w:cs="宋体"/>
                <w:color w:val="auto"/>
                <w:sz w:val="24"/>
                <w:highlight w:val="none"/>
              </w:rPr>
              <w:t>②中国政府采购网（www.ccgp.gov.cn）；</w:t>
            </w:r>
          </w:p>
          <w:p>
            <w:pPr>
              <w:ind w:firstLine="420" w:firstLineChars="175"/>
              <w:rPr>
                <w:rFonts w:hint="eastAsia" w:ascii="宋体" w:hAnsi="宋体" w:eastAsia="宋体" w:cs="宋体"/>
                <w:color w:val="auto"/>
                <w:sz w:val="24"/>
                <w:highlight w:val="none"/>
              </w:rPr>
            </w:pPr>
            <w:r>
              <w:rPr>
                <w:rFonts w:hint="eastAsia" w:ascii="宋体" w:hAnsi="宋体" w:eastAsia="宋体" w:cs="宋体"/>
                <w:color w:val="auto"/>
                <w:sz w:val="24"/>
                <w:highlight w:val="none"/>
              </w:rPr>
              <w:t>③“诚信江苏”网（www.jiangsu.gov.cn/jsxy/index.htm）和或“信用中国（江苏）”网（www.jscredit.gov.cn）；</w:t>
            </w:r>
          </w:p>
          <w:p>
            <w:pPr>
              <w:ind w:firstLine="420" w:firstLineChars="175"/>
              <w:rPr>
                <w:rFonts w:hint="eastAsia" w:ascii="宋体" w:hAnsi="宋体" w:eastAsia="宋体" w:cs="宋体"/>
                <w:color w:val="auto"/>
                <w:sz w:val="24"/>
                <w:highlight w:val="none"/>
              </w:rPr>
            </w:pPr>
            <w:r>
              <w:rPr>
                <w:rFonts w:hint="eastAsia" w:ascii="宋体" w:hAnsi="宋体" w:eastAsia="宋体" w:cs="宋体"/>
                <w:color w:val="auto"/>
                <w:sz w:val="24"/>
                <w:highlight w:val="none"/>
              </w:rPr>
              <w:t>④“诚信徐州”网（ http://www.xuzhoucredit.gov.cn）和或“信用中国（江苏·徐州）”网（www.xuzhoucredit.gov.cn）；</w:t>
            </w:r>
          </w:p>
          <w:p>
            <w:pPr>
              <w:ind w:firstLine="420" w:firstLineChars="175"/>
              <w:rPr>
                <w:rFonts w:hint="eastAsia" w:ascii="宋体" w:hAnsi="宋体" w:eastAsia="宋体" w:cs="宋体"/>
                <w:color w:val="auto"/>
                <w:sz w:val="24"/>
                <w:highlight w:val="none"/>
              </w:rPr>
            </w:pPr>
            <w:r>
              <w:rPr>
                <w:rFonts w:hint="eastAsia" w:ascii="宋体" w:hAnsi="宋体" w:eastAsia="宋体" w:cs="宋体"/>
                <w:color w:val="auto"/>
                <w:sz w:val="24"/>
                <w:highlight w:val="none"/>
              </w:rPr>
              <w:t>⑤江苏省政府采购信用评价系统。</w:t>
            </w:r>
          </w:p>
          <w:p>
            <w:pPr>
              <w:ind w:firstLine="420" w:firstLineChars="175"/>
              <w:rPr>
                <w:rFonts w:hint="eastAsia" w:ascii="宋体" w:hAnsi="宋体" w:eastAsia="宋体" w:cs="宋体"/>
                <w:color w:val="auto"/>
                <w:sz w:val="24"/>
                <w:highlight w:val="none"/>
              </w:rPr>
            </w:pPr>
            <w:r>
              <w:rPr>
                <w:rFonts w:hint="eastAsia" w:ascii="宋体" w:hAnsi="宋体" w:eastAsia="宋体" w:cs="宋体"/>
                <w:color w:val="auto"/>
                <w:sz w:val="24"/>
                <w:highlight w:val="none"/>
              </w:rPr>
              <w:t>⑶截止时点（查询环节）：评标结束前。</w:t>
            </w:r>
          </w:p>
          <w:p>
            <w:pPr>
              <w:ind w:firstLine="420" w:firstLineChars="175"/>
              <w:rPr>
                <w:rFonts w:hint="eastAsia" w:ascii="宋体" w:hAnsi="宋体" w:eastAsia="宋体" w:cs="宋体"/>
                <w:color w:val="auto"/>
                <w:sz w:val="24"/>
                <w:highlight w:val="none"/>
              </w:rPr>
            </w:pPr>
            <w:r>
              <w:rPr>
                <w:rFonts w:hint="eastAsia" w:ascii="宋体" w:hAnsi="宋体" w:eastAsia="宋体" w:cs="宋体"/>
                <w:color w:val="auto"/>
                <w:sz w:val="24"/>
                <w:highlight w:val="none"/>
              </w:rPr>
              <w:t>⑷信用信息查询记录和证据留存的具体方式：网页截屏打印，与其他采购文件一并保存。</w:t>
            </w:r>
          </w:p>
          <w:p>
            <w:pPr>
              <w:ind w:firstLine="420" w:firstLineChars="175"/>
              <w:rPr>
                <w:rFonts w:hint="eastAsia" w:ascii="宋体" w:hAnsi="宋体" w:eastAsia="宋体" w:cs="宋体"/>
                <w:color w:val="auto"/>
                <w:sz w:val="24"/>
                <w:highlight w:val="none"/>
              </w:rPr>
            </w:pPr>
            <w:r>
              <w:rPr>
                <w:rFonts w:hint="eastAsia" w:ascii="宋体" w:hAnsi="宋体" w:eastAsia="宋体" w:cs="宋体"/>
                <w:color w:val="auto"/>
                <w:sz w:val="24"/>
                <w:highlight w:val="none"/>
              </w:rPr>
              <w:t>⑸信用信息的使用规则：采购人对</w:t>
            </w:r>
            <w:r>
              <w:rPr>
                <w:rFonts w:hint="eastAsia" w:ascii="宋体" w:hAnsi="宋体" w:cs="宋体"/>
                <w:color w:val="auto"/>
                <w:sz w:val="24"/>
                <w:highlight w:val="none"/>
                <w:lang w:eastAsia="zh-CN"/>
              </w:rPr>
              <w:t>投标人</w:t>
            </w:r>
            <w:r>
              <w:rPr>
                <w:rFonts w:hint="eastAsia" w:ascii="宋体" w:hAnsi="宋体" w:eastAsia="宋体" w:cs="宋体"/>
                <w:color w:val="auto"/>
                <w:sz w:val="24"/>
                <w:highlight w:val="none"/>
              </w:rPr>
              <w:t>信用记录进行甄别，对列入失信被执行人、重大税收违法案件当事人名单、政府采购严重违法失信行为记录名单及其他不符合《中华人民共和国政府采购法》第二十二条规定条件的</w:t>
            </w:r>
            <w:r>
              <w:rPr>
                <w:rFonts w:hint="eastAsia" w:ascii="宋体" w:hAnsi="宋体" w:cs="宋体"/>
                <w:color w:val="auto"/>
                <w:sz w:val="24"/>
                <w:highlight w:val="none"/>
                <w:lang w:eastAsia="zh-CN"/>
              </w:rPr>
              <w:t>投标人</w:t>
            </w:r>
            <w:r>
              <w:rPr>
                <w:rFonts w:hint="eastAsia" w:ascii="宋体" w:hAnsi="宋体" w:eastAsia="宋体" w:cs="宋体"/>
                <w:color w:val="auto"/>
                <w:sz w:val="24"/>
                <w:highlight w:val="none"/>
              </w:rPr>
              <w:t>，拒绝其参与政府采购活动。</w:t>
            </w:r>
          </w:p>
          <w:p>
            <w:pPr>
              <w:rPr>
                <w:rFonts w:hint="eastAsia" w:ascii="宋体" w:hAnsi="宋体" w:eastAsia="宋体" w:cs="宋体"/>
                <w:b/>
                <w:color w:val="auto"/>
                <w:sz w:val="24"/>
                <w:highlight w:val="none"/>
                <w:u w:val="single"/>
              </w:rPr>
            </w:pPr>
            <w:r>
              <w:rPr>
                <w:rFonts w:hint="eastAsia" w:ascii="宋体" w:hAnsi="宋体" w:eastAsia="宋体" w:cs="宋体"/>
                <w:b/>
                <w:bCs/>
                <w:color w:val="auto"/>
                <w:sz w:val="24"/>
                <w:highlight w:val="none"/>
              </w:rPr>
              <w:t xml:space="preserve">   (6)</w:t>
            </w:r>
            <w:r>
              <w:rPr>
                <w:rFonts w:hint="eastAsia" w:ascii="宋体" w:hAnsi="宋体" w:cs="宋体"/>
                <w:b/>
                <w:bCs/>
                <w:color w:val="auto"/>
                <w:sz w:val="24"/>
                <w:highlight w:val="none"/>
                <w:lang w:eastAsia="zh-CN"/>
              </w:rPr>
              <w:t>投标人</w:t>
            </w:r>
            <w:r>
              <w:rPr>
                <w:rFonts w:hint="eastAsia" w:ascii="宋体" w:hAnsi="宋体" w:eastAsia="宋体" w:cs="宋体"/>
                <w:b/>
                <w:bCs/>
                <w:color w:val="auto"/>
                <w:sz w:val="24"/>
                <w:highlight w:val="none"/>
              </w:rPr>
              <w:t>信用评价结果参考期限从项目开标之日前三年起算，具体按照《江苏省政府采购信用管理暂行办法》（苏财规[2018]18号）执行。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2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7.1</w:t>
            </w:r>
          </w:p>
        </w:tc>
        <w:tc>
          <w:tcPr>
            <w:tcW w:w="7154"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招标代理服务费由中标人支付，按《招标代理服务收费标准》执行（见附件）。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2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color w:val="auto"/>
                <w:sz w:val="24"/>
                <w:highlight w:val="none"/>
              </w:rPr>
            </w:pPr>
          </w:p>
        </w:tc>
        <w:tc>
          <w:tcPr>
            <w:tcW w:w="715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二、招标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2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9.1</w:t>
            </w:r>
          </w:p>
        </w:tc>
        <w:tc>
          <w:tcPr>
            <w:tcW w:w="7154"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宋体"/>
                <w:color w:val="auto"/>
                <w:sz w:val="24"/>
                <w:highlight w:val="none"/>
              </w:rPr>
            </w:pPr>
            <w:r>
              <w:rPr>
                <w:rFonts w:hint="eastAsia" w:ascii="宋体" w:hAnsi="宋体" w:eastAsia="宋体" w:cs="宋体"/>
                <w:bCs/>
                <w:color w:val="auto"/>
                <w:sz w:val="24"/>
                <w:highlight w:val="none"/>
              </w:rPr>
              <w:t>采购代理机构可以对已发出的招标文件进行必要的澄清或者修改。澄清或者修改的内容以所发布的本项目的“更正公告”的附件的形式通知所有获取招标文件的潜在投标人。发布本项目的“更正公告”后采购代理机构已尽通知义务。敬请各潜在投标人关注本项目的“更正公告”及附件，否则，将自行承担相应的风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2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9.2</w:t>
            </w:r>
          </w:p>
        </w:tc>
        <w:tc>
          <w:tcPr>
            <w:tcW w:w="7154" w:type="dxa"/>
            <w:tcBorders>
              <w:top w:val="single" w:color="auto" w:sz="4" w:space="0"/>
              <w:left w:val="single" w:color="auto" w:sz="4" w:space="0"/>
              <w:bottom w:val="single" w:color="auto" w:sz="4" w:space="0"/>
              <w:right w:val="single" w:color="auto" w:sz="4" w:space="0"/>
            </w:tcBorders>
            <w:vAlign w:val="top"/>
          </w:tcPr>
          <w:p>
            <w:pPr>
              <w:tabs>
                <w:tab w:val="left" w:pos="5760"/>
              </w:tabs>
              <w:rPr>
                <w:rFonts w:hint="eastAsia" w:ascii="宋体" w:hAnsi="宋体" w:eastAsia="宋体" w:cs="宋体"/>
                <w:color w:val="auto"/>
                <w:sz w:val="24"/>
                <w:highlight w:val="none"/>
              </w:rPr>
            </w:pPr>
            <w:r>
              <w:rPr>
                <w:rFonts w:hint="eastAsia" w:ascii="宋体" w:hAnsi="宋体" w:eastAsia="宋体" w:cs="宋体"/>
                <w:color w:val="auto"/>
                <w:sz w:val="24"/>
                <w:highlight w:val="none"/>
              </w:rPr>
              <w:t>不安排现场考察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2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9.3</w:t>
            </w:r>
          </w:p>
        </w:tc>
        <w:tc>
          <w:tcPr>
            <w:tcW w:w="7154"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不安排</w:t>
            </w:r>
            <w:r>
              <w:rPr>
                <w:rFonts w:hint="eastAsia" w:ascii="宋体" w:hAnsi="宋体" w:eastAsia="宋体" w:cs="宋体"/>
                <w:color w:val="auto"/>
                <w:kern w:val="0"/>
                <w:sz w:val="24"/>
                <w:highlight w:val="none"/>
              </w:rPr>
              <w:t>开标前答疑会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2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color w:val="auto"/>
                <w:sz w:val="24"/>
                <w:highlight w:val="none"/>
              </w:rPr>
            </w:pPr>
          </w:p>
        </w:tc>
        <w:tc>
          <w:tcPr>
            <w:tcW w:w="715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三、投标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2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11.1</w:t>
            </w:r>
          </w:p>
        </w:tc>
        <w:tc>
          <w:tcPr>
            <w:tcW w:w="7154"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投标文件的语言为中文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2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12.1</w:t>
            </w:r>
          </w:p>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12.2</w:t>
            </w:r>
          </w:p>
        </w:tc>
        <w:tc>
          <w:tcPr>
            <w:tcW w:w="7154"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宋体"/>
                <w:b/>
                <w:bCs w:val="0"/>
                <w:color w:val="auto"/>
                <w:sz w:val="24"/>
                <w:highlight w:val="none"/>
              </w:rPr>
            </w:pPr>
            <w:r>
              <w:rPr>
                <w:rFonts w:hint="eastAsia" w:ascii="宋体" w:hAnsi="宋体" w:eastAsia="宋体" w:cs="宋体"/>
                <w:b/>
                <w:bCs w:val="0"/>
                <w:color w:val="auto"/>
                <w:sz w:val="24"/>
                <w:highlight w:val="none"/>
              </w:rPr>
              <w:t>投标文件应由下列部分构成（请按照以下要求和顺序装订）：</w:t>
            </w:r>
          </w:p>
          <w:p>
            <w:pP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一、《投标函》（加盖公章，格式见招标文件第七章《投标文件相关格式》）；</w:t>
            </w:r>
          </w:p>
          <w:p>
            <w:pP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二、《授权委托书》（加盖公章，格式见招标文件第七章《投标文件相关格式》）；</w:t>
            </w:r>
          </w:p>
          <w:p>
            <w:pP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三、价格部分</w:t>
            </w:r>
          </w:p>
          <w:p>
            <w:pP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1、《开标一览表》（加盖公章，格式见招标文件第七章《投标文件相关格式》）；</w:t>
            </w:r>
          </w:p>
          <w:p>
            <w:pP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2、《分项价格表》（加盖公章，格式见招标文件第七章《投标文件相关格式》）；</w:t>
            </w:r>
          </w:p>
          <w:p>
            <w:pP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四、投标人应当提交的资格、资信证明文件（必须提供，否则投标将被拒绝）</w:t>
            </w:r>
          </w:p>
          <w:p>
            <w:pP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1、投标人合法有效的营业执照或法人证书复印件；</w:t>
            </w:r>
          </w:p>
          <w:p>
            <w:pP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财务状况报告，提供：投标人的本项目开标时间前6个月内任何日期的资产负债表和利润表月报表复印件；或投标人基本开户银行出具的有效的资信证明复印件；或财政部门认可的政府采购专业担保机构出具的有效的投标担保函复印件；</w:t>
            </w:r>
          </w:p>
          <w:p>
            <w:pP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投标人的本项目开标时间前6个月内任何1月的依法缴纳税收和社会保障资金的相关材料复印件；依法免税或不需要缴纳社会保障资金的投标人应提供相应其依法免税或不需要缴纳社会保障资金的证明文件复印件；</w:t>
            </w:r>
          </w:p>
          <w:p>
            <w:pPr>
              <w:jc w:val="left"/>
              <w:rPr>
                <w:rFonts w:hint="eastAsia" w:ascii="宋体" w:hAnsi="宋体" w:eastAsia="宋体" w:cs="宋体"/>
                <w:b/>
                <w:color w:val="auto"/>
                <w:sz w:val="24"/>
                <w:highlight w:val="none"/>
              </w:rPr>
            </w:pPr>
            <w:r>
              <w:rPr>
                <w:rFonts w:hint="eastAsia" w:ascii="宋体" w:hAnsi="宋体" w:eastAsia="宋体" w:cs="宋体"/>
                <w:b w:val="0"/>
                <w:bCs/>
                <w:color w:val="auto"/>
                <w:sz w:val="24"/>
                <w:highlight w:val="none"/>
              </w:rPr>
              <w:t>4、具备履行合同所必需的设备和专业技术能力的证明材料复印件。投标文件中提供《具备履行合同所必需的设备和专业技术能力的书面声明（附证明材料复印件）》（加盖公章，格式见招标文件第七章《投标文件相关格式》,所附证明材料复印件可不加盖公章）</w:t>
            </w:r>
            <w:r>
              <w:rPr>
                <w:rFonts w:hint="eastAsia" w:ascii="宋体" w:hAnsi="宋体" w:eastAsia="宋体" w:cs="宋体"/>
                <w:b/>
                <w:color w:val="auto"/>
                <w:sz w:val="24"/>
                <w:highlight w:val="none"/>
              </w:rPr>
              <w:t>；</w:t>
            </w:r>
          </w:p>
          <w:p>
            <w:pPr>
              <w:rPr>
                <w:rFonts w:hint="eastAsia" w:ascii="宋体" w:hAnsi="宋体" w:eastAsia="宋体" w:cs="宋体"/>
                <w:bCs/>
                <w:color w:val="auto"/>
                <w:sz w:val="24"/>
                <w:highlight w:val="none"/>
                <w:lang w:val="en-US" w:eastAsia="zh-CN"/>
              </w:rPr>
            </w:pPr>
            <w:r>
              <w:rPr>
                <w:rFonts w:hint="eastAsia" w:ascii="宋体" w:hAnsi="宋体" w:eastAsia="宋体" w:cs="宋体"/>
                <w:b/>
                <w:bCs w:val="0"/>
                <w:color w:val="auto"/>
                <w:sz w:val="24"/>
                <w:highlight w:val="none"/>
                <w:lang w:val="en-US" w:eastAsia="zh-CN"/>
              </w:rPr>
              <w:t>5、中小企业声明函</w:t>
            </w:r>
            <w:r>
              <w:rPr>
                <w:rFonts w:hint="eastAsia" w:ascii="宋体" w:hAnsi="宋体" w:eastAsia="宋体" w:cs="宋体"/>
                <w:bCs/>
                <w:color w:val="auto"/>
                <w:sz w:val="24"/>
                <w:highlight w:val="none"/>
                <w:lang w:val="en-US" w:eastAsia="zh-CN"/>
              </w:rPr>
              <w:t>（加盖公章，</w:t>
            </w:r>
            <w:r>
              <w:rPr>
                <w:rFonts w:hint="eastAsia" w:ascii="宋体" w:hAnsi="宋体" w:eastAsia="宋体" w:cs="宋体"/>
                <w:b/>
                <w:bCs w:val="0"/>
                <w:color w:val="auto"/>
                <w:sz w:val="24"/>
                <w:highlight w:val="none"/>
                <w:lang w:val="en-US" w:eastAsia="zh-CN"/>
              </w:rPr>
              <w:t>填写完整</w:t>
            </w:r>
            <w:r>
              <w:rPr>
                <w:rFonts w:hint="eastAsia" w:ascii="宋体" w:hAnsi="宋体" w:eastAsia="宋体" w:cs="宋体"/>
                <w:bCs/>
                <w:color w:val="auto"/>
                <w:sz w:val="24"/>
                <w:highlight w:val="none"/>
                <w:lang w:val="en-US" w:eastAsia="zh-CN"/>
              </w:rPr>
              <w:t>。格式见招标文件第七章《投标文件相关格式》）</w:t>
            </w:r>
            <w:r>
              <w:rPr>
                <w:rFonts w:hint="eastAsia" w:ascii="宋体" w:hAnsi="宋体" w:eastAsia="宋体" w:cs="宋体"/>
                <w:b/>
                <w:bCs w:val="0"/>
                <w:color w:val="auto"/>
                <w:sz w:val="24"/>
                <w:szCs w:val="24"/>
                <w:highlight w:val="none"/>
              </w:rPr>
              <w:t>（必须提供，否则投标将被拒绝）</w:t>
            </w:r>
            <w:r>
              <w:rPr>
                <w:rFonts w:hint="eastAsia" w:ascii="宋体" w:hAnsi="宋体" w:cs="宋体"/>
                <w:b/>
                <w:bCs w:val="0"/>
                <w:color w:val="auto"/>
                <w:sz w:val="24"/>
                <w:szCs w:val="24"/>
                <w:highlight w:val="none"/>
                <w:lang w:eastAsia="zh-CN"/>
              </w:rPr>
              <w:t>；</w:t>
            </w:r>
          </w:p>
          <w:p>
            <w:pPr>
              <w:rPr>
                <w:rFonts w:hint="eastAsia" w:ascii="宋体" w:hAnsi="宋体" w:eastAsia="宋体" w:cs="宋体"/>
                <w:bCs/>
                <w:color w:val="auto"/>
                <w:sz w:val="24"/>
                <w:highlight w:val="none"/>
              </w:rPr>
            </w:pPr>
            <w:r>
              <w:rPr>
                <w:rFonts w:hint="eastAsia" w:ascii="宋体" w:hAnsi="宋体" w:eastAsia="宋体" w:cs="宋体"/>
                <w:bCs/>
                <w:color w:val="auto"/>
                <w:sz w:val="24"/>
                <w:highlight w:val="none"/>
                <w:lang w:val="en-US" w:eastAsia="zh-CN"/>
              </w:rPr>
              <w:t>6</w:t>
            </w:r>
            <w:r>
              <w:rPr>
                <w:rFonts w:hint="eastAsia" w:ascii="宋体" w:hAnsi="宋体" w:eastAsia="宋体" w:cs="宋体"/>
                <w:bCs/>
                <w:color w:val="auto"/>
                <w:sz w:val="24"/>
                <w:highlight w:val="none"/>
              </w:rPr>
              <w:t>、</w:t>
            </w:r>
            <w:r>
              <w:rPr>
                <w:rFonts w:hint="eastAsia" w:ascii="宋体" w:hAnsi="宋体" w:eastAsia="宋体" w:cs="宋体"/>
                <w:b w:val="0"/>
                <w:bCs/>
                <w:color w:val="auto"/>
                <w:sz w:val="24"/>
                <w:highlight w:val="none"/>
              </w:rPr>
              <w:t>投标人参加政府采购活动前3年内在经营活动中没有重大违法记录的书面声明（加盖</w:t>
            </w:r>
            <w:r>
              <w:rPr>
                <w:rFonts w:hint="eastAsia" w:ascii="宋体" w:hAnsi="宋体" w:eastAsia="宋体" w:cs="宋体"/>
                <w:bCs/>
                <w:color w:val="auto"/>
                <w:sz w:val="24"/>
                <w:highlight w:val="none"/>
              </w:rPr>
              <w:t>公章，格式见招标文件第七章《投标文件相关格式》）；</w:t>
            </w:r>
          </w:p>
          <w:p>
            <w:pPr>
              <w:rPr>
                <w:rFonts w:hint="eastAsia" w:eastAsia="宋体"/>
                <w:lang w:val="en-US" w:eastAsia="zh-CN"/>
              </w:rPr>
            </w:pPr>
            <w:r>
              <w:rPr>
                <w:rFonts w:hint="eastAsia" w:ascii="宋体" w:hAnsi="宋体" w:eastAsia="宋体" w:cs="宋体"/>
                <w:b w:val="0"/>
                <w:bCs/>
                <w:color w:val="auto"/>
                <w:sz w:val="24"/>
                <w:highlight w:val="none"/>
                <w:lang w:val="en-US" w:eastAsia="zh-CN"/>
              </w:rPr>
              <w:t>7、</w:t>
            </w:r>
            <w:r>
              <w:rPr>
                <w:rFonts w:hint="eastAsia" w:ascii="宋体" w:hAnsi="宋体" w:eastAsia="宋体" w:cs="宋体"/>
                <w:b/>
                <w:bCs w:val="0"/>
                <w:color w:val="auto"/>
                <w:sz w:val="24"/>
                <w:highlight w:val="none"/>
                <w:lang w:eastAsia="zh-CN"/>
              </w:rPr>
              <w:t>垃圾分类收集亭提档升级</w:t>
            </w:r>
            <w:r>
              <w:rPr>
                <w:rFonts w:hint="eastAsia" w:ascii="宋体" w:hAnsi="宋体" w:eastAsia="宋体" w:cs="宋体"/>
                <w:b/>
                <w:bCs w:val="0"/>
                <w:color w:val="auto"/>
                <w:sz w:val="24"/>
                <w:highlight w:val="none"/>
              </w:rPr>
              <w:t>现场勘察证明</w:t>
            </w:r>
            <w:r>
              <w:rPr>
                <w:rFonts w:hint="eastAsia" w:ascii="宋体" w:hAnsi="宋体" w:cs="宋体"/>
                <w:b/>
                <w:bCs w:val="0"/>
                <w:color w:val="auto"/>
                <w:sz w:val="24"/>
                <w:highlight w:val="none"/>
                <w:lang w:val="en-US" w:eastAsia="zh-CN"/>
              </w:rPr>
              <w:t>单</w:t>
            </w:r>
            <w:r>
              <w:rPr>
                <w:rFonts w:hint="eastAsia" w:ascii="宋体" w:hAnsi="宋体" w:eastAsia="宋体" w:cs="宋体"/>
                <w:b/>
                <w:bCs w:val="0"/>
                <w:color w:val="auto"/>
                <w:sz w:val="24"/>
                <w:szCs w:val="24"/>
                <w:highlight w:val="none"/>
              </w:rPr>
              <w:t>（必须提供，否则投标将被拒绝）</w:t>
            </w:r>
            <w:r>
              <w:rPr>
                <w:rFonts w:hint="eastAsia" w:ascii="宋体" w:hAnsi="宋体" w:cs="宋体"/>
                <w:b/>
                <w:bCs w:val="0"/>
                <w:color w:val="auto"/>
                <w:sz w:val="24"/>
                <w:szCs w:val="24"/>
                <w:highlight w:val="none"/>
                <w:lang w:eastAsia="zh-CN"/>
              </w:rPr>
              <w:t>。</w:t>
            </w:r>
          </w:p>
          <w:p>
            <w:pP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五、技术部分</w:t>
            </w:r>
          </w:p>
          <w:p>
            <w:pPr>
              <w:rPr>
                <w:rFonts w:hint="eastAsia" w:ascii="宋体" w:hAnsi="宋体" w:eastAsia="宋体" w:cs="宋体"/>
                <w:b/>
                <w:bCs w:val="0"/>
                <w:color w:val="auto"/>
                <w:sz w:val="24"/>
                <w:highlight w:val="none"/>
              </w:rPr>
            </w:pPr>
            <w:r>
              <w:rPr>
                <w:rFonts w:hint="eastAsia" w:ascii="宋体" w:hAnsi="宋体" w:eastAsia="宋体" w:cs="宋体"/>
                <w:b/>
                <w:bCs w:val="0"/>
                <w:color w:val="auto"/>
                <w:sz w:val="24"/>
                <w:highlight w:val="none"/>
              </w:rPr>
              <w:t>1、所投产品的技术规格（要求见招标文件第六章《采购需求》）；</w:t>
            </w:r>
          </w:p>
          <w:p>
            <w:pPr>
              <w:rPr>
                <w:rFonts w:hint="eastAsia" w:ascii="宋体" w:hAnsi="宋体" w:eastAsia="宋体" w:cs="宋体"/>
                <w:b/>
                <w:bCs w:val="0"/>
                <w:color w:val="auto"/>
                <w:sz w:val="24"/>
                <w:highlight w:val="none"/>
              </w:rPr>
            </w:pPr>
            <w:r>
              <w:rPr>
                <w:rFonts w:hint="eastAsia" w:ascii="宋体" w:hAnsi="宋体" w:eastAsia="宋体" w:cs="宋体"/>
                <w:b/>
                <w:bCs w:val="0"/>
                <w:color w:val="auto"/>
                <w:sz w:val="24"/>
                <w:highlight w:val="none"/>
                <w:lang w:val="en-US" w:eastAsia="zh-CN"/>
              </w:rPr>
              <w:t>2、</w:t>
            </w:r>
            <w:r>
              <w:rPr>
                <w:rFonts w:hint="eastAsia" w:ascii="宋体" w:hAnsi="宋体" w:cs="宋体"/>
                <w:b/>
                <w:bCs w:val="0"/>
                <w:color w:val="auto"/>
                <w:sz w:val="24"/>
                <w:highlight w:val="none"/>
                <w:lang w:val="en-US" w:eastAsia="zh-CN"/>
              </w:rPr>
              <w:t>安装方案及安装保障措施、</w:t>
            </w:r>
            <w:r>
              <w:rPr>
                <w:rFonts w:hint="eastAsia" w:ascii="宋体" w:hAnsi="宋体" w:eastAsia="宋体" w:cs="宋体"/>
                <w:b/>
                <w:bCs w:val="0"/>
                <w:color w:val="auto"/>
                <w:sz w:val="24"/>
                <w:highlight w:val="none"/>
              </w:rPr>
              <w:t>售后服务方案（要求见招标文件第四章《评标标准》中《评分细则》及招标文件第六章《采购需求》）；</w:t>
            </w:r>
          </w:p>
          <w:p>
            <w:pPr>
              <w:rPr>
                <w:rFonts w:hint="eastAsia" w:ascii="宋体" w:hAnsi="宋体" w:eastAsia="宋体" w:cs="宋体"/>
                <w:bCs/>
                <w:color w:val="auto"/>
                <w:sz w:val="24"/>
                <w:highlight w:val="none"/>
              </w:rPr>
            </w:pPr>
            <w:r>
              <w:rPr>
                <w:rFonts w:hint="eastAsia" w:ascii="宋体" w:hAnsi="宋体" w:eastAsia="宋体" w:cs="宋体"/>
                <w:b/>
                <w:bCs w:val="0"/>
                <w:color w:val="auto"/>
                <w:sz w:val="24"/>
                <w:highlight w:val="none"/>
                <w:lang w:val="en-US" w:eastAsia="zh-CN"/>
              </w:rPr>
              <w:t>3、</w:t>
            </w:r>
            <w:r>
              <w:rPr>
                <w:rFonts w:hint="eastAsia" w:ascii="宋体" w:hAnsi="宋体" w:eastAsia="宋体" w:cs="宋体"/>
                <w:b/>
                <w:bCs w:val="0"/>
                <w:color w:val="auto"/>
                <w:sz w:val="24"/>
                <w:highlight w:val="none"/>
              </w:rPr>
              <w:t>评分细则中评分得分需提供的相关证明文件复印件</w:t>
            </w:r>
            <w:r>
              <w:rPr>
                <w:rFonts w:hint="eastAsia" w:ascii="宋体" w:hAnsi="宋体" w:cs="宋体"/>
                <w:b/>
                <w:bCs w:val="0"/>
                <w:color w:val="auto"/>
                <w:sz w:val="24"/>
                <w:highlight w:val="none"/>
                <w:lang w:eastAsia="zh-CN"/>
              </w:rPr>
              <w:t>（</w:t>
            </w:r>
            <w:r>
              <w:rPr>
                <w:rFonts w:hint="eastAsia" w:ascii="宋体" w:hAnsi="宋体" w:cs="宋体"/>
                <w:b/>
                <w:bCs w:val="0"/>
                <w:color w:val="auto"/>
                <w:sz w:val="24"/>
                <w:highlight w:val="none"/>
                <w:lang w:val="en-US" w:eastAsia="zh-CN"/>
              </w:rPr>
              <w:t>如有</w:t>
            </w:r>
            <w:r>
              <w:rPr>
                <w:rFonts w:hint="eastAsia" w:ascii="宋体" w:hAnsi="宋体" w:cs="宋体"/>
                <w:b/>
                <w:bCs w:val="0"/>
                <w:color w:val="auto"/>
                <w:sz w:val="24"/>
                <w:highlight w:val="none"/>
                <w:lang w:eastAsia="zh-CN"/>
              </w:rPr>
              <w:t>）</w:t>
            </w:r>
            <w:r>
              <w:rPr>
                <w:rFonts w:hint="eastAsia" w:ascii="宋体" w:hAnsi="宋体" w:eastAsia="宋体" w:cs="宋体"/>
                <w:b/>
                <w:bCs w:val="0"/>
                <w:color w:val="auto"/>
                <w:sz w:val="24"/>
                <w:highlight w:val="none"/>
              </w:rPr>
              <w:t>。</w:t>
            </w:r>
          </w:p>
          <w:p>
            <w:pPr>
              <w:rPr>
                <w:rFonts w:hint="eastAsia" w:ascii="宋体" w:hAnsi="宋体" w:eastAsia="宋体" w:cs="宋体"/>
                <w:bCs/>
                <w:color w:val="auto"/>
                <w:sz w:val="24"/>
                <w:highlight w:val="none"/>
              </w:rPr>
            </w:pPr>
            <w:r>
              <w:rPr>
                <w:rFonts w:hint="eastAsia" w:ascii="宋体" w:hAnsi="宋体" w:eastAsia="宋体" w:cs="宋体"/>
                <w:b/>
                <w:bCs w:val="0"/>
                <w:color w:val="auto"/>
                <w:sz w:val="24"/>
                <w:highlight w:val="none"/>
              </w:rPr>
              <w:t>六、《偏离表》（加盖公章，格式见招标文件第七章《投标文件相关格式》）；</w:t>
            </w:r>
          </w:p>
          <w:p>
            <w:pP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七、商务部分</w:t>
            </w:r>
          </w:p>
          <w:p>
            <w:pPr>
              <w:rPr>
                <w:rFonts w:hint="eastAsia" w:ascii="宋体" w:hAnsi="宋体" w:eastAsia="宋体" w:cs="宋体"/>
                <w:b w:val="0"/>
                <w:bCs/>
                <w:color w:val="auto"/>
                <w:sz w:val="24"/>
                <w:highlight w:val="none"/>
              </w:rPr>
            </w:pPr>
            <w:r>
              <w:rPr>
                <w:rFonts w:hint="eastAsia" w:ascii="宋体" w:hAnsi="宋体" w:eastAsia="宋体" w:cs="宋体"/>
                <w:bCs/>
                <w:color w:val="auto"/>
                <w:sz w:val="24"/>
                <w:highlight w:val="none"/>
              </w:rPr>
              <w:t>1、投标人其它证明文件及材料复印件；</w:t>
            </w:r>
          </w:p>
          <w:p>
            <w:pPr>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注：中小企业（含中型、小型、微型企业，下同），应当同时符合以下条件：</w:t>
            </w:r>
            <w:r>
              <w:rPr>
                <w:rFonts w:hint="eastAsia" w:ascii="宋体" w:hAnsi="宋体" w:eastAsia="宋体" w:cs="宋体"/>
                <w:bCs/>
                <w:color w:val="auto"/>
                <w:sz w:val="24"/>
                <w:highlight w:val="none"/>
              </w:rPr>
              <w:br w:type="textWrapping"/>
            </w:r>
            <w:r>
              <w:rPr>
                <w:rFonts w:hint="eastAsia" w:ascii="宋体" w:hAnsi="宋体" w:eastAsia="宋体" w:cs="宋体"/>
                <w:bCs/>
                <w:color w:val="auto"/>
                <w:sz w:val="24"/>
                <w:highlight w:val="none"/>
              </w:rPr>
              <w:t>　 ① 符合中小企业划分标准；</w:t>
            </w:r>
            <w:r>
              <w:rPr>
                <w:rFonts w:hint="eastAsia" w:ascii="宋体" w:hAnsi="宋体" w:eastAsia="宋体" w:cs="宋体"/>
                <w:bCs/>
                <w:color w:val="auto"/>
                <w:sz w:val="24"/>
                <w:highlight w:val="none"/>
              </w:rPr>
              <w:br w:type="textWrapping"/>
            </w:r>
            <w:r>
              <w:rPr>
                <w:rFonts w:hint="eastAsia" w:ascii="宋体" w:hAnsi="宋体" w:eastAsia="宋体" w:cs="宋体"/>
                <w:bCs/>
                <w:color w:val="auto"/>
                <w:sz w:val="24"/>
                <w:highlight w:val="none"/>
              </w:rPr>
              <w:t xml:space="preserve">   ② 提供本企业制造的货物、承担的工程或者服务，或者提供其他中小企业制造的货物。本项所称货物不包括使用大型企业注册商标的货物。</w:t>
            </w:r>
            <w:r>
              <w:rPr>
                <w:rFonts w:hint="eastAsia" w:ascii="宋体" w:hAnsi="宋体" w:eastAsia="宋体" w:cs="宋体"/>
                <w:bCs/>
                <w:color w:val="auto"/>
                <w:sz w:val="24"/>
                <w:highlight w:val="none"/>
              </w:rPr>
              <w:br w:type="textWrapping"/>
            </w:r>
            <w:r>
              <w:rPr>
                <w:rFonts w:hint="eastAsia" w:ascii="宋体" w:hAnsi="宋体" w:eastAsia="宋体" w:cs="宋体"/>
                <w:bCs/>
                <w:color w:val="auto"/>
                <w:sz w:val="24"/>
                <w:highlight w:val="none"/>
              </w:rPr>
              <w:t>　　小型、微型企业提供中型企业制造的货物的，视同为中型企业。</w:t>
            </w:r>
            <w:r>
              <w:rPr>
                <w:rFonts w:hint="eastAsia" w:ascii="宋体" w:hAnsi="宋体" w:eastAsia="宋体" w:cs="宋体"/>
                <w:bCs/>
                <w:color w:val="auto"/>
                <w:sz w:val="24"/>
                <w:highlight w:val="none"/>
              </w:rPr>
              <w:br w:type="textWrapping"/>
            </w:r>
            <w:r>
              <w:rPr>
                <w:rFonts w:hint="eastAsia" w:ascii="宋体" w:hAnsi="宋体" w:eastAsia="宋体" w:cs="宋体"/>
                <w:bCs/>
                <w:color w:val="auto"/>
                <w:sz w:val="24"/>
                <w:highlight w:val="none"/>
              </w:rPr>
              <w:t xml:space="preserve">    具体以《政府采购促进中小企业发展暂行办法》（</w:t>
            </w:r>
            <w:r>
              <w:rPr>
                <w:rFonts w:hint="eastAsia" w:ascii="宋体" w:hAnsi="宋体" w:eastAsia="宋体" w:cs="宋体"/>
                <w:bCs/>
                <w:color w:val="auto"/>
                <w:sz w:val="24"/>
                <w:highlight w:val="none"/>
                <w:lang w:val="en-US" w:eastAsia="zh-CN"/>
              </w:rPr>
              <w:t>財库【2020】46号文</w:t>
            </w:r>
            <w:r>
              <w:rPr>
                <w:rFonts w:hint="eastAsia" w:ascii="宋体" w:hAnsi="宋体" w:eastAsia="宋体" w:cs="宋体"/>
                <w:bCs/>
                <w:color w:val="auto"/>
                <w:sz w:val="24"/>
                <w:highlight w:val="none"/>
              </w:rPr>
              <w:t>）和《工业和信息化部、国家统计局、国家发展和改革委员会、财政部关于印发中小企业划型标准规定的通知》（工信部联企业[2011]300号）的规定为准。</w:t>
            </w:r>
          </w:p>
          <w:p>
            <w:pPr>
              <w:ind w:firstLine="482" w:firstLineChars="200"/>
              <w:rPr>
                <w:rFonts w:hint="eastAsia"/>
                <w:b/>
                <w:bCs w:val="0"/>
              </w:rPr>
            </w:pPr>
            <w:r>
              <w:rPr>
                <w:rFonts w:hint="eastAsia" w:ascii="宋体" w:hAnsi="宋体" w:eastAsia="宋体" w:cs="宋体"/>
                <w:b/>
                <w:bCs w:val="0"/>
                <w:color w:val="auto"/>
                <w:sz w:val="24"/>
                <w:highlight w:val="none"/>
                <w:lang w:val="en-US" w:eastAsia="zh-CN"/>
              </w:rPr>
              <w:t>投标人为小型、微型、监狱企业、享受政府采购支持政策的残疾人福利性单位的（以</w:t>
            </w:r>
            <w:r>
              <w:rPr>
                <w:rFonts w:hint="eastAsia" w:ascii="宋体" w:hAnsi="宋体" w:cs="宋体"/>
                <w:b/>
                <w:bCs w:val="0"/>
                <w:color w:val="auto"/>
                <w:sz w:val="24"/>
                <w:highlight w:val="none"/>
                <w:lang w:val="en-US" w:eastAsia="zh-CN"/>
              </w:rPr>
              <w:t>投标人</w:t>
            </w:r>
            <w:r>
              <w:rPr>
                <w:rFonts w:hint="eastAsia" w:ascii="宋体" w:hAnsi="宋体" w:eastAsia="宋体" w:cs="宋体"/>
                <w:b/>
                <w:bCs w:val="0"/>
                <w:color w:val="auto"/>
                <w:sz w:val="24"/>
                <w:highlight w:val="none"/>
                <w:lang w:val="en-US" w:eastAsia="zh-CN"/>
              </w:rPr>
              <w:t>相应文件相关材料为准），该投标人的投标</w:t>
            </w:r>
            <w:r>
              <w:rPr>
                <w:rFonts w:hint="eastAsia" w:ascii="宋体" w:hAnsi="宋体" w:cs="宋体"/>
                <w:b/>
                <w:bCs w:val="0"/>
                <w:color w:val="auto"/>
                <w:sz w:val="24"/>
                <w:highlight w:val="none"/>
                <w:lang w:val="en-US" w:eastAsia="zh-CN"/>
              </w:rPr>
              <w:t>评审</w:t>
            </w:r>
            <w:r>
              <w:rPr>
                <w:rFonts w:hint="eastAsia" w:ascii="宋体" w:hAnsi="宋体" w:eastAsia="宋体" w:cs="宋体"/>
                <w:b/>
                <w:bCs w:val="0"/>
                <w:color w:val="auto"/>
                <w:sz w:val="24"/>
                <w:highlight w:val="none"/>
                <w:lang w:val="en-US" w:eastAsia="zh-CN"/>
              </w:rPr>
              <w:t>价=投标报价*（100%-10%）。</w:t>
            </w:r>
          </w:p>
          <w:p>
            <w:pPr>
              <w:rPr>
                <w:rFonts w:hint="eastAsia" w:ascii="宋体" w:hAnsi="宋体" w:eastAsia="宋体" w:cs="宋体"/>
                <w:bCs/>
                <w:color w:val="auto"/>
                <w:sz w:val="24"/>
                <w:highlight w:val="none"/>
              </w:rPr>
            </w:pPr>
            <w:r>
              <w:rPr>
                <w:rFonts w:hint="eastAsia" w:ascii="宋体" w:hAnsi="宋体" w:eastAsia="宋体" w:cs="宋体"/>
                <w:bCs/>
                <w:color w:val="auto"/>
                <w:sz w:val="24"/>
                <w:highlight w:val="none"/>
                <w:lang w:val="en-US" w:eastAsia="zh-CN"/>
              </w:rPr>
              <w:t>3、</w:t>
            </w:r>
            <w:r>
              <w:rPr>
                <w:rFonts w:hint="eastAsia" w:ascii="宋体" w:hAnsi="宋体" w:eastAsia="宋体" w:cs="宋体"/>
                <w:bCs/>
                <w:color w:val="auto"/>
                <w:sz w:val="24"/>
                <w:highlight w:val="none"/>
              </w:rPr>
              <w:t>投标人为监狱企业的，提供省级以上监狱管理局、戒毒管理局（含新疆生产建设兵团）出具的属于监狱企业的证明文件复印件。</w:t>
            </w:r>
          </w:p>
          <w:p>
            <w:pP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注：具体以《财政部 司法部关于政府采购支持监狱企业发展有关问题的通知》（财库〔2014〕68号）的规定为准。</w:t>
            </w:r>
          </w:p>
          <w:p>
            <w:pPr>
              <w:rPr>
                <w:rFonts w:hint="eastAsia" w:ascii="宋体" w:hAnsi="宋体" w:eastAsia="宋体" w:cs="宋体"/>
                <w:bCs/>
                <w:color w:val="auto"/>
                <w:sz w:val="24"/>
                <w:highlight w:val="none"/>
              </w:rPr>
            </w:pPr>
            <w:r>
              <w:rPr>
                <w:rFonts w:hint="eastAsia" w:ascii="宋体" w:hAnsi="宋体" w:eastAsia="宋体" w:cs="宋体"/>
                <w:bCs/>
                <w:color w:val="auto"/>
                <w:sz w:val="24"/>
                <w:highlight w:val="none"/>
                <w:lang w:val="en-US" w:eastAsia="zh-CN"/>
              </w:rPr>
              <w:t>4、</w:t>
            </w:r>
            <w:r>
              <w:rPr>
                <w:rFonts w:hint="eastAsia" w:ascii="宋体" w:hAnsi="宋体" w:eastAsia="宋体" w:cs="宋体"/>
                <w:bCs/>
                <w:color w:val="auto"/>
                <w:sz w:val="24"/>
                <w:highlight w:val="none"/>
              </w:rPr>
              <w:t>投标人为残疾人福利性单位的，提供《</w:t>
            </w:r>
            <w:bookmarkStart w:id="1" w:name="OLE_LINK13"/>
            <w:bookmarkStart w:id="2" w:name="OLE_LINK14"/>
            <w:r>
              <w:rPr>
                <w:rFonts w:hint="eastAsia" w:ascii="宋体" w:hAnsi="宋体" w:eastAsia="宋体" w:cs="宋体"/>
                <w:bCs/>
                <w:color w:val="auto"/>
                <w:sz w:val="24"/>
                <w:highlight w:val="none"/>
              </w:rPr>
              <w:t>残疾人福利性单位声明函</w:t>
            </w:r>
            <w:bookmarkEnd w:id="1"/>
            <w:bookmarkEnd w:id="2"/>
            <w:r>
              <w:rPr>
                <w:rFonts w:hint="eastAsia" w:ascii="宋体" w:hAnsi="宋体" w:eastAsia="宋体" w:cs="宋体"/>
                <w:bCs/>
                <w:color w:val="auto"/>
                <w:sz w:val="24"/>
                <w:highlight w:val="none"/>
              </w:rPr>
              <w:t>》（加盖公章，格式见招标文件第七章《投标文件相关格式》）。</w:t>
            </w:r>
          </w:p>
          <w:p>
            <w:pP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注：具体</w:t>
            </w:r>
            <w:r>
              <w:rPr>
                <w:rFonts w:hint="eastAsia" w:ascii="宋体" w:hAnsi="宋体" w:eastAsia="宋体" w:cs="宋体"/>
                <w:color w:val="auto"/>
                <w:sz w:val="24"/>
                <w:highlight w:val="none"/>
              </w:rPr>
              <w:t>以《关于促进残疾人就业政府采购政策的通知》（财库〔2017〕141号）的规定为准。</w:t>
            </w:r>
          </w:p>
          <w:p>
            <w:pP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八、其他部分</w:t>
            </w:r>
            <w:r>
              <w:rPr>
                <w:rFonts w:hint="eastAsia" w:ascii="宋体" w:hAnsi="宋体" w:eastAsia="宋体" w:cs="宋体"/>
                <w:color w:val="auto"/>
                <w:sz w:val="24"/>
                <w:highlight w:val="none"/>
              </w:rPr>
              <w:t>：证明材料(即为落实政府采购政策，采购标的需满足的要求，以及投标人须提供的证明材料。特别要求的除外。</w:t>
            </w:r>
          </w:p>
          <w:p>
            <w:pP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1、所投产品的环境标志产品认证证书复印件（如有）。</w:t>
            </w:r>
          </w:p>
          <w:p>
            <w:pP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注：</w:t>
            </w:r>
          </w:p>
          <w:p>
            <w:pP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（1）所投产品属于《环境标志产品政府采购品目清单》（由财政部 生态环境部印发）范围的，投标文件中提供（如有）所投产品的国家确定的认证机构出具的、处于有效期之内（即“开标时间”当天在有效期之内）的环境标志产品认证证书复印件。复印件不需提交原件核查。</w:t>
            </w:r>
          </w:p>
          <w:p>
            <w:pP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（2）环境标志产品认证证书复印件是否符合要求，采购人评标时查询中国政府采购网（www.ccgp.gov.cn）相关内容后确定。</w:t>
            </w:r>
          </w:p>
          <w:p>
            <w:pP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2、所投产品的节能产品认证证书复印件（如有）。</w:t>
            </w:r>
          </w:p>
          <w:p>
            <w:pP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注：</w:t>
            </w:r>
          </w:p>
          <w:p>
            <w:pP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（1）所投产品属于《节能产品政府采购品目清单》（由财政部 发展改革委印发）范围的，投标文件中提供（如有）所投产品的国家确定的认证机构出具的、处于有效期之内（即“开标时间”当天在有效期之内）的节能产品认证证书复印件。复印件不需提交原件核查。</w:t>
            </w:r>
          </w:p>
          <w:p>
            <w:pPr>
              <w:rPr>
                <w:rFonts w:hint="eastAsia" w:ascii="宋体" w:hAnsi="宋体" w:eastAsia="宋体" w:cs="宋体"/>
                <w:color w:val="auto"/>
                <w:highlight w:val="none"/>
              </w:rPr>
            </w:pPr>
            <w:r>
              <w:rPr>
                <w:rFonts w:hint="eastAsia" w:ascii="宋体" w:hAnsi="宋体" w:eastAsia="宋体" w:cs="宋体"/>
                <w:bCs/>
                <w:color w:val="auto"/>
                <w:sz w:val="24"/>
                <w:highlight w:val="none"/>
              </w:rPr>
              <w:t>（2）节能产品认证证书复印件是否符合要求，采购人评标时查询中国政府采购网（www.ccgp.gov.cn）相关内容后确定。</w:t>
            </w:r>
          </w:p>
          <w:p>
            <w:pP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w:t>
            </w:r>
          </w:p>
          <w:p>
            <w:pPr>
              <w:numPr>
                <w:ilvl w:val="0"/>
                <w:numId w:val="2"/>
              </w:numP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投标人应对以上文件的合法性、真实性负责。</w:t>
            </w:r>
          </w:p>
          <w:p>
            <w:pPr>
              <w:rPr>
                <w:rFonts w:hint="eastAsia" w:ascii="宋体" w:hAnsi="宋体" w:eastAsia="宋体" w:cs="宋体"/>
                <w:color w:val="auto"/>
                <w:sz w:val="24"/>
                <w:highlight w:val="none"/>
              </w:rPr>
            </w:pPr>
            <w:r>
              <w:rPr>
                <w:rFonts w:hint="eastAsia" w:ascii="宋体" w:hAnsi="宋体" w:eastAsia="宋体" w:cs="宋体"/>
                <w:b/>
                <w:color w:val="auto"/>
                <w:sz w:val="24"/>
                <w:highlight w:val="none"/>
              </w:rPr>
              <w:t>2、签订合同前，中标人必须向采购人提交其投标文件中所有复印件的原件，采购人核查无误后，签订合同。如中标人不能在采购人规定的时间内向采购人提供原件，将被采购人认定为具有《中华人民共和国政府采购法》第七十七条所规定的“提供虚假材料谋取中标、成交的”情形，并承担相应的法律责任。特别要求的除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2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13.2</w:t>
            </w:r>
          </w:p>
        </w:tc>
        <w:tc>
          <w:tcPr>
            <w:tcW w:w="7154" w:type="dxa"/>
            <w:tcBorders>
              <w:top w:val="single" w:color="auto" w:sz="4" w:space="0"/>
              <w:left w:val="single" w:color="auto" w:sz="4" w:space="0"/>
              <w:bottom w:val="single" w:color="auto" w:sz="4" w:space="0"/>
              <w:right w:val="single" w:color="auto" w:sz="4" w:space="0"/>
            </w:tcBorders>
            <w:vAlign w:val="top"/>
          </w:tcPr>
          <w:p>
            <w:pPr>
              <w:widowControl/>
              <w:adjustRightInd w:val="0"/>
              <w:snapToGrid w:val="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商务条件见：</w:t>
            </w:r>
          </w:p>
          <w:p>
            <w:pPr>
              <w:widowControl/>
              <w:adjustRightInd w:val="0"/>
              <w:snapToGrid w:val="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1.招标文件第四章《评标标准》中《评分细则》</w:t>
            </w:r>
          </w:p>
          <w:p>
            <w:pPr>
              <w:rPr>
                <w:rFonts w:hint="eastAsia" w:ascii="宋体" w:hAnsi="宋体" w:eastAsia="宋体" w:cs="宋体"/>
                <w:bCs/>
                <w:color w:val="auto"/>
                <w:sz w:val="24"/>
                <w:highlight w:val="none"/>
              </w:rPr>
            </w:pPr>
            <w:r>
              <w:rPr>
                <w:rFonts w:hint="eastAsia" w:ascii="宋体" w:hAnsi="宋体" w:eastAsia="宋体" w:cs="宋体"/>
                <w:color w:val="auto"/>
                <w:kern w:val="0"/>
                <w:sz w:val="24"/>
                <w:highlight w:val="none"/>
              </w:rPr>
              <w:t>2.招标文件第三章《投标资料表》中12.1和12.2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2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13.3</w:t>
            </w:r>
          </w:p>
        </w:tc>
        <w:tc>
          <w:tcPr>
            <w:tcW w:w="7154" w:type="dxa"/>
            <w:tcBorders>
              <w:top w:val="single" w:color="auto" w:sz="4" w:space="0"/>
              <w:left w:val="single" w:color="auto" w:sz="4" w:space="0"/>
              <w:bottom w:val="single" w:color="auto" w:sz="4" w:space="0"/>
              <w:right w:val="single" w:color="auto" w:sz="4" w:space="0"/>
            </w:tcBorders>
            <w:vAlign w:val="top"/>
          </w:tcPr>
          <w:p>
            <w:pPr>
              <w:widowControl/>
              <w:adjustRightInd w:val="0"/>
              <w:snapToGrid w:val="0"/>
              <w:rPr>
                <w:rFonts w:hint="eastAsia" w:ascii="宋体" w:hAnsi="宋体" w:eastAsia="宋体" w:cs="宋体"/>
                <w:bCs/>
                <w:color w:val="auto"/>
                <w:sz w:val="24"/>
                <w:highlight w:val="none"/>
              </w:rPr>
            </w:pPr>
            <w:r>
              <w:rPr>
                <w:rFonts w:hint="eastAsia" w:ascii="宋体" w:hAnsi="宋体" w:eastAsia="宋体" w:cs="宋体"/>
                <w:color w:val="auto"/>
                <w:kern w:val="0"/>
                <w:sz w:val="24"/>
                <w:highlight w:val="none"/>
              </w:rPr>
              <w:t>交货和提供服务的时间见：招标文件第五章 《拟签订的合同文本》及或招标文件第六章《采购需求》。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2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14.3</w:t>
            </w:r>
          </w:p>
        </w:tc>
        <w:tc>
          <w:tcPr>
            <w:tcW w:w="7154" w:type="dxa"/>
            <w:tcBorders>
              <w:top w:val="single" w:color="auto" w:sz="4" w:space="0"/>
              <w:left w:val="single" w:color="auto" w:sz="4" w:space="0"/>
              <w:bottom w:val="single" w:color="auto" w:sz="4" w:space="0"/>
              <w:right w:val="single" w:color="auto" w:sz="4" w:space="0"/>
            </w:tcBorders>
            <w:vAlign w:val="top"/>
          </w:tcPr>
          <w:p>
            <w:pPr>
              <w:widowControl/>
              <w:adjustRightInd w:val="0"/>
              <w:snapToGrid w:val="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一标段不接受超过</w:t>
            </w:r>
            <w:r>
              <w:rPr>
                <w:rFonts w:hint="eastAsia" w:ascii="宋体" w:hAnsi="宋体" w:cs="宋体"/>
                <w:b w:val="0"/>
                <w:bCs w:val="0"/>
                <w:color w:val="auto"/>
                <w:sz w:val="24"/>
                <w:highlight w:val="none"/>
                <w:lang w:val="en-US" w:eastAsia="zh-CN"/>
              </w:rPr>
              <w:t>258</w:t>
            </w:r>
            <w:r>
              <w:rPr>
                <w:rFonts w:hint="eastAsia" w:ascii="宋体" w:hAnsi="宋体" w:eastAsia="宋体" w:cs="宋体"/>
                <w:b w:val="0"/>
                <w:bCs w:val="0"/>
                <w:color w:val="auto"/>
                <w:sz w:val="24"/>
                <w:highlight w:val="none"/>
              </w:rPr>
              <w:t>万元人民币（采购项目预算金额）的投标报价。报价包括产品价、税金、运费、安装调试、检验、保险等全部费用。用户不再支付报价以外的任何费用；</w:t>
            </w:r>
          </w:p>
          <w:p>
            <w:pPr>
              <w:widowControl/>
              <w:adjustRightInd w:val="0"/>
              <w:snapToGrid w:val="0"/>
              <w:rPr>
                <w:rFonts w:hint="eastAsia" w:ascii="宋体" w:hAnsi="宋体" w:eastAsia="宋体" w:cs="宋体"/>
                <w:bCs/>
                <w:color w:val="auto"/>
                <w:sz w:val="24"/>
                <w:highlight w:val="none"/>
                <w:u w:val="single"/>
                <w:lang w:val="en-US" w:eastAsia="zh-CN"/>
              </w:rPr>
            </w:pPr>
            <w:r>
              <w:rPr>
                <w:rFonts w:hint="eastAsia" w:ascii="宋体" w:hAnsi="宋体" w:eastAsia="宋体" w:cs="宋体"/>
                <w:b w:val="0"/>
                <w:bCs w:val="0"/>
                <w:color w:val="auto"/>
                <w:sz w:val="24"/>
                <w:highlight w:val="none"/>
              </w:rPr>
              <w:t>二标段不接受超过</w:t>
            </w:r>
            <w:r>
              <w:rPr>
                <w:rFonts w:hint="eastAsia" w:ascii="宋体" w:hAnsi="宋体" w:cs="宋体"/>
                <w:b w:val="0"/>
                <w:bCs w:val="0"/>
                <w:color w:val="auto"/>
                <w:sz w:val="24"/>
                <w:highlight w:val="none"/>
                <w:lang w:val="en-US" w:eastAsia="zh-CN"/>
              </w:rPr>
              <w:t>372</w:t>
            </w:r>
            <w:r>
              <w:rPr>
                <w:rFonts w:hint="eastAsia" w:ascii="宋体" w:hAnsi="宋体" w:eastAsia="宋体" w:cs="宋体"/>
                <w:b w:val="0"/>
                <w:bCs w:val="0"/>
                <w:color w:val="auto"/>
                <w:sz w:val="24"/>
                <w:highlight w:val="none"/>
              </w:rPr>
              <w:t>万元人民币（采购项目预算金额）的投标报价。报价包括产品价、税金、运费、安装调试、检验、保险等全部费用。用户不再支付报价以外的任何费用</w:t>
            </w:r>
            <w:r>
              <w:rPr>
                <w:rFonts w:hint="eastAsia" w:ascii="宋体" w:hAnsi="宋体" w:cs="宋体"/>
                <w:b w:val="0"/>
                <w:bCs w:val="0"/>
                <w:color w:val="auto"/>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2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15.1</w:t>
            </w:r>
          </w:p>
        </w:tc>
        <w:tc>
          <w:tcPr>
            <w:tcW w:w="7154"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以人民币报价。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2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16.1</w:t>
            </w:r>
          </w:p>
        </w:tc>
        <w:tc>
          <w:tcPr>
            <w:tcW w:w="7154"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投标人提交投标保证金：本项目不需要缴纳投标保证金。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25" w:type="dxa"/>
            <w:tcBorders>
              <w:top w:val="single" w:color="auto" w:sz="4" w:space="0"/>
              <w:left w:val="single" w:color="auto" w:sz="4" w:space="0"/>
              <w:bottom w:val="single" w:color="auto" w:sz="4" w:space="0"/>
              <w:right w:val="single" w:color="auto" w:sz="4" w:space="0"/>
            </w:tcBorders>
            <w:vAlign w:val="top"/>
          </w:tcPr>
          <w:p>
            <w:pPr>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18</w:t>
            </w:r>
            <w:r>
              <w:rPr>
                <w:rFonts w:hint="eastAsia" w:ascii="宋体" w:hAnsi="宋体" w:cs="宋体"/>
                <w:color w:val="auto"/>
                <w:sz w:val="24"/>
                <w:highlight w:val="none"/>
                <w:lang w:val="en-US" w:eastAsia="zh-CN"/>
              </w:rPr>
              <w:t>.1</w:t>
            </w:r>
          </w:p>
        </w:tc>
        <w:tc>
          <w:tcPr>
            <w:tcW w:w="7154"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投标人应制作纸质投标文件</w:t>
            </w:r>
            <w:r>
              <w:rPr>
                <w:rFonts w:hint="eastAsia" w:ascii="宋体" w:hAnsi="宋体" w:eastAsia="宋体" w:cs="宋体"/>
                <w:b/>
                <w:bCs/>
                <w:color w:val="auto"/>
                <w:sz w:val="24"/>
                <w:highlight w:val="none"/>
                <w:lang w:eastAsia="zh-CN"/>
              </w:rPr>
              <w:t>伍</w:t>
            </w:r>
            <w:r>
              <w:rPr>
                <w:rFonts w:hint="eastAsia" w:ascii="宋体" w:hAnsi="宋体" w:eastAsia="宋体" w:cs="宋体"/>
                <w:b/>
                <w:bCs/>
                <w:color w:val="auto"/>
                <w:sz w:val="24"/>
                <w:highlight w:val="none"/>
              </w:rPr>
              <w:t>份（正本1份，副本4份）。电子投标文件应由其法定代表人或法定代表人授权代表在规定的网上投标时间内，凭 CA 证书登陆徐州市公共资源交易平台在线编制投标文件（电子数据），并在投标截止时间之前上传投标文件。并于开标现场携带CA锁当场进行解密。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25" w:type="dxa"/>
            <w:tcBorders>
              <w:top w:val="single" w:color="auto" w:sz="4" w:space="0"/>
              <w:left w:val="single" w:color="auto" w:sz="4" w:space="0"/>
              <w:bottom w:val="single" w:color="auto" w:sz="4" w:space="0"/>
              <w:right w:val="single" w:color="auto" w:sz="4" w:space="0"/>
            </w:tcBorders>
            <w:vAlign w:val="top"/>
          </w:tcPr>
          <w:p>
            <w:pPr>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18</w:t>
            </w:r>
            <w:r>
              <w:rPr>
                <w:rFonts w:hint="eastAsia" w:ascii="宋体" w:hAnsi="宋体" w:cs="宋体"/>
                <w:color w:val="auto"/>
                <w:sz w:val="24"/>
                <w:highlight w:val="none"/>
                <w:lang w:val="en-US" w:eastAsia="zh-CN"/>
              </w:rPr>
              <w:t>.2</w:t>
            </w:r>
          </w:p>
        </w:tc>
        <w:tc>
          <w:tcPr>
            <w:tcW w:w="7154"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投标文件的密封、签署、盖章要求：</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一、投标文件的密封要求：投标文件正、副本密封</w:t>
            </w:r>
            <w:r>
              <w:rPr>
                <w:rFonts w:hint="eastAsia" w:ascii="宋体" w:hAnsi="宋体" w:cs="宋体"/>
                <w:color w:val="auto"/>
                <w:sz w:val="24"/>
                <w:highlight w:val="none"/>
                <w:lang w:val="en-US" w:eastAsia="zh-CN"/>
              </w:rPr>
              <w:t>装在袋子里（可分开密封）</w:t>
            </w:r>
            <w:r>
              <w:rPr>
                <w:rFonts w:hint="eastAsia" w:ascii="宋体" w:hAnsi="宋体" w:eastAsia="宋体" w:cs="宋体"/>
                <w:color w:val="auto"/>
                <w:sz w:val="24"/>
                <w:highlight w:val="none"/>
              </w:rPr>
              <w:t>，标明投标人名称、项目编号</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标段号</w:t>
            </w:r>
            <w:r>
              <w:rPr>
                <w:rFonts w:hint="eastAsia" w:ascii="宋体" w:hAnsi="宋体" w:eastAsia="宋体" w:cs="宋体"/>
                <w:color w:val="auto"/>
                <w:sz w:val="24"/>
                <w:highlight w:val="none"/>
              </w:rPr>
              <w:t>以及“</w:t>
            </w:r>
            <w:r>
              <w:rPr>
                <w:rFonts w:hint="eastAsia" w:ascii="宋体" w:hAnsi="宋体" w:cs="宋体"/>
                <w:color w:val="auto"/>
                <w:sz w:val="24"/>
                <w:highlight w:val="none"/>
                <w:lang w:eastAsia="zh-CN"/>
              </w:rPr>
              <w:t>于</w:t>
            </w:r>
            <w:r>
              <w:rPr>
                <w:rFonts w:hint="eastAsia" w:ascii="宋体" w:hAnsi="宋体" w:cs="宋体"/>
                <w:color w:val="auto"/>
                <w:sz w:val="24"/>
                <w:highlight w:val="none"/>
                <w:u w:val="single"/>
                <w:lang w:val="en-US" w:eastAsia="zh-CN"/>
              </w:rPr>
              <w:t>2021年10月19日</w:t>
            </w:r>
            <w:r>
              <w:rPr>
                <w:rFonts w:hint="eastAsia" w:ascii="宋体" w:hAnsi="宋体" w:eastAsia="宋体" w:cs="宋体"/>
                <w:color w:val="auto"/>
                <w:sz w:val="24"/>
                <w:highlight w:val="none"/>
                <w:u w:val="single"/>
                <w:lang w:val="en-US" w:eastAsia="zh-CN"/>
              </w:rPr>
              <w:t>北京时间 </w:t>
            </w:r>
            <w:r>
              <w:rPr>
                <w:rFonts w:hint="eastAsia" w:ascii="宋体" w:hAnsi="宋体" w:cs="宋体"/>
                <w:color w:val="auto"/>
                <w:sz w:val="24"/>
                <w:highlight w:val="none"/>
                <w:u w:val="single"/>
                <w:lang w:val="en-US" w:eastAsia="zh-CN"/>
              </w:rPr>
              <w:t>10:00</w:t>
            </w:r>
            <w:r>
              <w:rPr>
                <w:rFonts w:hint="eastAsia" w:ascii="宋体" w:hAnsi="宋体" w:eastAsia="宋体" w:cs="宋体"/>
                <w:color w:val="auto"/>
                <w:sz w:val="24"/>
                <w:highlight w:val="none"/>
              </w:rPr>
              <w:t>前不得开启”字样，按照招标文件规定的时间，送达开标地点。</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说明：</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1、开标时，由投标人或者其推选的代表检查投标文件的密封情况；经确认无误后，由采购代理机构工作人员当众拆封。</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2投标文件拆封前，未按照招标文件要求密封的投标文件，采购代理机构退回拒收。</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二、投标文件的签署要求：见招标文件第七章《投标文件相关格式》。</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三、投标文件的盖章要求：见招标文件第三章《投标资料表》和招标文件第七章《投标文件相关格式》。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2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color w:val="auto"/>
                <w:sz w:val="24"/>
                <w:highlight w:val="none"/>
              </w:rPr>
            </w:pPr>
          </w:p>
        </w:tc>
        <w:tc>
          <w:tcPr>
            <w:tcW w:w="7154"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见招标文件第三章《投标资料表》中12.1和12.2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82" w:hRule="atLeast"/>
        </w:trPr>
        <w:tc>
          <w:tcPr>
            <w:tcW w:w="142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20.1</w:t>
            </w:r>
          </w:p>
        </w:tc>
        <w:tc>
          <w:tcPr>
            <w:tcW w:w="7154"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投标截止时间：</w:t>
            </w:r>
          </w:p>
          <w:p>
            <w:pPr>
              <w:rPr>
                <w:rFonts w:hint="eastAsia" w:ascii="宋体" w:hAnsi="宋体" w:eastAsia="宋体" w:cs="宋体"/>
                <w:b/>
                <w:bCs/>
                <w:color w:val="auto"/>
                <w:sz w:val="24"/>
                <w:szCs w:val="20"/>
                <w:highlight w:val="none"/>
                <w:lang w:val="en-US"/>
              </w:rPr>
            </w:pPr>
            <w:r>
              <w:rPr>
                <w:rFonts w:hint="eastAsia" w:ascii="宋体" w:hAnsi="宋体" w:eastAsia="宋体" w:cs="宋体"/>
                <w:b/>
                <w:bCs/>
                <w:color w:val="auto"/>
                <w:sz w:val="24"/>
                <w:highlight w:val="none"/>
              </w:rPr>
              <w:t>投标文件开始接收时间：</w:t>
            </w:r>
            <w:r>
              <w:rPr>
                <w:rFonts w:hint="eastAsia" w:ascii="宋体" w:hAnsi="宋体" w:cs="宋体"/>
                <w:b/>
                <w:bCs/>
                <w:color w:val="auto"/>
                <w:sz w:val="24"/>
                <w:highlight w:val="none"/>
                <w:lang w:eastAsia="zh-CN"/>
              </w:rPr>
              <w:t>2021年10月19日</w:t>
            </w:r>
            <w:r>
              <w:rPr>
                <w:rFonts w:hint="eastAsia" w:ascii="宋体" w:hAnsi="宋体" w:eastAsia="宋体" w:cs="宋体"/>
                <w:b/>
                <w:bCs/>
                <w:color w:val="auto"/>
                <w:sz w:val="24"/>
                <w:highlight w:val="none"/>
                <w:lang w:eastAsia="zh-CN"/>
              </w:rPr>
              <w:t>北京时间</w:t>
            </w:r>
            <w:r>
              <w:rPr>
                <w:rFonts w:hint="eastAsia" w:ascii="宋体" w:hAnsi="宋体" w:cs="宋体"/>
                <w:b/>
                <w:bCs/>
                <w:color w:val="auto"/>
                <w:sz w:val="24"/>
                <w:highlight w:val="none"/>
                <w:lang w:eastAsia="zh-CN"/>
              </w:rPr>
              <w:t>9:30</w:t>
            </w:r>
          </w:p>
          <w:p>
            <w:pPr>
              <w:rPr>
                <w:rFonts w:hint="eastAsia" w:ascii="宋体" w:hAnsi="宋体" w:eastAsia="宋体" w:cs="宋体"/>
                <w:b/>
                <w:bCs/>
                <w:color w:val="auto"/>
                <w:sz w:val="24"/>
                <w:szCs w:val="20"/>
                <w:highlight w:val="none"/>
                <w:lang w:val="en-US" w:eastAsia="zh-CN"/>
              </w:rPr>
            </w:pPr>
            <w:r>
              <w:rPr>
                <w:rFonts w:hint="eastAsia" w:ascii="宋体" w:hAnsi="宋体" w:eastAsia="宋体" w:cs="宋体"/>
                <w:b/>
                <w:bCs/>
                <w:color w:val="auto"/>
                <w:sz w:val="24"/>
                <w:highlight w:val="none"/>
              </w:rPr>
              <w:t>投标文件接收截止时间：</w:t>
            </w:r>
            <w:r>
              <w:rPr>
                <w:rFonts w:hint="eastAsia" w:ascii="宋体" w:hAnsi="宋体" w:cs="宋体"/>
                <w:b/>
                <w:bCs/>
                <w:color w:val="auto"/>
                <w:sz w:val="24"/>
                <w:highlight w:val="none"/>
                <w:lang w:eastAsia="zh-CN"/>
              </w:rPr>
              <w:t>2021年10月19日</w:t>
            </w:r>
            <w:r>
              <w:rPr>
                <w:rFonts w:hint="eastAsia" w:ascii="宋体" w:hAnsi="宋体" w:eastAsia="宋体" w:cs="宋体"/>
                <w:b/>
                <w:bCs/>
                <w:color w:val="auto"/>
                <w:sz w:val="24"/>
                <w:highlight w:val="none"/>
                <w:lang w:eastAsia="zh-CN"/>
              </w:rPr>
              <w:t>北京时间</w:t>
            </w:r>
            <w:r>
              <w:rPr>
                <w:rFonts w:hint="eastAsia" w:ascii="宋体" w:hAnsi="宋体" w:cs="宋体"/>
                <w:b/>
                <w:bCs/>
                <w:color w:val="auto"/>
                <w:sz w:val="24"/>
                <w:highlight w:val="none"/>
                <w:lang w:eastAsia="zh-CN"/>
              </w:rPr>
              <w:t>10:00</w:t>
            </w:r>
          </w:p>
          <w:p>
            <w:pPr>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投标文件的接收地点：</w:t>
            </w:r>
            <w:r>
              <w:rPr>
                <w:rFonts w:hint="eastAsia" w:ascii="宋体" w:hAnsi="宋体" w:cs="宋体"/>
                <w:color w:val="auto"/>
                <w:sz w:val="24"/>
                <w:highlight w:val="none"/>
              </w:rPr>
              <w:t>徐州市</w:t>
            </w:r>
            <w:r>
              <w:rPr>
                <w:rFonts w:hint="eastAsia" w:ascii="宋体" w:hAnsi="宋体" w:cs="宋体"/>
                <w:color w:val="auto"/>
                <w:sz w:val="24"/>
                <w:highlight w:val="none"/>
                <w:lang w:eastAsia="zh-CN"/>
              </w:rPr>
              <w:t>新城区</w:t>
            </w:r>
            <w:r>
              <w:rPr>
                <w:rFonts w:hint="eastAsia" w:ascii="宋体" w:hAnsi="宋体" w:cs="宋体"/>
                <w:color w:val="auto"/>
                <w:sz w:val="24"/>
                <w:highlight w:val="none"/>
              </w:rPr>
              <w:t>新安路5号（市规划馆南侧），徐州市公共资源交易中心</w:t>
            </w:r>
            <w:r>
              <w:rPr>
                <w:rFonts w:hint="eastAsia" w:ascii="宋体" w:hAnsi="宋体" w:cs="宋体"/>
                <w:color w:val="auto"/>
                <w:sz w:val="24"/>
                <w:highlight w:val="none"/>
                <w:lang w:eastAsia="zh-CN"/>
              </w:rPr>
              <w:t>三</w:t>
            </w:r>
            <w:r>
              <w:rPr>
                <w:rFonts w:hint="eastAsia" w:ascii="宋体" w:hAnsi="宋体" w:eastAsia="宋体" w:cs="宋体"/>
                <w:b/>
                <w:bCs/>
                <w:color w:val="auto"/>
                <w:sz w:val="24"/>
                <w:highlight w:val="none"/>
              </w:rPr>
              <w:t>楼</w:t>
            </w:r>
            <w:r>
              <w:rPr>
                <w:rFonts w:hint="eastAsia" w:ascii="宋体" w:hAnsi="宋体" w:cs="宋体"/>
                <w:b/>
                <w:bCs/>
                <w:color w:val="auto"/>
                <w:sz w:val="24"/>
                <w:highlight w:val="none"/>
                <w:lang w:eastAsia="zh-CN"/>
              </w:rPr>
              <w:t>（340房间）第六开标室</w:t>
            </w:r>
            <w:r>
              <w:rPr>
                <w:rFonts w:hint="eastAsia" w:ascii="宋体" w:hAnsi="宋体" w:eastAsia="宋体" w:cs="宋体"/>
                <w:b/>
                <w:bCs/>
                <w:color w:val="auto"/>
                <w:sz w:val="24"/>
                <w:highlight w:val="none"/>
              </w:rPr>
              <w:t>。</w:t>
            </w:r>
          </w:p>
          <w:p>
            <w:pPr>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投标文件接收人：</w:t>
            </w:r>
            <w:r>
              <w:rPr>
                <w:rFonts w:hint="eastAsia" w:ascii="宋体" w:hAnsi="宋体" w:cs="宋体"/>
                <w:b/>
                <w:bCs/>
                <w:color w:val="auto"/>
                <w:sz w:val="24"/>
                <w:highlight w:val="none"/>
                <w:lang w:eastAsia="zh-CN"/>
              </w:rPr>
              <w:t>刘自成</w:t>
            </w:r>
            <w:r>
              <w:rPr>
                <w:rFonts w:hint="eastAsia" w:ascii="宋体" w:hAnsi="宋体" w:eastAsia="宋体" w:cs="宋体"/>
                <w:b/>
                <w:bCs/>
                <w:color w:val="auto"/>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2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color w:val="auto"/>
                <w:sz w:val="24"/>
                <w:highlight w:val="none"/>
              </w:rPr>
            </w:pPr>
          </w:p>
        </w:tc>
        <w:tc>
          <w:tcPr>
            <w:tcW w:w="715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四、开标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2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26.1</w:t>
            </w:r>
          </w:p>
        </w:tc>
        <w:tc>
          <w:tcPr>
            <w:tcW w:w="7154"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宋体"/>
                <w:b/>
                <w:color w:val="auto"/>
                <w:sz w:val="24"/>
                <w:szCs w:val="20"/>
                <w:highlight w:val="none"/>
                <w:lang w:val="en-US" w:eastAsia="zh-CN"/>
              </w:rPr>
            </w:pPr>
            <w:r>
              <w:rPr>
                <w:rFonts w:hint="eastAsia" w:ascii="宋体" w:hAnsi="宋体" w:eastAsia="宋体" w:cs="宋体"/>
                <w:b/>
                <w:color w:val="auto"/>
                <w:sz w:val="24"/>
                <w:szCs w:val="20"/>
                <w:highlight w:val="none"/>
              </w:rPr>
              <w:t>开标时间：</w:t>
            </w:r>
            <w:r>
              <w:rPr>
                <w:rFonts w:hint="eastAsia" w:ascii="宋体" w:hAnsi="宋体" w:cs="宋体"/>
                <w:b/>
                <w:color w:val="auto"/>
                <w:sz w:val="24"/>
                <w:highlight w:val="none"/>
                <w:lang w:eastAsia="zh-CN"/>
              </w:rPr>
              <w:t>2021年10月19日</w:t>
            </w:r>
            <w:r>
              <w:rPr>
                <w:rFonts w:hint="eastAsia" w:ascii="宋体" w:hAnsi="宋体" w:eastAsia="宋体" w:cs="宋体"/>
                <w:b/>
                <w:color w:val="auto"/>
                <w:sz w:val="24"/>
                <w:highlight w:val="none"/>
                <w:lang w:eastAsia="zh-CN"/>
              </w:rPr>
              <w:t>北京时间</w:t>
            </w:r>
            <w:r>
              <w:rPr>
                <w:rFonts w:hint="eastAsia" w:ascii="宋体" w:hAnsi="宋体" w:cs="宋体"/>
                <w:b/>
                <w:color w:val="auto"/>
                <w:sz w:val="24"/>
                <w:highlight w:val="none"/>
                <w:lang w:eastAsia="zh-CN"/>
              </w:rPr>
              <w:t>10:00</w:t>
            </w:r>
            <w:r>
              <w:rPr>
                <w:rFonts w:hint="eastAsia" w:ascii="宋体" w:hAnsi="宋体" w:eastAsia="宋体" w:cs="宋体"/>
                <w:b/>
                <w:color w:val="auto"/>
                <w:sz w:val="24"/>
                <w:szCs w:val="20"/>
                <w:highlight w:val="none"/>
                <w:u w:val="single"/>
                <w:lang w:val="en-US" w:eastAsia="zh-CN"/>
              </w:rPr>
              <w:t xml:space="preserve"> </w:t>
            </w:r>
          </w:p>
          <w:p>
            <w:pPr>
              <w:jc w:val="left"/>
              <w:rPr>
                <w:rFonts w:hint="eastAsia" w:ascii="宋体" w:hAnsi="宋体" w:eastAsia="宋体" w:cs="宋体"/>
                <w:color w:val="auto"/>
                <w:sz w:val="24"/>
                <w:highlight w:val="none"/>
              </w:rPr>
            </w:pPr>
            <w:r>
              <w:rPr>
                <w:rFonts w:hint="eastAsia" w:ascii="宋体" w:hAnsi="宋体" w:eastAsia="宋体" w:cs="宋体"/>
                <w:b/>
                <w:color w:val="auto"/>
                <w:sz w:val="24"/>
                <w:highlight w:val="none"/>
              </w:rPr>
              <w:t>开标地点：</w:t>
            </w:r>
            <w:r>
              <w:rPr>
                <w:rFonts w:hint="eastAsia" w:ascii="宋体" w:hAnsi="宋体" w:cs="宋体"/>
                <w:color w:val="auto"/>
                <w:sz w:val="24"/>
                <w:highlight w:val="none"/>
              </w:rPr>
              <w:t>徐州市</w:t>
            </w:r>
            <w:r>
              <w:rPr>
                <w:rFonts w:hint="eastAsia" w:ascii="宋体" w:hAnsi="宋体" w:cs="宋体"/>
                <w:color w:val="auto"/>
                <w:sz w:val="24"/>
                <w:highlight w:val="none"/>
                <w:lang w:eastAsia="zh-CN"/>
              </w:rPr>
              <w:t>新城区</w:t>
            </w:r>
            <w:r>
              <w:rPr>
                <w:rFonts w:hint="eastAsia" w:ascii="宋体" w:hAnsi="宋体" w:cs="宋体"/>
                <w:color w:val="auto"/>
                <w:sz w:val="24"/>
                <w:highlight w:val="none"/>
              </w:rPr>
              <w:t>新安路5号（市规划馆南侧），徐州市公共资源交易中心</w:t>
            </w:r>
            <w:r>
              <w:rPr>
                <w:rFonts w:hint="eastAsia" w:ascii="宋体" w:hAnsi="宋体" w:cs="宋体"/>
                <w:color w:val="auto"/>
                <w:sz w:val="24"/>
                <w:highlight w:val="none"/>
                <w:lang w:eastAsia="zh-CN"/>
              </w:rPr>
              <w:t>三</w:t>
            </w:r>
            <w:r>
              <w:rPr>
                <w:rFonts w:hint="eastAsia" w:ascii="宋体" w:hAnsi="宋体" w:eastAsia="宋体" w:cs="宋体"/>
                <w:b/>
                <w:bCs/>
                <w:color w:val="auto"/>
                <w:sz w:val="24"/>
                <w:highlight w:val="none"/>
              </w:rPr>
              <w:t>楼</w:t>
            </w:r>
            <w:r>
              <w:rPr>
                <w:rFonts w:hint="eastAsia" w:ascii="宋体" w:hAnsi="宋体" w:cs="宋体"/>
                <w:b/>
                <w:bCs/>
                <w:color w:val="auto"/>
                <w:sz w:val="24"/>
                <w:highlight w:val="none"/>
                <w:lang w:eastAsia="zh-CN"/>
              </w:rPr>
              <w:t>（340房间）第六开标室</w:t>
            </w:r>
            <w:r>
              <w:rPr>
                <w:rFonts w:hint="eastAsia" w:ascii="宋体" w:hAnsi="宋体" w:eastAsia="宋体" w:cs="宋体"/>
                <w:b/>
                <w:bCs/>
                <w:color w:val="auto"/>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2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26.3</w:t>
            </w:r>
          </w:p>
        </w:tc>
        <w:tc>
          <w:tcPr>
            <w:tcW w:w="7154"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宣读投标人名称、投标价格。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2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color w:val="auto"/>
                <w:sz w:val="24"/>
                <w:highlight w:val="none"/>
              </w:rPr>
            </w:pPr>
          </w:p>
        </w:tc>
        <w:tc>
          <w:tcPr>
            <w:tcW w:w="715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五、评标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2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28.</w:t>
            </w:r>
          </w:p>
        </w:tc>
        <w:tc>
          <w:tcPr>
            <w:tcW w:w="7154"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采用综合评分法评分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2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29.1</w:t>
            </w:r>
          </w:p>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（四）</w:t>
            </w:r>
          </w:p>
        </w:tc>
        <w:tc>
          <w:tcPr>
            <w:tcW w:w="7154"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推荐中标候选</w:t>
            </w:r>
            <w:r>
              <w:rPr>
                <w:rFonts w:hint="eastAsia" w:ascii="宋体" w:hAnsi="宋体" w:cs="宋体"/>
                <w:color w:val="auto"/>
                <w:kern w:val="0"/>
                <w:sz w:val="24"/>
                <w:highlight w:val="none"/>
                <w:lang w:eastAsia="zh-CN"/>
              </w:rPr>
              <w:t>投标人</w:t>
            </w:r>
            <w:r>
              <w:rPr>
                <w:rFonts w:hint="eastAsia" w:ascii="宋体" w:hAnsi="宋体" w:eastAsia="宋体" w:cs="宋体"/>
                <w:color w:val="auto"/>
                <w:kern w:val="0"/>
                <w:sz w:val="24"/>
                <w:highlight w:val="none"/>
              </w:rPr>
              <w:t>名单。中标候选</w:t>
            </w:r>
            <w:r>
              <w:rPr>
                <w:rFonts w:hint="eastAsia" w:ascii="宋体" w:hAnsi="宋体" w:cs="宋体"/>
                <w:color w:val="auto"/>
                <w:kern w:val="0"/>
                <w:sz w:val="24"/>
                <w:highlight w:val="none"/>
                <w:lang w:eastAsia="zh-CN"/>
              </w:rPr>
              <w:t>投标人</w:t>
            </w:r>
            <w:r>
              <w:rPr>
                <w:rFonts w:hint="eastAsia" w:ascii="宋体" w:hAnsi="宋体" w:eastAsia="宋体" w:cs="宋体"/>
                <w:color w:val="auto"/>
                <w:kern w:val="0"/>
                <w:sz w:val="24"/>
                <w:highlight w:val="none"/>
              </w:rPr>
              <w:t>数量应当根据采购需要确定，但必须按顺序排列中标候选</w:t>
            </w:r>
            <w:r>
              <w:rPr>
                <w:rFonts w:hint="eastAsia" w:ascii="宋体" w:hAnsi="宋体" w:cs="宋体"/>
                <w:color w:val="auto"/>
                <w:kern w:val="0"/>
                <w:sz w:val="24"/>
                <w:highlight w:val="none"/>
                <w:lang w:eastAsia="zh-CN"/>
              </w:rPr>
              <w:t>投标人</w:t>
            </w:r>
            <w:r>
              <w:rPr>
                <w:rFonts w:hint="eastAsia" w:ascii="宋体" w:hAnsi="宋体" w:eastAsia="宋体" w:cs="宋体"/>
                <w:color w:val="auto"/>
                <w:kern w:val="0"/>
                <w:sz w:val="24"/>
                <w:highlight w:val="none"/>
              </w:rPr>
              <w:t>。</w:t>
            </w:r>
          </w:p>
          <w:p>
            <w:pPr>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采用综合评分法的，按评审后得分由高到低顺序排列。得分相同的，按投标报价由低到高顺序排列。得分且投标报价相同的</w:t>
            </w:r>
            <w:r>
              <w:rPr>
                <w:rFonts w:hint="eastAsia" w:ascii="宋体" w:hAnsi="宋体" w:eastAsia="宋体" w:cs="宋体"/>
                <w:b/>
                <w:color w:val="auto"/>
                <w:kern w:val="0"/>
                <w:sz w:val="24"/>
                <w:highlight w:val="none"/>
                <w:lang w:eastAsia="zh-CN"/>
              </w:rPr>
              <w:t>，</w:t>
            </w:r>
            <w:r>
              <w:rPr>
                <w:rFonts w:hint="eastAsia" w:ascii="宋体" w:hAnsi="宋体" w:eastAsia="宋体" w:cs="宋体"/>
                <w:b/>
                <w:color w:val="auto"/>
                <w:kern w:val="0"/>
                <w:sz w:val="24"/>
                <w:highlight w:val="none"/>
              </w:rPr>
              <w:t>按</w:t>
            </w:r>
            <w:r>
              <w:rPr>
                <w:rFonts w:hint="eastAsia" w:ascii="宋体" w:hAnsi="宋体" w:eastAsia="宋体" w:cs="宋体"/>
                <w:b/>
                <w:color w:val="auto"/>
                <w:kern w:val="0"/>
                <w:sz w:val="24"/>
                <w:highlight w:val="none"/>
                <w:lang w:eastAsia="zh-CN"/>
              </w:rPr>
              <w:t>售后服务方案</w:t>
            </w:r>
            <w:r>
              <w:rPr>
                <w:rFonts w:hint="eastAsia" w:ascii="宋体" w:hAnsi="宋体" w:eastAsia="宋体" w:cs="宋体"/>
                <w:b/>
                <w:color w:val="auto"/>
                <w:kern w:val="0"/>
                <w:sz w:val="24"/>
                <w:highlight w:val="none"/>
              </w:rPr>
              <w:t>优劣顺序排列。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2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color w:val="auto"/>
                <w:sz w:val="24"/>
                <w:highlight w:val="none"/>
              </w:rPr>
            </w:pPr>
          </w:p>
        </w:tc>
        <w:tc>
          <w:tcPr>
            <w:tcW w:w="715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七、政府采购合同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2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38.1</w:t>
            </w:r>
          </w:p>
        </w:tc>
        <w:tc>
          <w:tcPr>
            <w:tcW w:w="7154"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宋体"/>
                <w:color w:val="auto"/>
                <w:kern w:val="0"/>
                <w:sz w:val="24"/>
                <w:highlight w:val="none"/>
                <w:u w:val="single"/>
                <w:lang w:val="en-US" w:eastAsia="zh-CN"/>
              </w:rPr>
            </w:pPr>
            <w:r>
              <w:rPr>
                <w:rFonts w:hint="eastAsia" w:ascii="宋体" w:hAnsi="宋体" w:eastAsia="宋体" w:cs="宋体"/>
                <w:color w:val="auto"/>
                <w:kern w:val="0"/>
                <w:sz w:val="24"/>
                <w:highlight w:val="none"/>
              </w:rPr>
              <w:t>采购人与中标、成交</w:t>
            </w:r>
            <w:r>
              <w:rPr>
                <w:rFonts w:hint="eastAsia" w:ascii="宋体" w:hAnsi="宋体" w:cs="宋体"/>
                <w:color w:val="auto"/>
                <w:kern w:val="0"/>
                <w:sz w:val="24"/>
                <w:highlight w:val="none"/>
                <w:lang w:eastAsia="zh-CN"/>
              </w:rPr>
              <w:t>投标人</w:t>
            </w:r>
            <w:r>
              <w:rPr>
                <w:rFonts w:hint="eastAsia" w:ascii="宋体" w:hAnsi="宋体" w:eastAsia="宋体" w:cs="宋体"/>
                <w:color w:val="auto"/>
                <w:kern w:val="0"/>
                <w:sz w:val="24"/>
                <w:highlight w:val="none"/>
              </w:rPr>
              <w:t>应当在中标、成交通知书发出之日起</w:t>
            </w:r>
            <w:r>
              <w:rPr>
                <w:rFonts w:hint="eastAsia" w:ascii="宋体" w:hAnsi="宋体" w:eastAsia="宋体" w:cs="宋体"/>
                <w:color w:val="auto"/>
                <w:kern w:val="0"/>
                <w:sz w:val="24"/>
                <w:highlight w:val="none"/>
                <w:u w:val="single"/>
                <w:lang w:val="en-US" w:eastAsia="zh-CN"/>
              </w:rPr>
              <w:t>30</w:t>
            </w:r>
          </w:p>
          <w:p>
            <w:pPr>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日内，按照采购文件确定的事项签订政府采购合同。</w:t>
            </w:r>
          </w:p>
          <w:p>
            <w:pP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特别说明：</w:t>
            </w:r>
          </w:p>
          <w:p>
            <w:pPr>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按照《政府采购法》及其实施条例以及相关规定，中标或者成交后无正当理由拒不与采购人签订政府采购合同的, 在一至三年内禁止参加政府采购活动，列入政府采购严重违法失信行为记录名单。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2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40.</w:t>
            </w:r>
          </w:p>
        </w:tc>
        <w:tc>
          <w:tcPr>
            <w:tcW w:w="7154"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宋体"/>
                <w:color w:val="auto"/>
                <w:kern w:val="0"/>
                <w:sz w:val="24"/>
                <w:highlight w:val="none"/>
              </w:rPr>
            </w:pPr>
            <w:r>
              <w:rPr>
                <w:rFonts w:hint="eastAsia" w:ascii="宋体" w:hAnsi="宋体" w:eastAsia="宋体" w:cs="宋体"/>
                <w:b w:val="0"/>
                <w:bCs w:val="0"/>
                <w:color w:val="auto"/>
                <w:kern w:val="0"/>
                <w:sz w:val="24"/>
                <w:highlight w:val="none"/>
              </w:rPr>
              <w:t>履约保证金：</w:t>
            </w:r>
            <w:r>
              <w:rPr>
                <w:rFonts w:hint="eastAsia" w:ascii="宋体" w:hAnsi="宋体" w:eastAsia="宋体" w:cs="宋体"/>
                <w:b w:val="0"/>
                <w:bCs w:val="0"/>
                <w:color w:val="auto"/>
                <w:kern w:val="0"/>
                <w:sz w:val="24"/>
                <w:highlight w:val="none"/>
                <w:lang w:eastAsia="zh-CN"/>
              </w:rPr>
              <w:t>无</w:t>
            </w:r>
            <w:r>
              <w:rPr>
                <w:rFonts w:hint="eastAsia" w:ascii="宋体" w:hAnsi="宋体" w:eastAsia="宋体" w:cs="宋体"/>
                <w:b w:val="0"/>
                <w:bCs w:val="0"/>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2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color w:val="auto"/>
                <w:sz w:val="24"/>
                <w:highlight w:val="none"/>
              </w:rPr>
            </w:pPr>
          </w:p>
        </w:tc>
        <w:tc>
          <w:tcPr>
            <w:tcW w:w="715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八、询问和质疑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2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42.</w:t>
            </w:r>
          </w:p>
        </w:tc>
        <w:tc>
          <w:tcPr>
            <w:tcW w:w="7154"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宋体"/>
                <w:color w:val="auto"/>
                <w:sz w:val="24"/>
                <w:highlight w:val="none"/>
              </w:rPr>
            </w:pPr>
            <w:r>
              <w:rPr>
                <w:rFonts w:hint="eastAsia" w:ascii="宋体" w:hAnsi="宋体" w:cs="宋体"/>
                <w:color w:val="auto"/>
                <w:sz w:val="24"/>
                <w:highlight w:val="none"/>
                <w:lang w:eastAsia="zh-CN"/>
              </w:rPr>
              <w:t>投标人</w:t>
            </w:r>
            <w:r>
              <w:rPr>
                <w:rFonts w:hint="eastAsia" w:ascii="宋体" w:hAnsi="宋体" w:eastAsia="宋体" w:cs="宋体"/>
                <w:color w:val="auto"/>
                <w:sz w:val="24"/>
                <w:highlight w:val="none"/>
              </w:rPr>
              <w:t>对同一采购程序环节的质疑应在质疑期内一次性提出。</w:t>
            </w:r>
          </w:p>
          <w:p>
            <w:pP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质疑接收人：</w:t>
            </w:r>
            <w:r>
              <w:rPr>
                <w:rFonts w:hint="eastAsia" w:ascii="宋体" w:hAnsi="宋体" w:cs="宋体"/>
                <w:color w:val="auto"/>
                <w:sz w:val="24"/>
                <w:highlight w:val="none"/>
                <w:lang w:eastAsia="zh-CN"/>
              </w:rPr>
              <w:t>刘自成</w:t>
            </w:r>
            <w:r>
              <w:rPr>
                <w:rFonts w:hint="eastAsia" w:ascii="宋体" w:hAnsi="宋体" w:eastAsia="宋体" w:cs="宋体"/>
                <w:color w:val="auto"/>
                <w:sz w:val="24"/>
                <w:highlight w:val="none"/>
              </w:rPr>
              <w:t xml:space="preserve">     联系电话：</w:t>
            </w:r>
            <w:r>
              <w:rPr>
                <w:rFonts w:hint="eastAsia" w:ascii="宋体" w:hAnsi="宋体" w:cs="宋体"/>
                <w:color w:val="auto"/>
                <w:sz w:val="24"/>
                <w:highlight w:val="none"/>
                <w:lang w:eastAsia="zh-CN"/>
              </w:rPr>
              <w:t>0516-87666667</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地址：</w:t>
            </w:r>
            <w:r>
              <w:rPr>
                <w:rFonts w:hint="eastAsia" w:ascii="宋体" w:hAnsi="宋体" w:cs="宋体"/>
                <w:color w:val="auto"/>
                <w:sz w:val="24"/>
                <w:highlight w:val="none"/>
                <w:lang w:eastAsia="zh-CN"/>
              </w:rPr>
              <w:t>徐州市鼓楼区平山北路39号龟山民博文化园A区2号楼406室</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25"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宋体"/>
                <w:color w:val="auto"/>
                <w:sz w:val="24"/>
                <w:highlight w:val="none"/>
              </w:rPr>
            </w:pPr>
          </w:p>
        </w:tc>
        <w:tc>
          <w:tcPr>
            <w:tcW w:w="7154"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本项目</w:t>
            </w:r>
            <w:r>
              <w:rPr>
                <w:rFonts w:hint="eastAsia" w:ascii="宋体" w:hAnsi="宋体" w:cs="宋体"/>
                <w:b/>
                <w:bCs/>
                <w:color w:val="auto"/>
                <w:sz w:val="24"/>
                <w:highlight w:val="none"/>
                <w:lang w:val="en-US" w:eastAsia="zh-CN"/>
              </w:rPr>
              <w:t>不</w:t>
            </w:r>
            <w:r>
              <w:rPr>
                <w:rFonts w:hint="eastAsia" w:ascii="宋体" w:hAnsi="宋体" w:eastAsia="宋体" w:cs="宋体"/>
                <w:b/>
                <w:bCs/>
                <w:color w:val="auto"/>
                <w:sz w:val="24"/>
                <w:highlight w:val="none"/>
              </w:rPr>
              <w:t>属于专门面向中小微企业采购的项目。</w:t>
            </w:r>
          </w:p>
        </w:tc>
      </w:tr>
    </w:tbl>
    <w:p>
      <w:pPr>
        <w:rPr>
          <w:rFonts w:hint="eastAsia" w:ascii="宋体" w:hAnsi="宋体" w:eastAsia="宋体" w:cs="宋体"/>
          <w:color w:val="auto"/>
          <w:sz w:val="24"/>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附件</w:t>
      </w:r>
    </w:p>
    <w:p>
      <w:pPr>
        <w:spacing w:line="400" w:lineRule="exact"/>
        <w:ind w:firstLine="562"/>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招标代理服务收费标准</w:t>
      </w:r>
    </w:p>
    <w:p>
      <w:pPr>
        <w:adjustRightInd w:val="0"/>
        <w:snapToGrid w:val="0"/>
        <w:rPr>
          <w:rFonts w:hint="eastAsia" w:ascii="宋体" w:hAnsi="宋体" w:eastAsia="宋体" w:cs="宋体"/>
          <w:color w:val="auto"/>
          <w:highlight w:val="none"/>
          <w:u w:val="single"/>
        </w:rPr>
      </w:pPr>
    </w:p>
    <w:tbl>
      <w:tblPr>
        <w:tblStyle w:val="12"/>
        <w:tblW w:w="9416" w:type="dxa"/>
        <w:tblInd w:w="-343" w:type="dxa"/>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4"/>
        <w:gridCol w:w="1536"/>
        <w:gridCol w:w="2150"/>
        <w:gridCol w:w="1536"/>
        <w:gridCol w:w="2150"/>
      </w:tblGrid>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2044"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中标金额</w:t>
            </w:r>
          </w:p>
        </w:tc>
        <w:tc>
          <w:tcPr>
            <w:tcW w:w="1536"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货物</w:t>
            </w:r>
          </w:p>
        </w:tc>
        <w:tc>
          <w:tcPr>
            <w:tcW w:w="2150"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服务</w:t>
            </w:r>
          </w:p>
        </w:tc>
        <w:tc>
          <w:tcPr>
            <w:tcW w:w="1536"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工程</w:t>
            </w:r>
          </w:p>
        </w:tc>
        <w:tc>
          <w:tcPr>
            <w:tcW w:w="2150"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收费上限</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2044"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100万以下</w:t>
            </w:r>
          </w:p>
        </w:tc>
        <w:tc>
          <w:tcPr>
            <w:tcW w:w="1536"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1.50%</w:t>
            </w:r>
          </w:p>
        </w:tc>
        <w:tc>
          <w:tcPr>
            <w:tcW w:w="2150"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1.50%</w:t>
            </w:r>
          </w:p>
        </w:tc>
        <w:tc>
          <w:tcPr>
            <w:tcW w:w="1536"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w:t>
            </w:r>
          </w:p>
        </w:tc>
        <w:tc>
          <w:tcPr>
            <w:tcW w:w="215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0" w:lineRule="atLeast"/>
              <w:ind w:firstLine="240" w:firstLine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最低5千元</w:t>
            </w:r>
          </w:p>
          <w:p>
            <w:pPr>
              <w:widowControl/>
              <w:spacing w:line="0" w:lineRule="atLeast"/>
              <w:ind w:firstLine="240" w:firstLine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最高10万元</w:t>
            </w:r>
          </w:p>
          <w:p>
            <w:pPr>
              <w:widowControl/>
              <w:spacing w:line="0" w:lineRule="atLeast"/>
              <w:ind w:firstLine="240" w:firstLineChars="100"/>
              <w:rPr>
                <w:rFonts w:hint="eastAsia" w:ascii="宋体" w:hAnsi="宋体" w:eastAsia="宋体" w:cs="宋体"/>
                <w:color w:val="auto"/>
                <w:kern w:val="0"/>
                <w:sz w:val="24"/>
                <w:highlight w:val="none"/>
              </w:rPr>
            </w:pPr>
          </w:p>
          <w:p>
            <w:pPr>
              <w:widowControl/>
              <w:spacing w:line="0" w:lineRule="atLeas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（PPP项目最高10万元）</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2044"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100万~500万</w:t>
            </w:r>
          </w:p>
        </w:tc>
        <w:tc>
          <w:tcPr>
            <w:tcW w:w="1536"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1.10%</w:t>
            </w:r>
          </w:p>
        </w:tc>
        <w:tc>
          <w:tcPr>
            <w:tcW w:w="2150"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0.80%</w:t>
            </w:r>
          </w:p>
        </w:tc>
        <w:tc>
          <w:tcPr>
            <w:tcW w:w="1536"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0.70%</w:t>
            </w:r>
          </w:p>
        </w:tc>
        <w:tc>
          <w:tcPr>
            <w:tcW w:w="21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kern w:val="0"/>
                <w:sz w:val="24"/>
                <w:highlight w:val="none"/>
              </w:rPr>
            </w:pP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2044"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500万~1000万</w:t>
            </w:r>
          </w:p>
        </w:tc>
        <w:tc>
          <w:tcPr>
            <w:tcW w:w="1536"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0.80%</w:t>
            </w:r>
          </w:p>
        </w:tc>
        <w:tc>
          <w:tcPr>
            <w:tcW w:w="2150"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0.45%</w:t>
            </w:r>
          </w:p>
        </w:tc>
        <w:tc>
          <w:tcPr>
            <w:tcW w:w="1536"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0.55%</w:t>
            </w:r>
          </w:p>
        </w:tc>
        <w:tc>
          <w:tcPr>
            <w:tcW w:w="21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kern w:val="0"/>
                <w:sz w:val="24"/>
                <w:highlight w:val="none"/>
              </w:rPr>
            </w:pP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044"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l000万~5000万</w:t>
            </w:r>
          </w:p>
        </w:tc>
        <w:tc>
          <w:tcPr>
            <w:tcW w:w="1536"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0.50%</w:t>
            </w:r>
          </w:p>
        </w:tc>
        <w:tc>
          <w:tcPr>
            <w:tcW w:w="2150"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0.25%</w:t>
            </w:r>
          </w:p>
        </w:tc>
        <w:tc>
          <w:tcPr>
            <w:tcW w:w="1536"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0.35%</w:t>
            </w:r>
          </w:p>
        </w:tc>
        <w:tc>
          <w:tcPr>
            <w:tcW w:w="21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kern w:val="0"/>
                <w:sz w:val="24"/>
                <w:highlight w:val="none"/>
              </w:rPr>
            </w:pP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044"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5000万~l亿</w:t>
            </w:r>
          </w:p>
        </w:tc>
        <w:tc>
          <w:tcPr>
            <w:tcW w:w="1536"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0.25%</w:t>
            </w:r>
          </w:p>
        </w:tc>
        <w:tc>
          <w:tcPr>
            <w:tcW w:w="2150"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0.10%</w:t>
            </w:r>
          </w:p>
        </w:tc>
        <w:tc>
          <w:tcPr>
            <w:tcW w:w="1536"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0.20%</w:t>
            </w:r>
          </w:p>
        </w:tc>
        <w:tc>
          <w:tcPr>
            <w:tcW w:w="21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kern w:val="0"/>
                <w:sz w:val="24"/>
                <w:highlight w:val="none"/>
              </w:rPr>
            </w:pP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044"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1亿~5亿</w:t>
            </w:r>
          </w:p>
        </w:tc>
        <w:tc>
          <w:tcPr>
            <w:tcW w:w="1536"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0.05%</w:t>
            </w:r>
          </w:p>
        </w:tc>
        <w:tc>
          <w:tcPr>
            <w:tcW w:w="2150"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0.05%</w:t>
            </w:r>
          </w:p>
        </w:tc>
        <w:tc>
          <w:tcPr>
            <w:tcW w:w="1536"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0.05%</w:t>
            </w:r>
          </w:p>
        </w:tc>
        <w:tc>
          <w:tcPr>
            <w:tcW w:w="21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kern w:val="0"/>
                <w:sz w:val="24"/>
                <w:highlight w:val="none"/>
              </w:rPr>
            </w:pP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044"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5亿~10亿</w:t>
            </w:r>
          </w:p>
        </w:tc>
        <w:tc>
          <w:tcPr>
            <w:tcW w:w="1536"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0.035%</w:t>
            </w:r>
          </w:p>
        </w:tc>
        <w:tc>
          <w:tcPr>
            <w:tcW w:w="2150"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0.035%</w:t>
            </w:r>
          </w:p>
        </w:tc>
        <w:tc>
          <w:tcPr>
            <w:tcW w:w="1536"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0.035%</w:t>
            </w:r>
          </w:p>
        </w:tc>
        <w:tc>
          <w:tcPr>
            <w:tcW w:w="21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kern w:val="0"/>
                <w:sz w:val="24"/>
                <w:highlight w:val="none"/>
              </w:rPr>
            </w:pP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044"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10亿~50亿</w:t>
            </w:r>
          </w:p>
        </w:tc>
        <w:tc>
          <w:tcPr>
            <w:tcW w:w="1536"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0.008%</w:t>
            </w:r>
          </w:p>
        </w:tc>
        <w:tc>
          <w:tcPr>
            <w:tcW w:w="2150"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0.008%</w:t>
            </w:r>
          </w:p>
        </w:tc>
        <w:tc>
          <w:tcPr>
            <w:tcW w:w="1536"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0.008%</w:t>
            </w:r>
          </w:p>
        </w:tc>
        <w:tc>
          <w:tcPr>
            <w:tcW w:w="21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kern w:val="0"/>
                <w:sz w:val="24"/>
                <w:highlight w:val="none"/>
              </w:rPr>
            </w:pP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044"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50亿~100亿</w:t>
            </w:r>
          </w:p>
        </w:tc>
        <w:tc>
          <w:tcPr>
            <w:tcW w:w="1536"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0.006%</w:t>
            </w:r>
          </w:p>
        </w:tc>
        <w:tc>
          <w:tcPr>
            <w:tcW w:w="2150"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0.006%</w:t>
            </w:r>
          </w:p>
        </w:tc>
        <w:tc>
          <w:tcPr>
            <w:tcW w:w="1536"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0.006%</w:t>
            </w:r>
          </w:p>
        </w:tc>
        <w:tc>
          <w:tcPr>
            <w:tcW w:w="21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kern w:val="0"/>
                <w:sz w:val="24"/>
                <w:highlight w:val="none"/>
              </w:rPr>
            </w:pP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2044"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100亿以上</w:t>
            </w:r>
          </w:p>
        </w:tc>
        <w:tc>
          <w:tcPr>
            <w:tcW w:w="1536"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0.004%</w:t>
            </w:r>
          </w:p>
        </w:tc>
        <w:tc>
          <w:tcPr>
            <w:tcW w:w="2150"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0.004%</w:t>
            </w:r>
          </w:p>
        </w:tc>
        <w:tc>
          <w:tcPr>
            <w:tcW w:w="1536"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0.004%</w:t>
            </w:r>
          </w:p>
        </w:tc>
        <w:tc>
          <w:tcPr>
            <w:tcW w:w="21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kern w:val="0"/>
                <w:sz w:val="24"/>
                <w:highlight w:val="none"/>
              </w:rPr>
            </w:pPr>
          </w:p>
        </w:tc>
      </w:tr>
    </w:tbl>
    <w:p>
      <w:pPr>
        <w:widowControl/>
        <w:spacing w:line="240" w:lineRule="auto"/>
        <w:rPr>
          <w:rFonts w:hint="eastAsia" w:ascii="宋体" w:hAnsi="宋体" w:eastAsia="宋体" w:cs="宋体"/>
          <w:color w:val="auto"/>
          <w:kern w:val="0"/>
          <w:sz w:val="24"/>
          <w:highlight w:val="none"/>
        </w:rPr>
      </w:pPr>
    </w:p>
    <w:p>
      <w:pPr>
        <w:widowControl/>
        <w:spacing w:line="24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说明：1.按上表计算的收费为代理服务全过程的收费金额。各社会代理机构不另外收取采购文件制作售卖费用。</w:t>
      </w:r>
    </w:p>
    <w:p>
      <w:pPr>
        <w:tabs>
          <w:tab w:val="left" w:pos="840"/>
        </w:tabs>
        <w:spacing w:line="240" w:lineRule="auto"/>
        <w:ind w:firstLine="540" w:firstLineChars="225"/>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2.代理服务费按差额定率累进法计算。</w:t>
      </w:r>
    </w:p>
    <w:p>
      <w:pPr>
        <w:widowControl/>
        <w:spacing w:line="240" w:lineRule="auto"/>
        <w:ind w:left="67" w:leftChars="32"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3.代理服务费基准金额（按差额定率累进法计算的）=中标金额（按差额定率累进法计算的） * 费率（%）</w:t>
      </w:r>
    </w:p>
    <w:p>
      <w:pPr>
        <w:widowControl/>
        <w:spacing w:line="240" w:lineRule="auto"/>
        <w:ind w:left="67" w:leftChars="32"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4.代理服务费应收取金额=代理服务费基准金额（按差额定率累进法计算的）的合计数。</w:t>
      </w:r>
    </w:p>
    <w:p>
      <w:pPr>
        <w:widowControl/>
        <w:spacing w:line="24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5.计算出的代理服务费应收取金额如低于5千元，按5千元收取；如高于10万元，按10万元收取。超出5万元的，超出部分按8折计算收取。（PPP项目按10万元）</w:t>
      </w:r>
    </w:p>
    <w:p>
      <w:pPr>
        <w:spacing w:line="240" w:lineRule="auto"/>
        <w:ind w:firstLine="540" w:firstLineChars="225"/>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6.定点类等无金额或事先不能计算出价格总额，采购预算为1元的项目，中标（成交）金额按100万元计算。</w:t>
      </w:r>
    </w:p>
    <w:p>
      <w:pPr>
        <w:spacing w:line="240" w:lineRule="auto"/>
        <w:ind w:firstLine="540" w:firstLineChars="225"/>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7.多标段项目按总项目收费，最高不超过10万元。</w:t>
      </w:r>
    </w:p>
    <w:p>
      <w:pPr>
        <w:spacing w:line="240" w:lineRule="auto"/>
        <w:ind w:firstLine="540" w:firstLineChars="225"/>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8.账户信息：</w:t>
      </w:r>
    </w:p>
    <w:p>
      <w:pPr>
        <w:spacing w:line="240" w:lineRule="auto"/>
        <w:ind w:firstLine="540" w:firstLineChars="225"/>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rPr>
        <w:t>户  名：</w:t>
      </w:r>
      <w:r>
        <w:rPr>
          <w:rFonts w:hint="eastAsia" w:ascii="宋体" w:hAnsi="宋体" w:eastAsia="宋体" w:cs="宋体"/>
          <w:color w:val="auto"/>
          <w:kern w:val="0"/>
          <w:sz w:val="24"/>
          <w:highlight w:val="none"/>
          <w:lang w:eastAsia="zh-CN"/>
        </w:rPr>
        <w:t>永曌（江苏）项目管理有限公司</w:t>
      </w:r>
    </w:p>
    <w:p>
      <w:pPr>
        <w:spacing w:line="240" w:lineRule="auto"/>
        <w:ind w:firstLine="540" w:firstLineChars="225"/>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户  号：</w:t>
      </w:r>
      <w:r>
        <w:rPr>
          <w:rFonts w:hint="eastAsia" w:ascii="宋体" w:hAnsi="宋体" w:eastAsia="宋体" w:cs="宋体"/>
          <w:color w:val="auto"/>
          <w:kern w:val="0"/>
          <w:sz w:val="24"/>
          <w:highlight w:val="none"/>
          <w:lang w:val="en-US" w:eastAsia="zh-CN"/>
        </w:rPr>
        <w:t>11110078801900001350</w:t>
      </w:r>
    </w:p>
    <w:p>
      <w:pPr>
        <w:spacing w:line="240" w:lineRule="auto"/>
        <w:ind w:firstLine="540" w:firstLineChars="225"/>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开户行：</w:t>
      </w:r>
      <w:r>
        <w:rPr>
          <w:rFonts w:hint="eastAsia" w:ascii="宋体" w:hAnsi="宋体" w:eastAsia="宋体" w:cs="宋体"/>
          <w:color w:val="auto"/>
          <w:kern w:val="0"/>
          <w:sz w:val="24"/>
          <w:highlight w:val="none"/>
          <w:lang w:val="en-US" w:eastAsia="zh-CN"/>
        </w:rPr>
        <w:t>上海浦东发展银行股份有限公司徐州分行</w:t>
      </w:r>
    </w:p>
    <w:p>
      <w:pPr>
        <w:pStyle w:val="2"/>
        <w:rPr>
          <w:rFonts w:hint="eastAsia"/>
        </w:rPr>
      </w:pPr>
    </w:p>
    <w:p>
      <w:pPr>
        <w:rPr>
          <w:rFonts w:hint="eastAsia" w:ascii="宋体" w:hAnsi="宋体" w:eastAsia="宋体" w:cs="宋体"/>
          <w:color w:val="auto"/>
          <w:kern w:val="0"/>
          <w:highlight w:val="none"/>
        </w:rPr>
      </w:pPr>
    </w:p>
    <w:p>
      <w:pPr>
        <w:numPr>
          <w:ilvl w:val="0"/>
          <w:numId w:val="0"/>
        </w:numPr>
        <w:jc w:val="center"/>
        <w:rPr>
          <w:rFonts w:hint="eastAsia" w:ascii="宋体" w:hAnsi="宋体" w:eastAsia="宋体" w:cs="宋体"/>
          <w:b/>
          <w:bCs/>
          <w:color w:val="auto"/>
          <w:sz w:val="30"/>
          <w:szCs w:val="30"/>
          <w:highlight w:val="none"/>
          <w:lang w:eastAsia="zh-CN"/>
        </w:rPr>
      </w:pPr>
    </w:p>
    <w:p>
      <w:pPr>
        <w:numPr>
          <w:ilvl w:val="0"/>
          <w:numId w:val="0"/>
        </w:numPr>
        <w:jc w:val="center"/>
        <w:rPr>
          <w:rFonts w:hint="eastAsia" w:ascii="宋体" w:hAnsi="宋体" w:eastAsia="宋体" w:cs="宋体"/>
          <w:b/>
          <w:bCs/>
          <w:color w:val="auto"/>
          <w:sz w:val="30"/>
          <w:szCs w:val="30"/>
          <w:highlight w:val="none"/>
          <w:lang w:eastAsia="zh-CN"/>
        </w:rPr>
      </w:pPr>
    </w:p>
    <w:p>
      <w:pPr>
        <w:numPr>
          <w:ilvl w:val="0"/>
          <w:numId w:val="0"/>
        </w:numPr>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lang w:eastAsia="zh-CN"/>
        </w:rPr>
        <w:t>第四章</w:t>
      </w:r>
      <w:r>
        <w:rPr>
          <w:rFonts w:hint="eastAsia" w:ascii="宋体" w:hAnsi="宋体" w:eastAsia="宋体" w:cs="宋体"/>
          <w:b/>
          <w:bCs/>
          <w:color w:val="auto"/>
          <w:sz w:val="30"/>
          <w:szCs w:val="30"/>
          <w:highlight w:val="none"/>
          <w:lang w:val="en-US" w:eastAsia="zh-CN"/>
        </w:rPr>
        <w:t xml:space="preserve"> </w:t>
      </w:r>
      <w:r>
        <w:rPr>
          <w:rFonts w:hint="eastAsia" w:ascii="宋体" w:hAnsi="宋体" w:cs="宋体"/>
          <w:b/>
          <w:bCs/>
          <w:color w:val="auto"/>
          <w:sz w:val="30"/>
          <w:szCs w:val="30"/>
          <w:highlight w:val="none"/>
          <w:lang w:val="en-US" w:eastAsia="zh-CN"/>
        </w:rPr>
        <w:t>各标段</w:t>
      </w:r>
      <w:r>
        <w:rPr>
          <w:rFonts w:hint="eastAsia" w:ascii="宋体" w:hAnsi="宋体" w:eastAsia="宋体" w:cs="宋体"/>
          <w:b/>
          <w:bCs/>
          <w:color w:val="auto"/>
          <w:sz w:val="30"/>
          <w:szCs w:val="30"/>
          <w:highlight w:val="none"/>
        </w:rPr>
        <w:t>评分标准</w:t>
      </w:r>
    </w:p>
    <w:tbl>
      <w:tblPr>
        <w:tblStyle w:val="12"/>
        <w:tblW w:w="10453"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248"/>
        <w:gridCol w:w="1274"/>
        <w:gridCol w:w="1102"/>
        <w:gridCol w:w="6829"/>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18" w:hRule="atLeast"/>
          <w:jc w:val="center"/>
        </w:trPr>
        <w:tc>
          <w:tcPr>
            <w:tcW w:w="2522" w:type="dxa"/>
            <w:gridSpan w:val="2"/>
            <w:vAlign w:val="center"/>
          </w:tcPr>
          <w:p>
            <w:pPr>
              <w:spacing w:line="240" w:lineRule="auto"/>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kern w:val="0"/>
                <w:sz w:val="28"/>
                <w:szCs w:val="28"/>
                <w:highlight w:val="none"/>
              </w:rPr>
              <w:t>评审因素</w:t>
            </w:r>
          </w:p>
        </w:tc>
        <w:tc>
          <w:tcPr>
            <w:tcW w:w="7931" w:type="dxa"/>
            <w:gridSpan w:val="2"/>
            <w:vAlign w:val="center"/>
          </w:tcPr>
          <w:p>
            <w:pPr>
              <w:spacing w:line="240" w:lineRule="auto"/>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kern w:val="0"/>
                <w:sz w:val="28"/>
                <w:szCs w:val="28"/>
                <w:highlight w:val="none"/>
              </w:rPr>
              <w:t>评审因素细化和量化</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56" w:hRule="atLeast"/>
          <w:jc w:val="center"/>
        </w:trPr>
        <w:tc>
          <w:tcPr>
            <w:tcW w:w="1248" w:type="dxa"/>
            <w:vAlign w:val="center"/>
          </w:tcPr>
          <w:p>
            <w:pPr>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价格部分（30分）</w:t>
            </w:r>
          </w:p>
        </w:tc>
        <w:tc>
          <w:tcPr>
            <w:tcW w:w="1274" w:type="dxa"/>
            <w:vAlign w:val="center"/>
          </w:tcPr>
          <w:p>
            <w:pPr>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价格</w:t>
            </w:r>
          </w:p>
          <w:p>
            <w:pPr>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30分）</w:t>
            </w:r>
          </w:p>
        </w:tc>
        <w:tc>
          <w:tcPr>
            <w:tcW w:w="7931" w:type="dxa"/>
            <w:gridSpan w:val="2"/>
            <w:vAlign w:val="bottom"/>
          </w:tcPr>
          <w:p>
            <w:pPr>
              <w:jc w:val="both"/>
              <w:rPr>
                <w:rFonts w:hint="eastAsia" w:ascii="宋体" w:hAnsi="宋体" w:eastAsia="宋体" w:cs="宋体"/>
                <w:color w:val="auto"/>
                <w:sz w:val="24"/>
                <w:highlight w:val="none"/>
              </w:rPr>
            </w:pPr>
          </w:p>
          <w:p>
            <w:pPr>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各投标人价格得分=最低报价（投标人的最低评审价格）÷各投标人评审价格×30</w:t>
            </w:r>
          </w:p>
          <w:p>
            <w:pPr>
              <w:spacing w:line="240" w:lineRule="auto"/>
              <w:jc w:val="both"/>
              <w:rPr>
                <w:rFonts w:hint="eastAsia" w:ascii="宋体" w:hAnsi="宋体" w:eastAsia="宋体" w:cs="宋体"/>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232" w:hRule="atLeast"/>
          <w:jc w:val="center"/>
        </w:trPr>
        <w:tc>
          <w:tcPr>
            <w:tcW w:w="1248" w:type="dxa"/>
            <w:vMerge w:val="restart"/>
            <w:vAlign w:val="center"/>
          </w:tcPr>
          <w:p>
            <w:pPr>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技术部分（45分）</w:t>
            </w:r>
          </w:p>
        </w:tc>
        <w:tc>
          <w:tcPr>
            <w:tcW w:w="1274" w:type="dxa"/>
            <w:vAlign w:val="center"/>
          </w:tcPr>
          <w:p>
            <w:pPr>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所投产品的技术规格（20分）</w:t>
            </w:r>
          </w:p>
        </w:tc>
        <w:tc>
          <w:tcPr>
            <w:tcW w:w="7931" w:type="dxa"/>
            <w:gridSpan w:val="2"/>
            <w:vAlign w:val="center"/>
          </w:tcPr>
          <w:p>
            <w:pPr>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基本分为20分。</w:t>
            </w:r>
          </w:p>
          <w:p>
            <w:pPr>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对投标文件中《所投产品的技术规格》进行评价。</w:t>
            </w:r>
          </w:p>
          <w:p>
            <w:pPr>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完全符合招标文件第六章《采购需求》要求的，得基本分20分；</w:t>
            </w:r>
          </w:p>
          <w:p>
            <w:pPr>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每项重要响应不满足扣</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 xml:space="preserve">分，每项非重要响应不满足扣 </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 xml:space="preserve">分，最低得 0 分，最高得 </w:t>
            </w:r>
            <w:r>
              <w:rPr>
                <w:rFonts w:hint="eastAsia" w:ascii="宋体" w:hAnsi="宋体" w:eastAsia="宋体" w:cs="宋体"/>
                <w:color w:val="auto"/>
                <w:sz w:val="24"/>
                <w:highlight w:val="none"/>
                <w:lang w:val="en-US" w:eastAsia="zh-CN"/>
              </w:rPr>
              <w:t>20</w:t>
            </w:r>
            <w:r>
              <w:rPr>
                <w:rFonts w:hint="eastAsia" w:ascii="宋体" w:hAnsi="宋体" w:eastAsia="宋体" w:cs="宋体"/>
                <w:color w:val="auto"/>
                <w:sz w:val="24"/>
                <w:highlight w:val="none"/>
              </w:rPr>
              <w:t>分。招标文件《第六章 采购需求》中加“★”的为重要响应条件，其它的为非重要响应条件。</w:t>
            </w:r>
            <w:r>
              <w:rPr>
                <w:rFonts w:hint="eastAsia" w:ascii="宋体" w:hAnsi="宋体" w:eastAsia="宋体" w:cs="宋体"/>
                <w:b/>
                <w:bCs/>
                <w:color w:val="auto"/>
                <w:sz w:val="24"/>
                <w:highlight w:val="none"/>
              </w:rPr>
              <w:t>本项最高得20分，最低得0分。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513" w:hRule="atLeast"/>
          <w:jc w:val="center"/>
        </w:trPr>
        <w:tc>
          <w:tcPr>
            <w:tcW w:w="1248" w:type="dxa"/>
            <w:vMerge w:val="continue"/>
            <w:vAlign w:val="center"/>
          </w:tcPr>
          <w:p>
            <w:pPr>
              <w:spacing w:line="240" w:lineRule="auto"/>
              <w:jc w:val="center"/>
              <w:rPr>
                <w:rFonts w:hint="eastAsia" w:ascii="宋体" w:hAnsi="宋体" w:eastAsia="宋体" w:cs="宋体"/>
                <w:color w:val="auto"/>
                <w:sz w:val="24"/>
                <w:highlight w:val="none"/>
              </w:rPr>
            </w:pPr>
          </w:p>
        </w:tc>
        <w:tc>
          <w:tcPr>
            <w:tcW w:w="1274" w:type="dxa"/>
            <w:vAlign w:val="center"/>
          </w:tcPr>
          <w:p>
            <w:pPr>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安装方案及安装保障措施（</w:t>
            </w:r>
            <w:r>
              <w:rPr>
                <w:rFonts w:hint="eastAsia" w:ascii="宋体" w:hAnsi="宋体" w:eastAsia="宋体" w:cs="宋体"/>
                <w:color w:val="auto"/>
                <w:sz w:val="24"/>
                <w:highlight w:val="none"/>
                <w:lang w:val="en-US" w:eastAsia="zh-CN"/>
              </w:rPr>
              <w:t>25</w:t>
            </w:r>
            <w:r>
              <w:rPr>
                <w:rFonts w:hint="eastAsia" w:ascii="宋体" w:hAnsi="宋体" w:eastAsia="宋体" w:cs="宋体"/>
                <w:color w:val="auto"/>
                <w:sz w:val="24"/>
                <w:highlight w:val="none"/>
              </w:rPr>
              <w:t>分）</w:t>
            </w:r>
          </w:p>
        </w:tc>
        <w:tc>
          <w:tcPr>
            <w:tcW w:w="7931" w:type="dxa"/>
            <w:gridSpan w:val="2"/>
            <w:vAlign w:val="center"/>
          </w:tcPr>
          <w:p>
            <w:pPr>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对内容完整性、可操作性、合理性进行评价。</w:t>
            </w:r>
          </w:p>
          <w:p>
            <w:pPr>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内容完整性（</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分）：内容完整得</w:t>
            </w:r>
            <w:r>
              <w:rPr>
                <w:rFonts w:hint="eastAsia" w:ascii="宋体" w:hAnsi="宋体" w:eastAsia="宋体" w:cs="宋体"/>
                <w:color w:val="auto"/>
                <w:sz w:val="24"/>
                <w:highlight w:val="none"/>
                <w:lang w:val="en-US" w:eastAsia="zh-CN"/>
              </w:rPr>
              <w:t>8-5</w:t>
            </w:r>
            <w:r>
              <w:rPr>
                <w:rFonts w:hint="eastAsia" w:ascii="宋体" w:hAnsi="宋体" w:eastAsia="宋体" w:cs="宋体"/>
                <w:color w:val="auto"/>
                <w:sz w:val="24"/>
                <w:highlight w:val="none"/>
              </w:rPr>
              <w:t>分；内容较完整得</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分；内容不完整得</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0分;</w:t>
            </w:r>
          </w:p>
          <w:p>
            <w:pPr>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可操作性(</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分)：操作性强得</w:t>
            </w:r>
            <w:r>
              <w:rPr>
                <w:rFonts w:hint="eastAsia" w:ascii="宋体" w:hAnsi="宋体" w:eastAsia="宋体" w:cs="宋体"/>
                <w:color w:val="auto"/>
                <w:sz w:val="24"/>
                <w:highlight w:val="none"/>
                <w:lang w:val="en-US" w:eastAsia="zh-CN"/>
              </w:rPr>
              <w:t>8-5</w:t>
            </w:r>
            <w:r>
              <w:rPr>
                <w:rFonts w:hint="eastAsia" w:ascii="宋体" w:hAnsi="宋体" w:eastAsia="宋体" w:cs="宋体"/>
                <w:color w:val="auto"/>
                <w:sz w:val="24"/>
                <w:highlight w:val="none"/>
              </w:rPr>
              <w:t>分；操作性较强得</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分；操作性不强得</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0分。</w:t>
            </w:r>
          </w:p>
          <w:p>
            <w:pPr>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合理性（</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分）：合理切实可行得</w:t>
            </w:r>
            <w:r>
              <w:rPr>
                <w:rFonts w:hint="eastAsia" w:ascii="宋体" w:hAnsi="宋体" w:eastAsia="宋体" w:cs="宋体"/>
                <w:color w:val="auto"/>
                <w:sz w:val="24"/>
                <w:highlight w:val="none"/>
                <w:lang w:val="en-US" w:eastAsia="zh-CN"/>
              </w:rPr>
              <w:t>9-5</w:t>
            </w:r>
            <w:r>
              <w:rPr>
                <w:rFonts w:hint="eastAsia" w:ascii="宋体" w:hAnsi="宋体" w:eastAsia="宋体" w:cs="宋体"/>
                <w:color w:val="auto"/>
                <w:sz w:val="24"/>
                <w:highlight w:val="none"/>
              </w:rPr>
              <w:t>分；较合理切实可行得</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分；不合理得</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0分。不提供不得分。</w:t>
            </w:r>
            <w:r>
              <w:rPr>
                <w:rFonts w:hint="eastAsia" w:ascii="宋体" w:hAnsi="宋体" w:eastAsia="宋体" w:cs="宋体"/>
                <w:b/>
                <w:bCs/>
                <w:color w:val="auto"/>
                <w:sz w:val="24"/>
                <w:highlight w:val="none"/>
              </w:rPr>
              <w:t>本项最高得</w:t>
            </w:r>
            <w:r>
              <w:rPr>
                <w:rFonts w:hint="eastAsia" w:ascii="宋体" w:hAnsi="宋体" w:eastAsia="宋体" w:cs="宋体"/>
                <w:b/>
                <w:bCs/>
                <w:color w:val="auto"/>
                <w:sz w:val="24"/>
                <w:highlight w:val="none"/>
                <w:lang w:val="en-US" w:eastAsia="zh-CN"/>
              </w:rPr>
              <w:t>25</w:t>
            </w:r>
            <w:r>
              <w:rPr>
                <w:rFonts w:hint="eastAsia" w:ascii="宋体" w:hAnsi="宋体" w:eastAsia="宋体" w:cs="宋体"/>
                <w:b/>
                <w:bCs/>
                <w:color w:val="auto"/>
                <w:sz w:val="24"/>
                <w:highlight w:val="none"/>
              </w:rPr>
              <w:t>分，最低得0分。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801" w:hRule="atLeast"/>
          <w:jc w:val="center"/>
        </w:trPr>
        <w:tc>
          <w:tcPr>
            <w:tcW w:w="1248" w:type="dxa"/>
            <w:vMerge w:val="restart"/>
            <w:tcBorders>
              <w:top w:val="single" w:color="auto" w:sz="4" w:space="0"/>
            </w:tcBorders>
            <w:vAlign w:val="center"/>
          </w:tcPr>
          <w:p>
            <w:pPr>
              <w:spacing w:line="240" w:lineRule="auto"/>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商务部分</w:t>
            </w:r>
            <w:r>
              <w:rPr>
                <w:rFonts w:hint="eastAsia" w:ascii="宋体" w:hAnsi="宋体" w:eastAsia="宋体" w:cs="宋体"/>
                <w:color w:val="auto"/>
                <w:sz w:val="24"/>
                <w:highlight w:val="none"/>
              </w:rPr>
              <w:t>（25分）</w:t>
            </w:r>
          </w:p>
        </w:tc>
        <w:tc>
          <w:tcPr>
            <w:tcW w:w="1274" w:type="dxa"/>
            <w:vMerge w:val="restart"/>
            <w:tcBorders>
              <w:top w:val="single" w:color="auto" w:sz="4" w:space="0"/>
            </w:tcBorders>
            <w:vAlign w:val="center"/>
          </w:tcPr>
          <w:p>
            <w:pPr>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售后服务方案（25分）</w:t>
            </w:r>
          </w:p>
          <w:p>
            <w:pPr>
              <w:spacing w:line="240" w:lineRule="auto"/>
              <w:jc w:val="center"/>
              <w:rPr>
                <w:rFonts w:hint="eastAsia" w:ascii="宋体" w:hAnsi="宋体" w:eastAsia="宋体" w:cs="宋体"/>
                <w:color w:val="auto"/>
                <w:sz w:val="24"/>
                <w:highlight w:val="none"/>
              </w:rPr>
            </w:pPr>
          </w:p>
        </w:tc>
        <w:tc>
          <w:tcPr>
            <w:tcW w:w="1102" w:type="dxa"/>
            <w:tcBorders>
              <w:bottom w:val="single" w:color="auto" w:sz="4" w:space="0"/>
              <w:right w:val="single" w:color="auto" w:sz="4" w:space="0"/>
            </w:tcBorders>
            <w:vAlign w:val="center"/>
          </w:tcPr>
          <w:p>
            <w:pPr>
              <w:spacing w:line="240" w:lineRule="auto"/>
              <w:jc w:val="left"/>
              <w:rPr>
                <w:rFonts w:hint="eastAsia" w:eastAsia="宋体"/>
              </w:rPr>
            </w:pPr>
            <w:r>
              <w:rPr>
                <w:rFonts w:hint="eastAsia" w:eastAsia="宋体"/>
              </w:rPr>
              <w:t>质保期</w:t>
            </w:r>
          </w:p>
          <w:p>
            <w:pPr>
              <w:spacing w:line="240" w:lineRule="auto"/>
              <w:jc w:val="left"/>
              <w:rPr>
                <w:rFonts w:hint="eastAsia" w:eastAsia="宋体"/>
              </w:rPr>
            </w:pPr>
            <w:r>
              <w:rPr>
                <w:rFonts w:hint="eastAsia" w:eastAsia="宋体"/>
              </w:rPr>
              <w:t>（</w:t>
            </w:r>
            <w:r>
              <w:rPr>
                <w:rFonts w:hint="eastAsia"/>
                <w:lang w:val="en-US" w:eastAsia="zh-CN"/>
              </w:rPr>
              <w:t>5</w:t>
            </w:r>
            <w:r>
              <w:rPr>
                <w:rFonts w:hint="eastAsia" w:eastAsia="宋体"/>
              </w:rPr>
              <w:t>分）</w:t>
            </w:r>
          </w:p>
        </w:tc>
        <w:tc>
          <w:tcPr>
            <w:tcW w:w="6829" w:type="dxa"/>
            <w:tcBorders>
              <w:left w:val="single" w:color="auto" w:sz="4" w:space="0"/>
              <w:bottom w:val="single" w:color="auto" w:sz="4" w:space="0"/>
            </w:tcBorders>
            <w:vAlign w:val="center"/>
          </w:tcPr>
          <w:p>
            <w:pPr>
              <w:spacing w:line="240" w:lineRule="auto"/>
              <w:jc w:val="left"/>
              <w:rPr>
                <w:rFonts w:hint="eastAsia" w:eastAsia="宋体"/>
              </w:rPr>
            </w:pPr>
            <w:r>
              <w:rPr>
                <w:rFonts w:hint="eastAsia" w:eastAsia="宋体"/>
                <w:lang w:val="en-US" w:eastAsia="zh-CN"/>
              </w:rPr>
              <w:t>一</w:t>
            </w:r>
            <w:r>
              <w:rPr>
                <w:rFonts w:hint="eastAsia" w:eastAsia="宋体"/>
              </w:rPr>
              <w:t>年及以下不得分；每多</w:t>
            </w:r>
            <w:r>
              <w:rPr>
                <w:rFonts w:hint="eastAsia" w:eastAsia="宋体"/>
                <w:lang w:val="en-US" w:eastAsia="zh-CN"/>
              </w:rPr>
              <w:t>1</w:t>
            </w:r>
            <w:r>
              <w:rPr>
                <w:rFonts w:hint="eastAsia" w:eastAsia="宋体"/>
              </w:rPr>
              <w:t>年得</w:t>
            </w:r>
            <w:r>
              <w:rPr>
                <w:rFonts w:hint="eastAsia"/>
                <w:lang w:val="en-US" w:eastAsia="zh-CN"/>
              </w:rPr>
              <w:t>2.5</w:t>
            </w:r>
            <w:r>
              <w:rPr>
                <w:rFonts w:hint="eastAsia" w:eastAsia="宋体"/>
              </w:rPr>
              <w:t>分。</w:t>
            </w:r>
          </w:p>
          <w:p>
            <w:pPr>
              <w:spacing w:line="240" w:lineRule="auto"/>
              <w:jc w:val="left"/>
              <w:rPr>
                <w:rFonts w:hint="eastAsia" w:eastAsia="宋体"/>
              </w:rPr>
            </w:pPr>
            <w:r>
              <w:rPr>
                <w:rFonts w:hint="eastAsia" w:eastAsia="宋体"/>
                <w:b/>
                <w:bCs/>
              </w:rPr>
              <w:t>本项最高得</w:t>
            </w:r>
            <w:r>
              <w:rPr>
                <w:rFonts w:hint="eastAsia"/>
                <w:b/>
                <w:bCs/>
                <w:lang w:val="en-US" w:eastAsia="zh-CN"/>
              </w:rPr>
              <w:t>5</w:t>
            </w:r>
            <w:r>
              <w:rPr>
                <w:rFonts w:hint="eastAsia" w:eastAsia="宋体"/>
                <w:b/>
                <w:bCs/>
              </w:rPr>
              <w:t>分</w:t>
            </w:r>
            <w:r>
              <w:rPr>
                <w:rFonts w:hint="eastAsia" w:eastAsia="宋体"/>
                <w:b/>
                <w:bCs/>
                <w:lang w:eastAsia="zh-CN"/>
              </w:rPr>
              <w:t>，</w:t>
            </w:r>
            <w:r>
              <w:rPr>
                <w:rFonts w:hint="eastAsia" w:eastAsia="宋体"/>
                <w:b/>
                <w:bCs/>
              </w:rPr>
              <w:t>最低得0分。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200" w:hRule="atLeast"/>
          <w:jc w:val="center"/>
        </w:trPr>
        <w:tc>
          <w:tcPr>
            <w:tcW w:w="1248" w:type="dxa"/>
            <w:vMerge w:val="continue"/>
            <w:vAlign w:val="top"/>
          </w:tcPr>
          <w:p>
            <w:pPr>
              <w:spacing w:line="240" w:lineRule="auto"/>
              <w:rPr>
                <w:rFonts w:hint="eastAsia" w:ascii="宋体" w:hAnsi="宋体" w:eastAsia="宋体" w:cs="宋体"/>
                <w:color w:val="auto"/>
                <w:kern w:val="0"/>
                <w:sz w:val="24"/>
                <w:highlight w:val="none"/>
              </w:rPr>
            </w:pPr>
          </w:p>
        </w:tc>
        <w:tc>
          <w:tcPr>
            <w:tcW w:w="1274" w:type="dxa"/>
            <w:vMerge w:val="continue"/>
            <w:vAlign w:val="center"/>
          </w:tcPr>
          <w:p>
            <w:pPr>
              <w:spacing w:line="240" w:lineRule="auto"/>
              <w:rPr>
                <w:rFonts w:hint="eastAsia" w:ascii="宋体" w:hAnsi="宋体" w:eastAsia="宋体" w:cs="宋体"/>
                <w:b/>
                <w:color w:val="auto"/>
                <w:sz w:val="24"/>
                <w:highlight w:val="none"/>
              </w:rPr>
            </w:pPr>
          </w:p>
        </w:tc>
        <w:tc>
          <w:tcPr>
            <w:tcW w:w="1102" w:type="dxa"/>
            <w:tcBorders>
              <w:top w:val="single" w:color="auto" w:sz="4" w:space="0"/>
              <w:bottom w:val="single" w:color="auto" w:sz="4" w:space="0"/>
              <w:right w:val="single" w:color="auto" w:sz="4" w:space="0"/>
            </w:tcBorders>
            <w:vAlign w:val="center"/>
          </w:tcPr>
          <w:p>
            <w:pPr>
              <w:spacing w:line="240" w:lineRule="auto"/>
              <w:jc w:val="left"/>
              <w:rPr>
                <w:rFonts w:hint="eastAsia" w:eastAsia="宋体"/>
              </w:rPr>
            </w:pPr>
            <w:r>
              <w:rPr>
                <w:rFonts w:hint="eastAsia" w:eastAsia="宋体"/>
              </w:rPr>
              <w:t>质保期内服务方案</w:t>
            </w:r>
          </w:p>
          <w:p>
            <w:pPr>
              <w:spacing w:line="240" w:lineRule="auto"/>
              <w:jc w:val="left"/>
              <w:rPr>
                <w:rFonts w:hint="eastAsia" w:eastAsia="宋体"/>
              </w:rPr>
            </w:pPr>
            <w:r>
              <w:rPr>
                <w:rFonts w:hint="eastAsia" w:eastAsia="宋体"/>
              </w:rPr>
              <w:t>（10分）</w:t>
            </w:r>
          </w:p>
        </w:tc>
        <w:tc>
          <w:tcPr>
            <w:tcW w:w="6829" w:type="dxa"/>
            <w:tcBorders>
              <w:top w:val="single" w:color="auto" w:sz="4" w:space="0"/>
              <w:left w:val="single" w:color="auto" w:sz="4" w:space="0"/>
              <w:bottom w:val="single" w:color="auto" w:sz="4" w:space="0"/>
            </w:tcBorders>
            <w:vAlign w:val="center"/>
          </w:tcPr>
          <w:p>
            <w:pPr>
              <w:spacing w:line="240" w:lineRule="auto"/>
              <w:jc w:val="left"/>
              <w:rPr>
                <w:rFonts w:hint="eastAsia" w:eastAsia="宋体"/>
              </w:rPr>
            </w:pPr>
            <w:r>
              <w:rPr>
                <w:rFonts w:hint="eastAsia" w:eastAsia="宋体"/>
              </w:rPr>
              <w:t>对内容的全面性、针对性、可行性进行评价。</w:t>
            </w:r>
          </w:p>
          <w:p>
            <w:pPr>
              <w:spacing w:line="240" w:lineRule="auto"/>
              <w:jc w:val="left"/>
              <w:rPr>
                <w:rFonts w:hint="eastAsia" w:eastAsia="宋体"/>
                <w:lang w:eastAsia="zh-CN"/>
              </w:rPr>
            </w:pPr>
            <w:r>
              <w:rPr>
                <w:rFonts w:hint="eastAsia" w:eastAsia="宋体"/>
              </w:rPr>
              <w:t>全面性(</w:t>
            </w:r>
            <w:r>
              <w:rPr>
                <w:rFonts w:hint="eastAsia"/>
                <w:lang w:val="en-US" w:eastAsia="zh-CN"/>
              </w:rPr>
              <w:t>4</w:t>
            </w:r>
            <w:r>
              <w:rPr>
                <w:rFonts w:hint="eastAsia" w:eastAsia="宋体"/>
              </w:rPr>
              <w:t>分)：全面具体详实得</w:t>
            </w:r>
            <w:r>
              <w:rPr>
                <w:rFonts w:hint="eastAsia"/>
                <w:lang w:val="en-US" w:eastAsia="zh-CN"/>
              </w:rPr>
              <w:t>4-2</w:t>
            </w:r>
            <w:r>
              <w:rPr>
                <w:rFonts w:hint="eastAsia" w:eastAsia="宋体"/>
              </w:rPr>
              <w:t>分；较全面得</w:t>
            </w:r>
            <w:r>
              <w:rPr>
                <w:rFonts w:hint="eastAsia"/>
                <w:lang w:val="en-US" w:eastAsia="zh-CN"/>
              </w:rPr>
              <w:t>2</w:t>
            </w:r>
            <w:r>
              <w:rPr>
                <w:rFonts w:hint="eastAsia" w:eastAsia="宋体"/>
              </w:rPr>
              <w:t>-</w:t>
            </w:r>
            <w:r>
              <w:rPr>
                <w:rFonts w:hint="eastAsia"/>
                <w:lang w:val="en-US" w:eastAsia="zh-CN"/>
              </w:rPr>
              <w:t>1</w:t>
            </w:r>
            <w:r>
              <w:rPr>
                <w:rFonts w:hint="eastAsia" w:eastAsia="宋体"/>
              </w:rPr>
              <w:t>分；不全面得</w:t>
            </w:r>
            <w:r>
              <w:rPr>
                <w:rFonts w:hint="eastAsia"/>
                <w:lang w:val="en-US" w:eastAsia="zh-CN"/>
              </w:rPr>
              <w:t>1-0</w:t>
            </w:r>
            <w:r>
              <w:rPr>
                <w:rFonts w:hint="eastAsia" w:eastAsia="宋体"/>
              </w:rPr>
              <w:t>分</w:t>
            </w:r>
            <w:r>
              <w:rPr>
                <w:rFonts w:hint="eastAsia"/>
                <w:lang w:eastAsia="zh-CN"/>
              </w:rPr>
              <w:t>；</w:t>
            </w:r>
          </w:p>
          <w:p>
            <w:pPr>
              <w:spacing w:line="240" w:lineRule="auto"/>
              <w:jc w:val="left"/>
              <w:rPr>
                <w:rFonts w:hint="eastAsia" w:eastAsia="宋体"/>
                <w:lang w:eastAsia="zh-CN"/>
              </w:rPr>
            </w:pPr>
            <w:r>
              <w:rPr>
                <w:rFonts w:hint="eastAsia" w:eastAsia="宋体"/>
              </w:rPr>
              <w:t>针对性(</w:t>
            </w:r>
            <w:r>
              <w:rPr>
                <w:rFonts w:hint="eastAsia" w:eastAsia="宋体"/>
                <w:lang w:val="en-US" w:eastAsia="zh-CN"/>
              </w:rPr>
              <w:t>3</w:t>
            </w:r>
            <w:r>
              <w:rPr>
                <w:rFonts w:hint="eastAsia" w:eastAsia="宋体"/>
              </w:rPr>
              <w:t>分)：针对性强得</w:t>
            </w:r>
            <w:r>
              <w:rPr>
                <w:rFonts w:hint="eastAsia"/>
                <w:lang w:val="en-US" w:eastAsia="zh-CN"/>
              </w:rPr>
              <w:t>3-2</w:t>
            </w:r>
            <w:r>
              <w:rPr>
                <w:rFonts w:hint="eastAsia" w:eastAsia="宋体"/>
              </w:rPr>
              <w:t>分；针对性较强得</w:t>
            </w:r>
            <w:r>
              <w:rPr>
                <w:rFonts w:hint="eastAsia"/>
                <w:lang w:val="en-US" w:eastAsia="zh-CN"/>
              </w:rPr>
              <w:t>2-1</w:t>
            </w:r>
            <w:r>
              <w:rPr>
                <w:rFonts w:hint="eastAsia" w:eastAsia="宋体"/>
              </w:rPr>
              <w:t>分；针对性不强得</w:t>
            </w:r>
            <w:r>
              <w:rPr>
                <w:rFonts w:hint="eastAsia"/>
                <w:lang w:val="en-US" w:eastAsia="zh-CN"/>
              </w:rPr>
              <w:t>1-</w:t>
            </w:r>
            <w:r>
              <w:rPr>
                <w:rFonts w:hint="eastAsia" w:eastAsia="宋体"/>
              </w:rPr>
              <w:t>0分</w:t>
            </w:r>
            <w:r>
              <w:rPr>
                <w:rFonts w:hint="eastAsia"/>
                <w:lang w:eastAsia="zh-CN"/>
              </w:rPr>
              <w:t>；</w:t>
            </w:r>
          </w:p>
          <w:p>
            <w:pPr>
              <w:spacing w:line="240" w:lineRule="auto"/>
              <w:jc w:val="left"/>
              <w:rPr>
                <w:rFonts w:hint="eastAsia" w:eastAsia="宋体"/>
              </w:rPr>
            </w:pPr>
            <w:r>
              <w:rPr>
                <w:rFonts w:hint="eastAsia" w:eastAsia="宋体"/>
              </w:rPr>
              <w:t>可行性（</w:t>
            </w:r>
            <w:r>
              <w:rPr>
                <w:rFonts w:hint="eastAsia" w:eastAsia="宋体"/>
                <w:lang w:val="en-US" w:eastAsia="zh-CN"/>
              </w:rPr>
              <w:t>3</w:t>
            </w:r>
            <w:r>
              <w:rPr>
                <w:rFonts w:hint="eastAsia" w:eastAsia="宋体"/>
              </w:rPr>
              <w:t>分)：符合实际切实可行得</w:t>
            </w:r>
            <w:r>
              <w:rPr>
                <w:rFonts w:hint="eastAsia"/>
                <w:lang w:val="en-US" w:eastAsia="zh-CN"/>
              </w:rPr>
              <w:t>3-2</w:t>
            </w:r>
            <w:r>
              <w:rPr>
                <w:rFonts w:hint="eastAsia" w:eastAsia="宋体"/>
              </w:rPr>
              <w:t>分；可行性欠缺得</w:t>
            </w:r>
            <w:r>
              <w:rPr>
                <w:rFonts w:hint="eastAsia"/>
                <w:lang w:val="en-US" w:eastAsia="zh-CN"/>
              </w:rPr>
              <w:t>2-1</w:t>
            </w:r>
            <w:r>
              <w:rPr>
                <w:rFonts w:hint="eastAsia" w:eastAsia="宋体"/>
              </w:rPr>
              <w:t>分</w:t>
            </w:r>
            <w:r>
              <w:rPr>
                <w:rFonts w:hint="eastAsia"/>
                <w:lang w:eastAsia="zh-CN"/>
              </w:rPr>
              <w:t>，</w:t>
            </w:r>
            <w:r>
              <w:rPr>
                <w:rFonts w:hint="eastAsia" w:eastAsia="宋体"/>
              </w:rPr>
              <w:t>未提供的得</w:t>
            </w:r>
            <w:r>
              <w:rPr>
                <w:rFonts w:hint="eastAsia"/>
                <w:lang w:val="en-US" w:eastAsia="zh-CN"/>
              </w:rPr>
              <w:t>0</w:t>
            </w:r>
            <w:r>
              <w:rPr>
                <w:rFonts w:hint="eastAsia" w:eastAsia="宋体"/>
              </w:rPr>
              <w:t>分。</w:t>
            </w:r>
            <w:r>
              <w:rPr>
                <w:rFonts w:hint="eastAsia" w:eastAsia="宋体"/>
                <w:b/>
                <w:bCs/>
              </w:rPr>
              <w:t>本项最高得10分，最低得0分。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60" w:hRule="atLeast"/>
          <w:jc w:val="center"/>
        </w:trPr>
        <w:tc>
          <w:tcPr>
            <w:tcW w:w="1248" w:type="dxa"/>
            <w:vMerge w:val="continue"/>
            <w:vAlign w:val="top"/>
          </w:tcPr>
          <w:p>
            <w:pPr>
              <w:spacing w:line="240" w:lineRule="auto"/>
              <w:rPr>
                <w:rFonts w:hint="eastAsia" w:ascii="宋体" w:hAnsi="宋体" w:eastAsia="宋体" w:cs="宋体"/>
                <w:color w:val="auto"/>
                <w:kern w:val="0"/>
                <w:sz w:val="24"/>
                <w:highlight w:val="none"/>
              </w:rPr>
            </w:pPr>
          </w:p>
        </w:tc>
        <w:tc>
          <w:tcPr>
            <w:tcW w:w="1274" w:type="dxa"/>
            <w:vMerge w:val="continue"/>
            <w:vAlign w:val="center"/>
          </w:tcPr>
          <w:p>
            <w:pPr>
              <w:spacing w:line="240" w:lineRule="auto"/>
              <w:rPr>
                <w:rFonts w:hint="eastAsia" w:ascii="宋体" w:hAnsi="宋体" w:eastAsia="宋体" w:cs="宋体"/>
                <w:color w:val="auto"/>
                <w:sz w:val="24"/>
                <w:highlight w:val="none"/>
              </w:rPr>
            </w:pPr>
          </w:p>
        </w:tc>
        <w:tc>
          <w:tcPr>
            <w:tcW w:w="1102" w:type="dxa"/>
            <w:tcBorders>
              <w:top w:val="single" w:color="auto" w:sz="4" w:space="0"/>
              <w:right w:val="single" w:color="auto" w:sz="4" w:space="0"/>
            </w:tcBorders>
            <w:vAlign w:val="center"/>
          </w:tcPr>
          <w:p>
            <w:pPr>
              <w:spacing w:line="240" w:lineRule="auto"/>
              <w:jc w:val="left"/>
              <w:rPr>
                <w:rFonts w:hint="eastAsia" w:eastAsia="宋体"/>
              </w:rPr>
            </w:pPr>
            <w:r>
              <w:rPr>
                <w:rFonts w:hint="eastAsia" w:eastAsia="宋体"/>
              </w:rPr>
              <w:t>质保期后服务方案</w:t>
            </w:r>
          </w:p>
          <w:p>
            <w:pPr>
              <w:spacing w:line="240" w:lineRule="auto"/>
              <w:jc w:val="left"/>
              <w:rPr>
                <w:rFonts w:hint="eastAsia" w:eastAsia="宋体"/>
              </w:rPr>
            </w:pPr>
            <w:r>
              <w:rPr>
                <w:rFonts w:hint="eastAsia" w:eastAsia="宋体"/>
              </w:rPr>
              <w:t>（</w:t>
            </w:r>
            <w:r>
              <w:rPr>
                <w:rFonts w:hint="eastAsia"/>
                <w:lang w:val="en-US" w:eastAsia="zh-CN"/>
              </w:rPr>
              <w:t>10</w:t>
            </w:r>
            <w:r>
              <w:rPr>
                <w:rFonts w:hint="eastAsia" w:eastAsia="宋体"/>
              </w:rPr>
              <w:t>分）</w:t>
            </w:r>
          </w:p>
        </w:tc>
        <w:tc>
          <w:tcPr>
            <w:tcW w:w="6829" w:type="dxa"/>
            <w:tcBorders>
              <w:top w:val="single" w:color="auto" w:sz="4" w:space="0"/>
              <w:left w:val="single" w:color="auto" w:sz="4" w:space="0"/>
            </w:tcBorders>
            <w:vAlign w:val="center"/>
          </w:tcPr>
          <w:p>
            <w:pPr>
              <w:spacing w:line="240" w:lineRule="auto"/>
              <w:jc w:val="left"/>
              <w:rPr>
                <w:rFonts w:hint="eastAsia" w:eastAsia="宋体"/>
              </w:rPr>
            </w:pPr>
            <w:r>
              <w:rPr>
                <w:rFonts w:hint="eastAsia" w:eastAsia="宋体"/>
              </w:rPr>
              <w:t>对内容的全面性、针对性、可行性进行评价。</w:t>
            </w:r>
          </w:p>
          <w:p>
            <w:pPr>
              <w:spacing w:line="240" w:lineRule="auto"/>
              <w:jc w:val="left"/>
              <w:rPr>
                <w:rFonts w:hint="eastAsia" w:eastAsia="宋体"/>
                <w:lang w:eastAsia="zh-CN"/>
              </w:rPr>
            </w:pPr>
            <w:r>
              <w:rPr>
                <w:rFonts w:hint="eastAsia" w:eastAsia="宋体"/>
              </w:rPr>
              <w:t>全面性(</w:t>
            </w:r>
            <w:r>
              <w:rPr>
                <w:rFonts w:hint="eastAsia"/>
                <w:lang w:val="en-US" w:eastAsia="zh-CN"/>
              </w:rPr>
              <w:t>4</w:t>
            </w:r>
            <w:r>
              <w:rPr>
                <w:rFonts w:hint="eastAsia" w:eastAsia="宋体"/>
              </w:rPr>
              <w:t>分)：全面具体详实得</w:t>
            </w:r>
            <w:r>
              <w:rPr>
                <w:rFonts w:hint="eastAsia"/>
                <w:lang w:val="en-US" w:eastAsia="zh-CN"/>
              </w:rPr>
              <w:t>4-2</w:t>
            </w:r>
            <w:r>
              <w:rPr>
                <w:rFonts w:hint="eastAsia" w:eastAsia="宋体"/>
              </w:rPr>
              <w:t>分；较全面得</w:t>
            </w:r>
            <w:r>
              <w:rPr>
                <w:rFonts w:hint="eastAsia"/>
                <w:lang w:val="en-US" w:eastAsia="zh-CN"/>
              </w:rPr>
              <w:t>2</w:t>
            </w:r>
            <w:r>
              <w:rPr>
                <w:rFonts w:hint="eastAsia" w:eastAsia="宋体"/>
              </w:rPr>
              <w:t>-</w:t>
            </w:r>
            <w:r>
              <w:rPr>
                <w:rFonts w:hint="eastAsia"/>
                <w:lang w:val="en-US" w:eastAsia="zh-CN"/>
              </w:rPr>
              <w:t>1</w:t>
            </w:r>
            <w:r>
              <w:rPr>
                <w:rFonts w:hint="eastAsia" w:eastAsia="宋体"/>
              </w:rPr>
              <w:t>分；不全面得</w:t>
            </w:r>
            <w:r>
              <w:rPr>
                <w:rFonts w:hint="eastAsia"/>
                <w:lang w:val="en-US" w:eastAsia="zh-CN"/>
              </w:rPr>
              <w:t>1-0</w:t>
            </w:r>
            <w:r>
              <w:rPr>
                <w:rFonts w:hint="eastAsia" w:eastAsia="宋体"/>
              </w:rPr>
              <w:t>分</w:t>
            </w:r>
            <w:r>
              <w:rPr>
                <w:rFonts w:hint="eastAsia"/>
                <w:lang w:eastAsia="zh-CN"/>
              </w:rPr>
              <w:t>；</w:t>
            </w:r>
          </w:p>
          <w:p>
            <w:pPr>
              <w:spacing w:line="240" w:lineRule="auto"/>
              <w:jc w:val="left"/>
              <w:rPr>
                <w:rFonts w:hint="eastAsia" w:eastAsia="宋体"/>
                <w:lang w:eastAsia="zh-CN"/>
              </w:rPr>
            </w:pPr>
            <w:r>
              <w:rPr>
                <w:rFonts w:hint="eastAsia" w:eastAsia="宋体"/>
              </w:rPr>
              <w:t>针对性(</w:t>
            </w:r>
            <w:r>
              <w:rPr>
                <w:rFonts w:hint="eastAsia" w:eastAsia="宋体"/>
                <w:lang w:val="en-US" w:eastAsia="zh-CN"/>
              </w:rPr>
              <w:t>3</w:t>
            </w:r>
            <w:r>
              <w:rPr>
                <w:rFonts w:hint="eastAsia" w:eastAsia="宋体"/>
              </w:rPr>
              <w:t>分)：针对性强得</w:t>
            </w:r>
            <w:r>
              <w:rPr>
                <w:rFonts w:hint="eastAsia"/>
                <w:lang w:val="en-US" w:eastAsia="zh-CN"/>
              </w:rPr>
              <w:t>3-2</w:t>
            </w:r>
            <w:r>
              <w:rPr>
                <w:rFonts w:hint="eastAsia" w:eastAsia="宋体"/>
              </w:rPr>
              <w:t>分；针对性较强得</w:t>
            </w:r>
            <w:r>
              <w:rPr>
                <w:rFonts w:hint="eastAsia"/>
                <w:lang w:val="en-US" w:eastAsia="zh-CN"/>
              </w:rPr>
              <w:t>2-1</w:t>
            </w:r>
            <w:r>
              <w:rPr>
                <w:rFonts w:hint="eastAsia" w:eastAsia="宋体"/>
              </w:rPr>
              <w:t>分；针对性不强得</w:t>
            </w:r>
            <w:r>
              <w:rPr>
                <w:rFonts w:hint="eastAsia"/>
                <w:lang w:val="en-US" w:eastAsia="zh-CN"/>
              </w:rPr>
              <w:t>1-</w:t>
            </w:r>
            <w:r>
              <w:rPr>
                <w:rFonts w:hint="eastAsia" w:eastAsia="宋体"/>
              </w:rPr>
              <w:t>0分</w:t>
            </w:r>
            <w:r>
              <w:rPr>
                <w:rFonts w:hint="eastAsia"/>
                <w:lang w:eastAsia="zh-CN"/>
              </w:rPr>
              <w:t>；</w:t>
            </w:r>
          </w:p>
          <w:p>
            <w:pPr>
              <w:spacing w:line="240" w:lineRule="auto"/>
              <w:jc w:val="left"/>
              <w:rPr>
                <w:rFonts w:hint="eastAsia" w:eastAsia="宋体"/>
              </w:rPr>
            </w:pPr>
            <w:r>
              <w:rPr>
                <w:rFonts w:hint="eastAsia" w:eastAsia="宋体"/>
              </w:rPr>
              <w:t>可行性（</w:t>
            </w:r>
            <w:r>
              <w:rPr>
                <w:rFonts w:hint="eastAsia" w:eastAsia="宋体"/>
                <w:lang w:val="en-US" w:eastAsia="zh-CN"/>
              </w:rPr>
              <w:t>3</w:t>
            </w:r>
            <w:r>
              <w:rPr>
                <w:rFonts w:hint="eastAsia" w:eastAsia="宋体"/>
              </w:rPr>
              <w:t>分)：符合实际切实可行得</w:t>
            </w:r>
            <w:r>
              <w:rPr>
                <w:rFonts w:hint="eastAsia"/>
                <w:lang w:val="en-US" w:eastAsia="zh-CN"/>
              </w:rPr>
              <w:t>3-2</w:t>
            </w:r>
            <w:r>
              <w:rPr>
                <w:rFonts w:hint="eastAsia" w:eastAsia="宋体"/>
              </w:rPr>
              <w:t>分；可行性欠缺得</w:t>
            </w:r>
            <w:r>
              <w:rPr>
                <w:rFonts w:hint="eastAsia"/>
                <w:lang w:val="en-US" w:eastAsia="zh-CN"/>
              </w:rPr>
              <w:t>2-1</w:t>
            </w:r>
            <w:r>
              <w:rPr>
                <w:rFonts w:hint="eastAsia" w:eastAsia="宋体"/>
              </w:rPr>
              <w:t>分</w:t>
            </w:r>
            <w:r>
              <w:rPr>
                <w:rFonts w:hint="eastAsia"/>
                <w:lang w:eastAsia="zh-CN"/>
              </w:rPr>
              <w:t>，</w:t>
            </w:r>
            <w:r>
              <w:rPr>
                <w:rFonts w:hint="eastAsia" w:eastAsia="宋体"/>
              </w:rPr>
              <w:t>未提供的得0分。</w:t>
            </w:r>
            <w:r>
              <w:rPr>
                <w:rFonts w:hint="eastAsia" w:eastAsia="宋体"/>
                <w:b/>
                <w:bCs/>
              </w:rPr>
              <w:t>本项最高得</w:t>
            </w:r>
            <w:r>
              <w:rPr>
                <w:rFonts w:hint="eastAsia"/>
                <w:b/>
                <w:bCs/>
                <w:lang w:val="en-US" w:eastAsia="zh-CN"/>
              </w:rPr>
              <w:t>10</w:t>
            </w:r>
            <w:r>
              <w:rPr>
                <w:rFonts w:hint="eastAsia" w:eastAsia="宋体"/>
                <w:b/>
                <w:bCs/>
              </w:rPr>
              <w:t>分，最低得0分。</w:t>
            </w:r>
          </w:p>
        </w:tc>
      </w:tr>
    </w:tbl>
    <w:p>
      <w:pPr>
        <w:pStyle w:val="19"/>
        <w:rPr>
          <w:rFonts w:hint="eastAsia" w:ascii="宋体" w:hAnsi="宋体" w:eastAsia="宋体" w:cs="宋体"/>
          <w:color w:val="auto"/>
          <w:sz w:val="24"/>
          <w:szCs w:val="24"/>
          <w:highlight w:val="none"/>
        </w:rPr>
      </w:pPr>
    </w:p>
    <w:p>
      <w:pPr>
        <w:pStyle w:val="1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注：评分结果精确到小数点后</w:t>
      </w:r>
      <w:r>
        <w:rPr>
          <w:rFonts w:hint="eastAsia" w:ascii="宋体" w:hAnsi="宋体" w:eastAsia="宋体" w:cs="宋体"/>
          <w:color w:val="auto"/>
          <w:sz w:val="24"/>
          <w:szCs w:val="24"/>
          <w:highlight w:val="none"/>
          <w:lang w:eastAsia="zh-CN"/>
        </w:rPr>
        <w:t>二</w:t>
      </w:r>
      <w:r>
        <w:rPr>
          <w:rFonts w:hint="eastAsia" w:ascii="宋体" w:hAnsi="宋体" w:eastAsia="宋体" w:cs="宋体"/>
          <w:color w:val="auto"/>
          <w:sz w:val="24"/>
          <w:szCs w:val="24"/>
          <w:highlight w:val="none"/>
        </w:rPr>
        <w:t>位。</w:t>
      </w:r>
    </w:p>
    <w:p>
      <w:pPr>
        <w:numPr>
          <w:ilvl w:val="0"/>
          <w:numId w:val="0"/>
        </w:numPr>
        <w:jc w:val="center"/>
        <w:rPr>
          <w:rFonts w:hint="eastAsia" w:ascii="宋体" w:hAnsi="宋体" w:eastAsia="宋体" w:cs="宋体"/>
          <w:b/>
          <w:bCs/>
          <w:color w:val="auto"/>
          <w:sz w:val="30"/>
          <w:szCs w:val="30"/>
          <w:highlight w:val="none"/>
          <w:lang w:eastAsia="zh-CN"/>
        </w:rPr>
      </w:pPr>
    </w:p>
    <w:p>
      <w:pPr>
        <w:numPr>
          <w:ilvl w:val="0"/>
          <w:numId w:val="0"/>
        </w:numPr>
        <w:jc w:val="center"/>
        <w:rPr>
          <w:rFonts w:hint="eastAsia" w:ascii="宋体" w:hAnsi="宋体" w:eastAsia="宋体" w:cs="宋体"/>
          <w:b/>
          <w:bCs/>
          <w:color w:val="auto"/>
          <w:sz w:val="30"/>
          <w:szCs w:val="30"/>
          <w:highlight w:val="none"/>
          <w:lang w:eastAsia="zh-CN"/>
        </w:rPr>
      </w:pPr>
    </w:p>
    <w:p>
      <w:pPr>
        <w:numPr>
          <w:ilvl w:val="0"/>
          <w:numId w:val="0"/>
        </w:numPr>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lang w:eastAsia="zh-CN"/>
        </w:rPr>
        <w:t>第五章</w:t>
      </w:r>
      <w:r>
        <w:rPr>
          <w:rFonts w:hint="eastAsia" w:ascii="宋体" w:hAnsi="宋体" w:eastAsia="宋体" w:cs="宋体"/>
          <w:b/>
          <w:bCs/>
          <w:color w:val="auto"/>
          <w:sz w:val="30"/>
          <w:szCs w:val="30"/>
          <w:highlight w:val="none"/>
          <w:lang w:val="en-US" w:eastAsia="zh-CN"/>
        </w:rPr>
        <w:t xml:space="preserve"> </w:t>
      </w:r>
      <w:r>
        <w:rPr>
          <w:rFonts w:hint="eastAsia" w:ascii="宋体" w:hAnsi="宋体" w:eastAsia="宋体" w:cs="宋体"/>
          <w:b/>
          <w:bCs/>
          <w:color w:val="auto"/>
          <w:sz w:val="30"/>
          <w:szCs w:val="30"/>
          <w:highlight w:val="none"/>
        </w:rPr>
        <w:t>拟签订的合同文本</w:t>
      </w:r>
    </w:p>
    <w:p>
      <w:pPr>
        <w:pStyle w:val="7"/>
        <w:snapToGrid w:val="0"/>
        <w:spacing w:before="120" w:beforeLines="0" w:after="120" w:afterLines="0"/>
        <w:rPr>
          <w:rFonts w:hint="eastAsia" w:ascii="宋体" w:hAnsi="宋体" w:eastAsia="宋体" w:cs="宋体"/>
          <w:b/>
          <w:color w:val="auto"/>
          <w:sz w:val="24"/>
          <w:szCs w:val="24"/>
          <w:highlight w:val="none"/>
        </w:rPr>
      </w:pPr>
    </w:p>
    <w:p>
      <w:pPr>
        <w:keepNext w:val="0"/>
        <w:keepLines w:val="0"/>
        <w:widowControl w:val="0"/>
        <w:suppressLineNumbers w:val="0"/>
        <w:autoSpaceDE w:val="0"/>
        <w:autoSpaceDN w:val="0"/>
        <w:spacing w:before="0" w:beforeLines="0" w:beforeAutospacing="0" w:after="0" w:afterLines="0" w:afterAutospacing="0"/>
        <w:ind w:left="0" w:right="0"/>
        <w:jc w:val="center"/>
        <w:rPr>
          <w:rFonts w:hint="eastAsia" w:ascii="宋体" w:hAnsi="宋体" w:eastAsia="宋体" w:cs="宋体"/>
          <w:b/>
          <w:bCs w:val="0"/>
          <w:color w:val="auto"/>
          <w:kern w:val="0"/>
          <w:sz w:val="52"/>
          <w:szCs w:val="36"/>
          <w:highlight w:val="none"/>
          <w:lang w:val="en-US" w:eastAsia="zh-CN" w:bidi="ar"/>
        </w:rPr>
      </w:pPr>
    </w:p>
    <w:p>
      <w:pPr>
        <w:keepNext w:val="0"/>
        <w:keepLines w:val="0"/>
        <w:widowControl w:val="0"/>
        <w:suppressLineNumbers w:val="0"/>
        <w:autoSpaceDE w:val="0"/>
        <w:autoSpaceDN w:val="0"/>
        <w:spacing w:before="0" w:beforeLines="0" w:beforeAutospacing="0" w:after="0" w:afterLines="0" w:afterAutospacing="0"/>
        <w:ind w:left="0" w:right="0"/>
        <w:jc w:val="center"/>
        <w:rPr>
          <w:rFonts w:hint="eastAsia" w:ascii="宋体" w:hAnsi="宋体" w:eastAsia="宋体" w:cs="宋体"/>
          <w:b/>
          <w:bCs w:val="0"/>
          <w:color w:val="auto"/>
          <w:sz w:val="52"/>
          <w:szCs w:val="52"/>
          <w:highlight w:val="none"/>
          <w:lang w:eastAsia="zh-CN"/>
        </w:rPr>
      </w:pPr>
      <w:r>
        <w:rPr>
          <w:rFonts w:hint="eastAsia" w:ascii="宋体" w:hAnsi="宋体" w:eastAsia="宋体" w:cs="宋体"/>
          <w:b/>
          <w:bCs w:val="0"/>
          <w:color w:val="auto"/>
          <w:kern w:val="0"/>
          <w:sz w:val="52"/>
          <w:szCs w:val="52"/>
          <w:highlight w:val="none"/>
          <w:lang w:val="en-US" w:eastAsia="zh-CN" w:bidi="ar"/>
        </w:rPr>
        <w:t>政 府 采 购 合 同</w:t>
      </w:r>
    </w:p>
    <w:p>
      <w:pPr>
        <w:keepNext w:val="0"/>
        <w:keepLines w:val="0"/>
        <w:widowControl w:val="0"/>
        <w:suppressLineNumbers w:val="0"/>
        <w:autoSpaceDE w:val="0"/>
        <w:autoSpaceDN w:val="0"/>
        <w:spacing w:before="0" w:beforeLines="0" w:beforeAutospacing="0" w:after="0" w:afterLines="0" w:afterAutospacing="0"/>
        <w:ind w:left="0" w:right="0" w:firstLine="315"/>
        <w:jc w:val="left"/>
        <w:rPr>
          <w:rFonts w:hint="eastAsia" w:ascii="宋体" w:hAnsi="宋体" w:eastAsia="宋体" w:cs="宋体"/>
          <w:b/>
          <w:color w:val="auto"/>
          <w:sz w:val="36"/>
          <w:szCs w:val="36"/>
          <w:highlight w:val="none"/>
          <w:lang w:eastAsia="zh-CN"/>
        </w:rPr>
      </w:pPr>
    </w:p>
    <w:p>
      <w:pPr>
        <w:keepNext w:val="0"/>
        <w:keepLines w:val="0"/>
        <w:widowControl w:val="0"/>
        <w:suppressLineNumbers w:val="0"/>
        <w:autoSpaceDE w:val="0"/>
        <w:autoSpaceDN w:val="0"/>
        <w:spacing w:before="0" w:beforeLines="0" w:beforeAutospacing="0" w:after="0" w:afterLines="0" w:afterAutospacing="0"/>
        <w:ind w:right="0"/>
        <w:jc w:val="left"/>
        <w:rPr>
          <w:rFonts w:hint="eastAsia" w:ascii="宋体" w:hAnsi="宋体" w:eastAsia="宋体" w:cs="宋体"/>
          <w:b/>
          <w:color w:val="auto"/>
          <w:sz w:val="36"/>
          <w:szCs w:val="36"/>
          <w:highlight w:val="none"/>
          <w:lang w:eastAsia="zh-CN"/>
        </w:rPr>
      </w:pPr>
    </w:p>
    <w:p>
      <w:pPr>
        <w:keepNext w:val="0"/>
        <w:keepLines w:val="0"/>
        <w:widowControl w:val="0"/>
        <w:suppressLineNumbers w:val="0"/>
        <w:autoSpaceDE w:val="0"/>
        <w:autoSpaceDN w:val="0"/>
        <w:spacing w:before="0" w:beforeLines="0" w:beforeAutospacing="0" w:after="0" w:afterLines="0" w:afterAutospacing="0"/>
        <w:ind w:left="0" w:right="0" w:firstLine="630" w:firstLineChars="196"/>
        <w:jc w:val="left"/>
        <w:rPr>
          <w:rFonts w:hint="eastAsia" w:ascii="宋体" w:hAnsi="宋体" w:eastAsia="宋体" w:cs="宋体"/>
          <w:b/>
          <w:bCs w:val="0"/>
          <w:color w:val="auto"/>
          <w:kern w:val="0"/>
          <w:sz w:val="32"/>
          <w:szCs w:val="32"/>
          <w:highlight w:val="none"/>
          <w:lang w:val="en-US" w:eastAsia="zh-CN" w:bidi="ar"/>
        </w:rPr>
      </w:pPr>
      <w:r>
        <w:rPr>
          <w:rFonts w:hint="eastAsia" w:ascii="宋体" w:hAnsi="宋体" w:eastAsia="宋体" w:cs="宋体"/>
          <w:b/>
          <w:bCs w:val="0"/>
          <w:color w:val="auto"/>
          <w:kern w:val="0"/>
          <w:sz w:val="32"/>
          <w:szCs w:val="32"/>
          <w:highlight w:val="none"/>
          <w:lang w:val="en-US" w:eastAsia="zh-CN" w:bidi="ar"/>
        </w:rPr>
        <w:t>项目编号：</w:t>
      </w:r>
      <w:r>
        <w:rPr>
          <w:rFonts w:hint="eastAsia" w:ascii="宋体" w:hAnsi="宋体" w:cs="宋体"/>
          <w:b/>
          <w:bCs w:val="0"/>
          <w:color w:val="auto"/>
          <w:kern w:val="0"/>
          <w:sz w:val="32"/>
          <w:szCs w:val="32"/>
          <w:highlight w:val="none"/>
          <w:lang w:val="en-US" w:eastAsia="zh-CN" w:bidi="ar"/>
        </w:rPr>
        <w:t>徐采公（2021）YZJS（Q）024</w:t>
      </w:r>
    </w:p>
    <w:p>
      <w:pPr>
        <w:keepNext w:val="0"/>
        <w:keepLines w:val="0"/>
        <w:widowControl w:val="0"/>
        <w:suppressLineNumbers w:val="0"/>
        <w:autoSpaceDE w:val="0"/>
        <w:autoSpaceDN w:val="0"/>
        <w:spacing w:before="0" w:beforeLines="0" w:beforeAutospacing="0" w:after="0" w:afterLines="0" w:afterAutospacing="0"/>
        <w:ind w:left="0" w:right="0" w:firstLine="630" w:firstLineChars="196"/>
        <w:jc w:val="left"/>
        <w:rPr>
          <w:rFonts w:hint="eastAsia" w:ascii="宋体" w:hAnsi="宋体" w:eastAsia="宋体" w:cs="宋体"/>
          <w:b/>
          <w:bCs w:val="0"/>
          <w:color w:val="auto"/>
          <w:sz w:val="32"/>
          <w:szCs w:val="32"/>
          <w:highlight w:val="none"/>
          <w:lang w:eastAsia="zh-CN"/>
        </w:rPr>
      </w:pPr>
    </w:p>
    <w:p>
      <w:pPr>
        <w:keepNext w:val="0"/>
        <w:keepLines w:val="0"/>
        <w:widowControl w:val="0"/>
        <w:suppressLineNumbers w:val="0"/>
        <w:autoSpaceDE w:val="0"/>
        <w:autoSpaceDN w:val="0"/>
        <w:spacing w:before="0" w:beforeLines="0" w:beforeAutospacing="0" w:after="0" w:afterLines="0" w:afterAutospacing="0"/>
        <w:ind w:left="0" w:right="0" w:firstLine="630" w:firstLineChars="196"/>
        <w:jc w:val="left"/>
        <w:rPr>
          <w:rFonts w:hint="eastAsia" w:ascii="宋体" w:hAnsi="宋体" w:cs="宋体"/>
          <w:b/>
          <w:bCs w:val="0"/>
          <w:color w:val="auto"/>
          <w:kern w:val="0"/>
          <w:sz w:val="32"/>
          <w:szCs w:val="32"/>
          <w:highlight w:val="none"/>
          <w:lang w:val="en-US" w:eastAsia="zh-CN" w:bidi="ar"/>
        </w:rPr>
      </w:pPr>
      <w:r>
        <w:rPr>
          <w:rFonts w:hint="eastAsia" w:ascii="宋体" w:hAnsi="宋体" w:eastAsia="宋体" w:cs="宋体"/>
          <w:b/>
          <w:bCs w:val="0"/>
          <w:color w:val="auto"/>
          <w:kern w:val="0"/>
          <w:sz w:val="32"/>
          <w:szCs w:val="32"/>
          <w:highlight w:val="none"/>
          <w:lang w:val="en-US" w:eastAsia="zh-CN" w:bidi="ar"/>
        </w:rPr>
        <w:t>项目名称：</w:t>
      </w:r>
      <w:r>
        <w:rPr>
          <w:rFonts w:hint="eastAsia" w:ascii="宋体" w:hAnsi="宋体" w:cs="宋体"/>
          <w:b/>
          <w:bCs w:val="0"/>
          <w:color w:val="auto"/>
          <w:kern w:val="0"/>
          <w:sz w:val="32"/>
          <w:szCs w:val="32"/>
          <w:highlight w:val="none"/>
          <w:lang w:val="en-US" w:eastAsia="zh-CN" w:bidi="ar"/>
        </w:rPr>
        <w:t>垃圾分类收集亭提档升级</w:t>
      </w:r>
    </w:p>
    <w:p>
      <w:pPr>
        <w:pStyle w:val="2"/>
        <w:rPr>
          <w:rFonts w:hint="eastAsia"/>
          <w:lang w:eastAsia="zh-CN"/>
        </w:rPr>
      </w:pPr>
    </w:p>
    <w:p>
      <w:pPr>
        <w:keepNext w:val="0"/>
        <w:keepLines w:val="0"/>
        <w:widowControl w:val="0"/>
        <w:suppressLineNumbers w:val="0"/>
        <w:autoSpaceDE w:val="0"/>
        <w:autoSpaceDN w:val="0"/>
        <w:spacing w:before="0" w:beforeLines="0" w:beforeAutospacing="0" w:after="0" w:afterLines="0" w:afterAutospacing="0"/>
        <w:ind w:left="0" w:right="0" w:firstLine="630" w:firstLineChars="196"/>
        <w:jc w:val="left"/>
        <w:rPr>
          <w:rFonts w:hint="eastAsia" w:ascii="宋体" w:hAnsi="宋体" w:eastAsia="宋体" w:cs="宋体"/>
          <w:b/>
          <w:bCs w:val="0"/>
          <w:color w:val="auto"/>
          <w:sz w:val="32"/>
          <w:szCs w:val="32"/>
          <w:highlight w:val="none"/>
          <w:lang w:eastAsia="zh-CN"/>
        </w:rPr>
      </w:pPr>
      <w:r>
        <w:rPr>
          <w:rFonts w:hint="eastAsia" w:ascii="宋体" w:hAnsi="宋体" w:eastAsia="宋体" w:cs="宋体"/>
          <w:b/>
          <w:bCs w:val="0"/>
          <w:color w:val="auto"/>
          <w:kern w:val="0"/>
          <w:sz w:val="32"/>
          <w:szCs w:val="32"/>
          <w:highlight w:val="none"/>
          <w:lang w:val="en-US" w:eastAsia="zh-CN" w:bidi="ar"/>
        </w:rPr>
        <w:t>采购单位：</w:t>
      </w:r>
      <w:r>
        <w:rPr>
          <w:rFonts w:hint="eastAsia" w:ascii="宋体" w:hAnsi="宋体" w:cs="宋体"/>
          <w:b/>
          <w:bCs w:val="0"/>
          <w:color w:val="auto"/>
          <w:kern w:val="0"/>
          <w:sz w:val="32"/>
          <w:szCs w:val="32"/>
          <w:highlight w:val="none"/>
          <w:lang w:val="en-US" w:eastAsia="zh-CN" w:bidi="ar"/>
        </w:rPr>
        <w:t>徐州市鼓楼区城市管理局</w:t>
      </w:r>
    </w:p>
    <w:p>
      <w:pPr>
        <w:keepNext w:val="0"/>
        <w:keepLines w:val="0"/>
        <w:widowControl w:val="0"/>
        <w:suppressLineNumbers w:val="0"/>
        <w:autoSpaceDE w:val="0"/>
        <w:autoSpaceDN w:val="0"/>
        <w:spacing w:before="0" w:beforeLines="0" w:beforeAutospacing="0" w:after="0" w:afterLines="0" w:afterAutospacing="0"/>
        <w:ind w:left="0" w:right="0" w:firstLine="630" w:firstLineChars="196"/>
        <w:jc w:val="left"/>
        <w:rPr>
          <w:rFonts w:hint="eastAsia" w:ascii="宋体" w:hAnsi="宋体" w:eastAsia="宋体" w:cs="宋体"/>
          <w:b/>
          <w:bCs w:val="0"/>
          <w:color w:val="auto"/>
          <w:sz w:val="32"/>
          <w:szCs w:val="32"/>
          <w:highlight w:val="none"/>
          <w:lang w:eastAsia="zh-CN"/>
        </w:rPr>
      </w:pPr>
    </w:p>
    <w:p>
      <w:pPr>
        <w:keepNext w:val="0"/>
        <w:keepLines w:val="0"/>
        <w:widowControl w:val="0"/>
        <w:suppressLineNumbers w:val="0"/>
        <w:autoSpaceDE w:val="0"/>
        <w:autoSpaceDN w:val="0"/>
        <w:spacing w:before="0" w:beforeLines="0" w:beforeAutospacing="0" w:after="0" w:afterLines="0" w:afterAutospacing="0"/>
        <w:ind w:left="0" w:right="0" w:firstLine="630" w:firstLineChars="196"/>
        <w:jc w:val="left"/>
        <w:rPr>
          <w:rFonts w:hint="eastAsia" w:ascii="宋体" w:hAnsi="宋体" w:eastAsia="宋体" w:cs="宋体"/>
          <w:b/>
          <w:bCs w:val="0"/>
          <w:color w:val="auto"/>
          <w:sz w:val="32"/>
          <w:szCs w:val="32"/>
          <w:highlight w:val="none"/>
          <w:lang w:eastAsia="zh-CN"/>
        </w:rPr>
      </w:pPr>
      <w:r>
        <w:rPr>
          <w:rFonts w:hint="eastAsia" w:ascii="宋体" w:hAnsi="宋体" w:eastAsia="宋体" w:cs="宋体"/>
          <w:b/>
          <w:bCs w:val="0"/>
          <w:color w:val="auto"/>
          <w:kern w:val="0"/>
          <w:sz w:val="32"/>
          <w:szCs w:val="32"/>
          <w:highlight w:val="none"/>
          <w:lang w:val="en-US" w:eastAsia="zh-CN" w:bidi="ar"/>
        </w:rPr>
        <w:t>中标</w:t>
      </w:r>
      <w:r>
        <w:rPr>
          <w:rFonts w:hint="eastAsia" w:ascii="宋体" w:hAnsi="宋体" w:cs="宋体"/>
          <w:b/>
          <w:bCs w:val="0"/>
          <w:color w:val="auto"/>
          <w:kern w:val="0"/>
          <w:sz w:val="32"/>
          <w:szCs w:val="32"/>
          <w:highlight w:val="none"/>
          <w:lang w:val="en-US" w:eastAsia="zh-CN" w:bidi="ar"/>
        </w:rPr>
        <w:t>投标人</w:t>
      </w:r>
      <w:r>
        <w:rPr>
          <w:rFonts w:hint="eastAsia" w:ascii="宋体" w:hAnsi="宋体" w:eastAsia="宋体" w:cs="宋体"/>
          <w:b/>
          <w:bCs w:val="0"/>
          <w:color w:val="auto"/>
          <w:kern w:val="0"/>
          <w:sz w:val="32"/>
          <w:szCs w:val="32"/>
          <w:highlight w:val="none"/>
          <w:lang w:val="en-US" w:eastAsia="zh-CN" w:bidi="ar"/>
        </w:rPr>
        <w:t>：</w:t>
      </w:r>
    </w:p>
    <w:p>
      <w:pPr>
        <w:keepNext w:val="0"/>
        <w:keepLines w:val="0"/>
        <w:widowControl w:val="0"/>
        <w:suppressLineNumbers w:val="0"/>
        <w:autoSpaceDE w:val="0"/>
        <w:autoSpaceDN w:val="0"/>
        <w:spacing w:before="0" w:beforeLines="0" w:beforeAutospacing="0" w:after="0" w:afterLines="0" w:afterAutospacing="0"/>
        <w:ind w:left="0" w:right="0" w:firstLine="630" w:firstLineChars="196"/>
        <w:jc w:val="left"/>
        <w:rPr>
          <w:rFonts w:hint="eastAsia" w:ascii="宋体" w:hAnsi="宋体" w:eastAsia="宋体" w:cs="宋体"/>
          <w:b/>
          <w:bCs w:val="0"/>
          <w:color w:val="auto"/>
          <w:sz w:val="32"/>
          <w:szCs w:val="32"/>
          <w:highlight w:val="none"/>
          <w:lang w:eastAsia="zh-CN"/>
        </w:rPr>
      </w:pPr>
    </w:p>
    <w:p>
      <w:pPr>
        <w:keepNext w:val="0"/>
        <w:keepLines w:val="0"/>
        <w:widowControl w:val="0"/>
        <w:suppressLineNumbers w:val="0"/>
        <w:autoSpaceDE w:val="0"/>
        <w:autoSpaceDN w:val="0"/>
        <w:spacing w:before="0" w:beforeLines="0" w:beforeAutospacing="0" w:after="0" w:afterLines="0" w:afterAutospacing="0"/>
        <w:ind w:left="0" w:right="0" w:firstLine="630" w:firstLineChars="196"/>
        <w:jc w:val="left"/>
        <w:rPr>
          <w:rFonts w:hint="eastAsia" w:ascii="宋体" w:hAnsi="宋体" w:eastAsia="宋体" w:cs="宋体"/>
          <w:b/>
          <w:bCs w:val="0"/>
          <w:color w:val="auto"/>
          <w:sz w:val="32"/>
          <w:szCs w:val="32"/>
          <w:highlight w:val="none"/>
          <w:lang w:eastAsia="zh-CN"/>
        </w:rPr>
      </w:pPr>
      <w:r>
        <w:rPr>
          <w:rFonts w:hint="eastAsia" w:ascii="宋体" w:hAnsi="宋体" w:eastAsia="宋体" w:cs="宋体"/>
          <w:b/>
          <w:bCs w:val="0"/>
          <w:color w:val="auto"/>
          <w:kern w:val="0"/>
          <w:sz w:val="32"/>
          <w:szCs w:val="32"/>
          <w:highlight w:val="none"/>
          <w:lang w:val="en-US" w:eastAsia="zh-CN" w:bidi="ar"/>
        </w:rPr>
        <w:t>签订日期：    年  月  日</w:t>
      </w:r>
    </w:p>
    <w:p>
      <w:pPr>
        <w:rPr>
          <w:rFonts w:hint="eastAsia" w:ascii="宋体" w:hAnsi="宋体" w:eastAsia="宋体" w:cs="宋体"/>
          <w:b/>
          <w:bCs/>
          <w:color w:val="auto"/>
          <w:sz w:val="24"/>
          <w:highlight w:val="none"/>
        </w:rPr>
        <w:sectPr>
          <w:headerReference r:id="rId5" w:type="default"/>
          <w:footerReference r:id="rId6"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docGrid w:type="lines" w:linePitch="319" w:charSpace="0"/>
        </w:sectPr>
      </w:pPr>
    </w:p>
    <w:p>
      <w:pPr>
        <w:jc w:val="center"/>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合同通用条款</w:t>
      </w:r>
    </w:p>
    <w:p>
      <w:pPr>
        <w:jc w:val="center"/>
        <w:rPr>
          <w:rFonts w:hint="eastAsia" w:ascii="宋体" w:hAnsi="宋体" w:eastAsia="宋体" w:cs="宋体"/>
          <w:color w:val="auto"/>
          <w:sz w:val="24"/>
          <w:highlight w:val="none"/>
        </w:rPr>
      </w:pPr>
    </w:p>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目录</w:t>
      </w:r>
    </w:p>
    <w:p>
      <w:pPr>
        <w:jc w:val="cente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第一条    定义</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第二条    合同范围</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第三条    价格</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第四条    支付</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第五条    交货</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第六条    包装和标记</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第七条    技术资料</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第八条    安装</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第九条    验收</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第十条    售后服务和技术培训</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第十一条  索赔</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第十二条  不可抗力</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第十三条  合同的终止</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第十四条  争议的解决</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第十五条  适用法律</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第十六条  权利保证</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第十七条  保密</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第十八条  合同生效及其他</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jc w:val="center"/>
        <w:rPr>
          <w:rFonts w:hint="eastAsia" w:ascii="宋体" w:hAnsi="宋体" w:eastAsia="宋体" w:cs="宋体"/>
          <w:color w:val="auto"/>
          <w:sz w:val="30"/>
          <w:szCs w:val="30"/>
          <w:highlight w:val="none"/>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docGrid w:type="lines" w:linePitch="319" w:charSpace="0"/>
        </w:sectPr>
      </w:pPr>
    </w:p>
    <w:p>
      <w:pPr>
        <w:jc w:val="center"/>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合同通用条款</w:t>
      </w:r>
    </w:p>
    <w:p>
      <w:pPr>
        <w:jc w:val="center"/>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第一条  定义</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除本合同上下文中另有规定外，下列各词语定义如下： </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1.1“买方”见《合同专用条款》。</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1.2“卖方”见《合同专用条款》。</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1.3“工作现场”见《合同专用条款》。</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1.4“合同标的”见合同附件4。</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1.5“技术资料”是指与合同标的的安装、试运行、验收、操作以及维修有关的技术指标、规格、图纸和文件。</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1.6“技术培训”是指在合同标的的安装、试运行、验收、操作、维修以及其他方面卖方给予买方的培训。</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1.7“安装”是指有关合同标的、备件和材料的安装工作。</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1.8“试运行”是指为验明合同标的的技术性能，在安装完毕后对合同标的进行的测试。</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1.9“验收”是指根据合同附件2的规定进行的，用以确定合同标的是否达到合同附件2 所规定的技术性能的检验，以及合同标的在达到合同附件2 规定的技术性能之后，买方对合同标的的接受。</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1.10“合同货币”见《合同专用条款》。</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1.11“合同价格”见合同附件4。</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1.12“合同生效日”见《合同协议书》（合同附件1）第5 条。</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1.13“日”是指日历天数。</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1.14“月”是指日历月数。</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1.15“采购需求” 见合同附件6。</w:t>
      </w: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第二条 合同范围</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2.1买方同意从卖方购买、卖方同意向买方出售和提供的合同标的以及相关售后服务、技术培训和技术资料。</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2.2数量：见招标文件第六章《采购需求》中“三、数量要求”。</w:t>
      </w: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第三条 价格</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 合同总价见《合同专用条款》。</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 合同总价是固定价格。</w:t>
      </w: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第四条 支付（</w:t>
      </w:r>
      <w:r>
        <w:rPr>
          <w:rFonts w:hint="eastAsia" w:ascii="宋体" w:hAnsi="宋体" w:eastAsia="宋体" w:cs="宋体"/>
          <w:color w:val="auto"/>
          <w:kern w:val="0"/>
          <w:sz w:val="24"/>
          <w:highlight w:val="none"/>
        </w:rPr>
        <w:t>采购资金的支付方式、时间、条件</w:t>
      </w:r>
      <w:r>
        <w:rPr>
          <w:rFonts w:hint="eastAsia" w:ascii="宋体" w:hAnsi="宋体" w:eastAsia="宋体" w:cs="宋体"/>
          <w:color w:val="auto"/>
          <w:sz w:val="24"/>
          <w:highlight w:val="none"/>
        </w:rPr>
        <w:t>）</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4.1买方应按照《合同专用条款》的规定进行支付。如果卖方未能按照《合同专用条款》的要求提交支付文件，由此产生的所有责任和发生的所有费用，均由卖方承担。</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4.2卖方有义务根据合同的规定向买方支付违约金和/或赔偿金时，买方有权从任何一笔应付款或卖方的履约保证金中予以扣除。</w:t>
      </w: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第五条 交货（</w:t>
      </w:r>
      <w:r>
        <w:rPr>
          <w:rFonts w:hint="eastAsia" w:ascii="宋体" w:hAnsi="宋体" w:eastAsia="宋体" w:cs="宋体"/>
          <w:color w:val="auto"/>
          <w:kern w:val="0"/>
          <w:sz w:val="24"/>
          <w:highlight w:val="none"/>
        </w:rPr>
        <w:t>货物、服务提供的时间、地点、方式</w:t>
      </w:r>
      <w:r>
        <w:rPr>
          <w:rFonts w:hint="eastAsia" w:ascii="宋体" w:hAnsi="宋体" w:eastAsia="宋体" w:cs="宋体"/>
          <w:color w:val="auto"/>
          <w:sz w:val="24"/>
          <w:highlight w:val="none"/>
        </w:rPr>
        <w:t>）</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5.1交货期限、批次和交货条件见《合同专用条款》。</w:t>
      </w:r>
    </w:p>
    <w:p>
      <w:pPr>
        <w:ind w:firstLine="480" w:firstLineChars="200"/>
        <w:rPr>
          <w:rFonts w:hint="eastAsia" w:ascii="宋体" w:hAnsi="宋体" w:eastAsia="宋体" w:cs="宋体"/>
          <w:strike/>
          <w:color w:val="auto"/>
          <w:sz w:val="24"/>
          <w:highlight w:val="none"/>
        </w:rPr>
      </w:pPr>
      <w:r>
        <w:rPr>
          <w:rFonts w:hint="eastAsia" w:ascii="宋体" w:hAnsi="宋体" w:eastAsia="宋体" w:cs="宋体"/>
          <w:color w:val="auto"/>
          <w:sz w:val="24"/>
          <w:highlight w:val="none"/>
        </w:rPr>
        <w:t>5.2交货地点见《合同专用条款》。</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5.3在《合同专用条款》规定的期限内，卖方应将合同号、合同标的的名称、数量、金额、包装件数以及交货的时间以书面方式通知买方。</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5.4卖方应按下列规定交付合同标的：</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5.4.1卖方负责将合同标的送至《合同专用条款》规定的交货地点。</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5.4.2买方出具的收据日期是合同标的的实际交货日期。</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5.5如果卖方未能按照合同规定的交货期限交货，卖方应按《合同专用条款》的规定支付违约金或提供其他救济。</w:t>
      </w: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第六条 包装与标记</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6.1除非合同中另有规定，合同标的应保持产品制造企业原包装完好。</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6.2在合同标的的每件包装中都应附有下列单据： </w:t>
      </w:r>
    </w:p>
    <w:p>
      <w:pPr>
        <w:ind w:firstLine="480" w:firstLineChars="200"/>
        <w:rPr>
          <w:rFonts w:hint="eastAsia" w:ascii="宋体" w:hAnsi="宋体" w:eastAsia="宋体" w:cs="宋体"/>
          <w:strike/>
          <w:color w:val="auto"/>
          <w:sz w:val="24"/>
          <w:highlight w:val="none"/>
        </w:rPr>
      </w:pPr>
      <w:r>
        <w:rPr>
          <w:rFonts w:hint="eastAsia" w:ascii="宋体" w:hAnsi="宋体" w:eastAsia="宋体" w:cs="宋体"/>
          <w:color w:val="auto"/>
          <w:sz w:val="24"/>
          <w:highlight w:val="none"/>
        </w:rPr>
        <w:t xml:space="preserve">A. 装箱明细单； </w:t>
      </w:r>
    </w:p>
    <w:p>
      <w:pPr>
        <w:ind w:firstLine="480" w:firstLineChars="200"/>
        <w:rPr>
          <w:rFonts w:hint="eastAsia" w:ascii="宋体" w:hAnsi="宋体" w:eastAsia="宋体" w:cs="宋体"/>
          <w:strike/>
          <w:color w:val="auto"/>
          <w:sz w:val="24"/>
          <w:highlight w:val="none"/>
        </w:rPr>
      </w:pPr>
      <w:r>
        <w:rPr>
          <w:rFonts w:hint="eastAsia" w:ascii="宋体" w:hAnsi="宋体" w:eastAsia="宋体" w:cs="宋体"/>
          <w:color w:val="auto"/>
          <w:sz w:val="24"/>
          <w:highlight w:val="none"/>
        </w:rPr>
        <w:t xml:space="preserve">B. 质量合格证； </w:t>
      </w:r>
    </w:p>
    <w:p>
      <w:pPr>
        <w:ind w:firstLine="480" w:firstLineChars="200"/>
        <w:rPr>
          <w:rFonts w:hint="eastAsia" w:ascii="宋体" w:hAnsi="宋体" w:eastAsia="宋体" w:cs="宋体"/>
          <w:strike/>
          <w:color w:val="auto"/>
          <w:sz w:val="24"/>
          <w:highlight w:val="none"/>
        </w:rPr>
      </w:pPr>
      <w:r>
        <w:rPr>
          <w:rFonts w:hint="eastAsia" w:ascii="宋体" w:hAnsi="宋体" w:eastAsia="宋体" w:cs="宋体"/>
          <w:color w:val="auto"/>
          <w:sz w:val="24"/>
          <w:highlight w:val="none"/>
        </w:rPr>
        <w:t>C. 技术资料。</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6.3凡由于对合同标的包装不当或采取防护措施不充分致使合同标的损坏或丢失时，卖方均应负责修理、更换或赔偿。如果因卖方在包装和标记方面发生的错误或混淆不清造成合同标的的误运，卖方应承担由此发生的额外费用。</w:t>
      </w: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第七条 技术资料</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7.1 技术资料交付的期限和方式见《合同专用条款》。</w:t>
      </w: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第八条 安装</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8.1 合同标的的安装期限见《合同专用条款》。</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8.2 项目实施方案见合同附件7。</w:t>
      </w: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第九条 验收</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9.1合同标的的试运行、验收见《合同专用条款》。</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9.2如果合同附件2 所规定的所有技术性能在验收中都已经达到，双方应在验收合格后5 日内签署验收书。</w:t>
      </w:r>
    </w:p>
    <w:p>
      <w:pPr>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9.3</w:t>
      </w:r>
      <w:r>
        <w:rPr>
          <w:rFonts w:hint="eastAsia" w:ascii="宋体" w:hAnsi="宋体" w:eastAsia="宋体" w:cs="宋体"/>
          <w:color w:val="auto"/>
          <w:kern w:val="0"/>
          <w:sz w:val="24"/>
          <w:highlight w:val="none"/>
        </w:rPr>
        <w:t>验收标准（</w:t>
      </w:r>
      <w:r>
        <w:rPr>
          <w:rFonts w:hint="eastAsia" w:ascii="宋体" w:hAnsi="宋体" w:eastAsia="宋体" w:cs="宋体"/>
          <w:color w:val="auto"/>
          <w:sz w:val="24"/>
          <w:highlight w:val="none"/>
        </w:rPr>
        <w:t>验收要求、验收标准和程序）：见合同附件5。</w:t>
      </w: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第十条 售后服务和技术培训</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10.1售后服务和技术培训见合同附件3。</w:t>
      </w: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第十一条 索赔</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11.1如果合同标的在安装、试运行和验收中卖方未能履行其在本合同项下承担的义务，买方有权向卖方提出索赔并寻求《合同专用条款》中规定的救济方式，救济方式包括：</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A. 卖方替换不符合合同规定的合同标的。</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B. 按质量低劣的程度、买方受损害的程度及损失的数额对合同标的进行降价。</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C. 拒收合同标的。</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D. 赔偿由卖方违约引起的其他损失。</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11.2如果卖方在收到买方索赔要求后未在《合同专用条款》规定的期限内作出书面回复，该索赔要求将被视为已被卖方接受。如卖方未能在买方发出索赔要求后《合同专用条款》规定的期限内或买方同意的延长期限内，按照买方选择的救济方式解决索赔事宜，买方有权从合同总价或从卖方的履约保证金中扣除索赔金额。</w:t>
      </w: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第十二条 不可抗力</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12.1如果合同任何一方受诸如战争、严重的火灾、台风、地震、洪水以及任何其他不能预见、不能避免且不能克服的不可抗力事件的影响而无法履行合同项下的任何义务，受影响的一方应将此类事件的发生以书面方式通知另一方并应在不可抗力事件发生后14 日内将有关部门或机构出具的证明文件提交给另一方。</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12.2受不可抗力事件影响的合同一方对于不可抗力事件导致的任何合同义务的迟延履行或不能履行不承担责任。但该方应尽快以书面方式将不可抗力事件结束或其影响消除的情况通知另一方。</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12.3合同双方应在不可抗力事件结束或其影响消除后立即继续履行其合同义务，如果不可抗力事件的影响持续超过《合同专用条款》规定的期限，合同任何一方均有权发出书面通知终止合同。</w:t>
      </w: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第十三条 合同的终止</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13.1如果卖方有下述违约行为之一或《合同专用条款》中规定的其他违约行为，在不妨碍买方采取其它救济手段的情况下，买方可以向卖方发出书面违约通知，全部或部分地终止合同。</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A. 卖方在合同规定的交货期限后未能按《合同专用条款》中规定的最终期限交付合同标的和/或技术资料； </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B. 合同标的未能达到合同附件2 规定的技术性能； </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C. 卖方未能履行合同项下任何其它义务，并且在收到买方违约通知后未能按《合同专用条款》中规定的期限对其违约行为作出补救。</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13.2如果一方破产或发生资不抵债的情况,合同另一方有权在任何时候发出书面通知终止合同。此种情况下合同的终止不妨碍或影响行使任何可能的其它救济手段。</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13.3如果买方认定卖方在投标或执行合同中有腐败或欺诈行为,买方有权在任何时候发出书面通知终止合同。</w:t>
      </w:r>
    </w:p>
    <w:p>
      <w:pPr>
        <w:ind w:left="1" w:firstLine="537" w:firstLineChars="224"/>
        <w:rPr>
          <w:rFonts w:hint="eastAsia" w:ascii="宋体" w:hAnsi="宋体" w:eastAsia="宋体" w:cs="宋体"/>
          <w:color w:val="auto"/>
          <w:sz w:val="24"/>
          <w:highlight w:val="none"/>
        </w:rPr>
      </w:pPr>
      <w:r>
        <w:rPr>
          <w:rFonts w:hint="eastAsia" w:ascii="宋体" w:hAnsi="宋体" w:eastAsia="宋体" w:cs="宋体"/>
          <w:color w:val="auto"/>
          <w:sz w:val="24"/>
          <w:highlight w:val="none"/>
        </w:rPr>
        <w:t>A.“腐败行为”系指在招标、采购和合同执行等过程中，为谋求利益、影响相关人员而提供、给予、接受或索取任何有价物的行为。</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B.“欺诈行为”系指为了影响招标、采购和合同执行等过程而隐瞒事实，从而给买方造成损害的行为，其中包括投标人之间的串通行为。</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13.4 在买方全部或部分终止合同的情况下，卖方应按《合同专用条款》的规定对买方给予补偿。</w:t>
      </w: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第十四条 争议的解决</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14.1 因执行本合同所发生的或者与本合同有关的一切争议由合同双方通过友好协商解决，如果不能协商一致，按《合同专用条款》规定的方式解决。</w:t>
      </w: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第十五条 适用法律</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15.1 本合同的执行和争议的解决适用中华人民共和国的法律并按中华人民共和国的法律进行解释。</w:t>
      </w: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第十六条  权利保证</w:t>
      </w:r>
    </w:p>
    <w:p>
      <w:pPr>
        <w:spacing w:line="3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16.1卖方应保证买方在使用合同标的时不受第三方提出侵犯其专利权、版权、商标权或其他权利的起诉。一旦出现侵权，卖方承担全部责任。</w:t>
      </w:r>
    </w:p>
    <w:p>
      <w:pPr>
        <w:spacing w:line="320" w:lineRule="exact"/>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第十七条  保密 </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17.1卖方在本合同履行的过程中，或为履行本合同的需要，从买方所获得的、有关买方和/或属于买方的任何信息包括买方工作方式方法与资料、技术资料、用户名单、发展战略及其他被认为是买方的信息，都是买方的秘密，卖方不得泄露给任何第三方。</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17.2上述秘密，卖方只能用于本合同，而且只能由卖方相应的人员使用；没有必要接触的卖方人员，不得接触。</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17.3卖方应当采取适当有效的方式保护所获取的上述秘密。</w:t>
      </w:r>
    </w:p>
    <w:p>
      <w:pPr>
        <w:spacing w:line="3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17.4卖方违反本合同所规定的在保密方面的义务，应按合同总价的50%承担违约金或按照实际损失支付赔偿金；买方有权选择以上两种方式之一要求卖方承担违约责任。本违约金和赔偿金的支付义务独立于其它违约义务。</w:t>
      </w:r>
    </w:p>
    <w:p>
      <w:pPr>
        <w:spacing w:line="320" w:lineRule="exact"/>
        <w:ind w:firstLine="480" w:firstLineChars="200"/>
        <w:rPr>
          <w:rFonts w:hint="eastAsia" w:ascii="宋体" w:hAnsi="宋体" w:eastAsia="宋体" w:cs="宋体"/>
          <w:color w:val="auto"/>
          <w:sz w:val="24"/>
          <w:highlight w:val="none"/>
        </w:rPr>
      </w:pPr>
    </w:p>
    <w:p>
      <w:pPr>
        <w:spacing w:line="3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第十八条 合同生效及其他</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18.1 本合同在合同协议书（合同附件1）规定的条件全部满足后生效。</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18.2合同项下全部权利义务履行完毕后，本合同自动失效。合同履行期满后，合同项下任何尚未了结的债权和债务不受合同履行期的影响，债务人仍应向债权人履行其义务。</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18.3 合同双方各自承担与本合同有关的应负税费。</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18.4合同双方除非《合同专用条款》另有规定，所有合同文件及相关的修订和合同双方之间的书面联络，应使用中文书就并按中文解释。</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18.5对本合同的任何补充、增添或修改以书面方式进行。</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18.6没有另一方的事先书面同意，合同任何一方不得将合同项下的任何权利和义务转让给第三方。</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18.7任何一方在执行任何合同条款和条件时准予对方的放松、宽容、延迟、放纵或时间，不得损害、影响或限制该方在合同之下的权利；任何一方对合同的任何违背、任何免责也不应导致对任何后面或延续的合同的免责或弃权。</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18.8合同条款中的标题和边注仅供参考使用，不应视为合同的一部分，也不影响本文的解释。</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18.9合同构成买方和卖方之间就合同主要内容方面的完整协议，并且取代合同签订前所有关于这方面的通讯、协商、协议(不论是书面的，还是口头的)。</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18.10买方</w:t>
      </w:r>
      <w:r>
        <w:rPr>
          <w:rFonts w:hint="eastAsia" w:ascii="宋体" w:hAnsi="宋体" w:eastAsia="宋体" w:cs="宋体"/>
          <w:color w:val="auto"/>
          <w:kern w:val="0"/>
          <w:sz w:val="24"/>
          <w:highlight w:val="none"/>
        </w:rPr>
        <w:t>应当自政府采购合同签订之日起2个工作日内，将政府采购合同在省级以上人民政府财政部门指定的媒体上公告，但政府采购合同中涉及国家秘密、商业秘密的内容除外。</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18.11合同双方之间的一切联络往来应以书面形式按《合同专用条款》中规定的通讯地址发往合同另一方。有关重要事项的传真应及时用挂号信或快件确认。</w:t>
      </w:r>
    </w:p>
    <w:p>
      <w:pPr>
        <w:ind w:firstLine="600" w:firstLineChars="200"/>
        <w:rPr>
          <w:rFonts w:hint="eastAsia" w:ascii="宋体" w:hAnsi="宋体" w:eastAsia="宋体" w:cs="宋体"/>
          <w:color w:val="auto"/>
          <w:sz w:val="30"/>
          <w:szCs w:val="30"/>
          <w:highlight w:val="none"/>
        </w:rPr>
      </w:pPr>
    </w:p>
    <w:p>
      <w:pPr>
        <w:ind w:firstLine="600" w:firstLineChars="200"/>
        <w:jc w:val="center"/>
        <w:rPr>
          <w:rFonts w:hint="eastAsia" w:ascii="宋体" w:hAnsi="宋体" w:eastAsia="宋体" w:cs="宋体"/>
          <w:color w:val="auto"/>
          <w:sz w:val="30"/>
          <w:szCs w:val="30"/>
          <w:highlight w:val="none"/>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docGrid w:type="lines" w:linePitch="319" w:charSpace="0"/>
        </w:sectPr>
      </w:pPr>
    </w:p>
    <w:p>
      <w:pPr>
        <w:ind w:firstLine="600" w:firstLineChars="200"/>
        <w:jc w:val="center"/>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合同专用条款</w:t>
      </w:r>
    </w:p>
    <w:p>
      <w:pPr>
        <w:jc w:val="center"/>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《合同专用条款》中的条款项号是与《合同通用条款》中的条款项号对应的，其增加的内容和条款，是对《合同通用条款》的补充、修改和完善，如果有矛盾的话，以《合同专用条款》为准。</w:t>
      </w:r>
    </w:p>
    <w:p>
      <w:pPr>
        <w:jc w:val="center"/>
        <w:rPr>
          <w:rFonts w:hint="eastAsia" w:ascii="宋体" w:hAnsi="宋体" w:eastAsia="宋体" w:cs="宋体"/>
          <w:color w:val="auto"/>
          <w:sz w:val="24"/>
          <w:highlight w:val="none"/>
        </w:rPr>
      </w:pPr>
    </w:p>
    <w:p>
      <w:pPr>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第一条 定义</w:t>
      </w:r>
    </w:p>
    <w:p>
      <w:pPr>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1.1 “买方”为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1.2 “卖方”为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1.3 “工作现场”为</w:t>
      </w:r>
      <w:r>
        <w:rPr>
          <w:rFonts w:hint="eastAsia" w:ascii="宋体" w:hAnsi="宋体" w:eastAsia="宋体" w:cs="宋体"/>
          <w:color w:val="auto"/>
          <w:sz w:val="24"/>
          <w:highlight w:val="none"/>
          <w:u w:val="single"/>
        </w:rPr>
        <w:t>买方指定地点</w:t>
      </w:r>
      <w:r>
        <w:rPr>
          <w:rFonts w:hint="eastAsia" w:ascii="宋体" w:hAnsi="宋体" w:eastAsia="宋体" w:cs="宋体"/>
          <w:color w:val="auto"/>
          <w:sz w:val="24"/>
          <w:highlight w:val="none"/>
        </w:rPr>
        <w:t>。</w:t>
      </w:r>
    </w:p>
    <w:p>
      <w:pPr>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1.10 “合同货币”即</w:t>
      </w:r>
      <w:r>
        <w:rPr>
          <w:rFonts w:hint="eastAsia" w:ascii="宋体" w:hAnsi="宋体" w:eastAsia="宋体" w:cs="宋体"/>
          <w:color w:val="auto"/>
          <w:sz w:val="24"/>
          <w:highlight w:val="none"/>
          <w:u w:val="single"/>
        </w:rPr>
        <w:t>人民币</w:t>
      </w:r>
      <w:r>
        <w:rPr>
          <w:rFonts w:hint="eastAsia" w:ascii="宋体" w:hAnsi="宋体" w:eastAsia="宋体" w:cs="宋体"/>
          <w:color w:val="auto"/>
          <w:sz w:val="24"/>
          <w:highlight w:val="none"/>
        </w:rPr>
        <w:t>。</w:t>
      </w: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第二条 合同范围</w:t>
      </w:r>
    </w:p>
    <w:p>
      <w:pPr>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2.3买方同意从卖方购买、卖方同意向买方出售的合同标的是</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。详见合同附件。</w:t>
      </w:r>
    </w:p>
    <w:p>
      <w:pPr>
        <w:rPr>
          <w:rFonts w:hint="eastAsia" w:ascii="宋体" w:hAnsi="宋体" w:eastAsia="宋体" w:cs="宋体"/>
          <w:color w:val="auto"/>
          <w:sz w:val="24"/>
          <w:highlight w:val="none"/>
        </w:rPr>
      </w:pPr>
    </w:p>
    <w:p>
      <w:pPr>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第三条 价格</w:t>
      </w:r>
    </w:p>
    <w:p>
      <w:pPr>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3.1合同总价为￥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大写：人民币</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adjustRightInd w:val="0"/>
        <w:snapToGrid w:val="0"/>
        <w:ind w:firstLine="540" w:firstLineChars="225"/>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3.</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本合同为固定</w:t>
      </w:r>
      <w:r>
        <w:rPr>
          <w:rFonts w:hint="eastAsia" w:ascii="宋体" w:hAnsi="宋体" w:eastAsia="宋体" w:cs="宋体"/>
          <w:color w:val="auto"/>
          <w:sz w:val="24"/>
          <w:highlight w:val="none"/>
          <w:lang w:eastAsia="zh-CN"/>
        </w:rPr>
        <w:t>总价</w:t>
      </w:r>
      <w:r>
        <w:rPr>
          <w:rFonts w:hint="eastAsia" w:ascii="宋体" w:hAnsi="宋体" w:eastAsia="宋体" w:cs="宋体"/>
          <w:color w:val="auto"/>
          <w:sz w:val="24"/>
          <w:highlight w:val="none"/>
        </w:rPr>
        <w:t>合同，项目实施过程中除</w:t>
      </w:r>
      <w:r>
        <w:rPr>
          <w:rFonts w:hint="eastAsia" w:ascii="宋体" w:hAnsi="宋体" w:eastAsia="宋体" w:cs="宋体"/>
          <w:color w:val="auto"/>
          <w:sz w:val="24"/>
          <w:highlight w:val="none"/>
          <w:lang w:eastAsia="zh-CN"/>
        </w:rPr>
        <w:t>采购人</w:t>
      </w:r>
      <w:r>
        <w:rPr>
          <w:rFonts w:hint="eastAsia" w:ascii="宋体" w:hAnsi="宋体" w:eastAsia="宋体" w:cs="宋体"/>
          <w:color w:val="auto"/>
          <w:sz w:val="24"/>
          <w:highlight w:val="none"/>
        </w:rPr>
        <w:t>提出的变更要求外不增加任何费用，本合同总价中包含国家法律法规对设备、材料的检验、检测费用。</w:t>
      </w:r>
      <w:r>
        <w:rPr>
          <w:rFonts w:hint="eastAsia" w:ascii="宋体" w:hAnsi="宋体" w:eastAsia="宋体" w:cs="宋体"/>
          <w:color w:val="auto"/>
          <w:sz w:val="24"/>
          <w:highlight w:val="none"/>
          <w:lang w:val="en-US" w:eastAsia="zh-CN"/>
        </w:rPr>
        <w:t xml:space="preserve">  </w:t>
      </w:r>
    </w:p>
    <w:p>
      <w:pPr>
        <w:adjustRightInd w:val="0"/>
        <w:snapToGrid w:val="0"/>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3.3 本合同价格为包括但不限于</w:t>
      </w:r>
      <w:r>
        <w:rPr>
          <w:rFonts w:hint="eastAsia" w:ascii="宋体" w:hAnsi="宋体" w:eastAsia="宋体" w:cs="宋体"/>
          <w:color w:val="auto"/>
          <w:sz w:val="24"/>
          <w:highlight w:val="none"/>
          <w:lang w:eastAsia="zh-CN"/>
        </w:rPr>
        <w:t>产品价</w:t>
      </w:r>
      <w:r>
        <w:rPr>
          <w:rFonts w:hint="eastAsia" w:ascii="宋体" w:hAnsi="宋体" w:eastAsia="宋体" w:cs="宋体"/>
          <w:color w:val="auto"/>
          <w:sz w:val="24"/>
          <w:highlight w:val="none"/>
        </w:rPr>
        <w:t>、包装费、运杂费、保险费、安装费、调试费、买方操作及维护人员培训费、技术服务费等其它一切有可能产生或增加的费用。</w:t>
      </w:r>
    </w:p>
    <w:p>
      <w:pPr>
        <w:adjustRightInd w:val="0"/>
        <w:snapToGrid w:val="0"/>
        <w:ind w:firstLine="540" w:firstLineChars="225"/>
        <w:rPr>
          <w:rFonts w:hint="eastAsia" w:ascii="宋体" w:hAnsi="宋体" w:eastAsia="宋体" w:cs="宋体"/>
          <w:color w:val="auto"/>
          <w:sz w:val="24"/>
          <w:highlight w:val="none"/>
        </w:rPr>
      </w:pPr>
    </w:p>
    <w:p>
      <w:pPr>
        <w:adjustRightInd w:val="0"/>
        <w:snapToGrid w:val="0"/>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第四条 支付（</w:t>
      </w:r>
      <w:r>
        <w:rPr>
          <w:rFonts w:hint="eastAsia" w:ascii="宋体" w:hAnsi="宋体" w:eastAsia="宋体" w:cs="宋体"/>
          <w:color w:val="auto"/>
          <w:kern w:val="0"/>
          <w:sz w:val="24"/>
          <w:highlight w:val="none"/>
        </w:rPr>
        <w:t>采购资金的支付方式、时间、条件</w:t>
      </w:r>
      <w:r>
        <w:rPr>
          <w:rFonts w:hint="eastAsia" w:ascii="宋体" w:hAnsi="宋体" w:eastAsia="宋体" w:cs="宋体"/>
          <w:color w:val="auto"/>
          <w:sz w:val="24"/>
          <w:highlight w:val="none"/>
        </w:rPr>
        <w:t>）</w:t>
      </w:r>
    </w:p>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本合同总金额为人民币大写金额：</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元（小写金额：</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元），经双方协商一致，选择以下第</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种付款方式；</w:t>
      </w:r>
    </w:p>
    <w:p>
      <w:pPr>
        <w:keepNext w:val="0"/>
        <w:keepLines w:val="0"/>
        <w:pageBreakBefore w:val="0"/>
        <w:widowControl w:val="0"/>
        <w:kinsoku/>
        <w:wordWrap/>
        <w:overflowPunct/>
        <w:topLinePunct w:val="0"/>
        <w:autoSpaceDE/>
        <w:autoSpaceDN/>
        <w:bidi w:val="0"/>
        <w:adjustRightInd/>
        <w:spacing w:line="240" w:lineRule="auto"/>
        <w:ind w:firstLine="484" w:firstLineChars="201"/>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（一）</w:t>
      </w:r>
      <w:r>
        <w:rPr>
          <w:rFonts w:hint="eastAsia" w:ascii="宋体" w:hAnsi="宋体" w:eastAsia="宋体" w:cs="宋体"/>
          <w:b/>
          <w:color w:val="auto"/>
          <w:sz w:val="24"/>
          <w:szCs w:val="24"/>
          <w:highlight w:val="none"/>
        </w:rPr>
        <w:t>付款方式</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rPr>
        <w:t>提交预付款保函的</w:t>
      </w:r>
      <w:r>
        <w:rPr>
          <w:rFonts w:hint="eastAsia" w:ascii="宋体" w:hAnsi="宋体" w:eastAsia="宋体" w:cs="宋体"/>
          <w:b/>
          <w:color w:val="auto"/>
          <w:sz w:val="24"/>
          <w:szCs w:val="24"/>
          <w:highlight w:val="none"/>
          <w:lang w:eastAsia="zh-CN"/>
        </w:rPr>
        <w:t>）</w:t>
      </w:r>
    </w:p>
    <w:p>
      <w:pPr>
        <w:pStyle w:val="7"/>
        <w:keepNext w:val="0"/>
        <w:keepLines w:val="0"/>
        <w:pageBreakBefore w:val="0"/>
        <w:widowControl w:val="0"/>
        <w:kinsoku/>
        <w:wordWrap/>
        <w:overflowPunct/>
        <w:topLinePunct w:val="0"/>
        <w:autoSpaceDE/>
        <w:autoSpaceDN/>
        <w:bidi w:val="0"/>
        <w:adjustRightInd/>
        <w:snapToGrid w:val="0"/>
        <w:spacing w:line="240" w:lineRule="auto"/>
        <w:ind w:firstLine="484" w:firstLineChars="202"/>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合同价款的</w:t>
      </w:r>
      <w:r>
        <w:rPr>
          <w:rFonts w:hint="eastAsia" w:ascii="宋体" w:hAnsi="宋体" w:eastAsia="宋体" w:cs="宋体"/>
          <w:bCs/>
          <w:color w:val="auto"/>
          <w:sz w:val="24"/>
          <w:szCs w:val="24"/>
          <w:highlight w:val="none"/>
          <w:u w:val="single"/>
        </w:rPr>
        <w:t>百分之</w:t>
      </w:r>
      <w:r>
        <w:rPr>
          <w:rFonts w:hint="eastAsia" w:hAnsi="宋体" w:cs="宋体"/>
          <w:bCs/>
          <w:color w:val="auto"/>
          <w:sz w:val="24"/>
          <w:szCs w:val="24"/>
          <w:highlight w:val="none"/>
          <w:u w:val="single"/>
          <w:lang w:val="en-US" w:eastAsia="zh-CN"/>
        </w:rPr>
        <w:t>四</w:t>
      </w:r>
      <w:r>
        <w:rPr>
          <w:rFonts w:hint="eastAsia" w:ascii="宋体" w:hAnsi="宋体" w:eastAsia="宋体" w:cs="宋体"/>
          <w:bCs/>
          <w:color w:val="auto"/>
          <w:sz w:val="24"/>
          <w:szCs w:val="24"/>
          <w:highlight w:val="none"/>
          <w:u w:val="single"/>
        </w:rPr>
        <w:t>十</w:t>
      </w:r>
      <w:r>
        <w:rPr>
          <w:rFonts w:hint="eastAsia" w:ascii="宋体" w:hAnsi="宋体" w:eastAsia="宋体" w:cs="宋体"/>
          <w:bCs/>
          <w:color w:val="auto"/>
          <w:sz w:val="24"/>
          <w:szCs w:val="24"/>
          <w:highlight w:val="none"/>
        </w:rPr>
        <w:t>(</w:t>
      </w:r>
      <w:r>
        <w:rPr>
          <w:rFonts w:hint="eastAsia" w:hAnsi="宋体" w:cs="宋体"/>
          <w:bCs/>
          <w:color w:val="auto"/>
          <w:sz w:val="24"/>
          <w:szCs w:val="24"/>
          <w:highlight w:val="none"/>
          <w:lang w:val="en-US" w:eastAsia="zh-CN"/>
        </w:rPr>
        <w:t>4</w:t>
      </w:r>
      <w:r>
        <w:rPr>
          <w:rFonts w:hint="eastAsia" w:ascii="宋体" w:hAnsi="宋体" w:eastAsia="宋体" w:cs="宋体"/>
          <w:bCs/>
          <w:i w:val="0"/>
          <w:iCs w:val="0"/>
          <w:color w:val="auto"/>
          <w:sz w:val="24"/>
          <w:szCs w:val="24"/>
          <w:highlight w:val="none"/>
          <w:u w:val="single"/>
        </w:rPr>
        <w:t>0%</w:t>
      </w:r>
      <w:r>
        <w:rPr>
          <w:rFonts w:hint="eastAsia" w:ascii="宋体" w:hAnsi="宋体" w:eastAsia="宋体" w:cs="宋体"/>
          <w:bCs/>
          <w:color w:val="auto"/>
          <w:sz w:val="24"/>
          <w:szCs w:val="24"/>
          <w:highlight w:val="none"/>
        </w:rPr>
        <w:t>)即￥</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rPr>
        <w:t>，大写：人民币</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元整，</w:t>
      </w:r>
      <w:r>
        <w:rPr>
          <w:rFonts w:hint="eastAsia" w:ascii="宋体" w:hAnsi="宋体" w:eastAsia="宋体" w:cs="宋体"/>
          <w:color w:val="auto"/>
          <w:kern w:val="2"/>
          <w:sz w:val="24"/>
          <w:szCs w:val="24"/>
          <w:highlight w:val="none"/>
          <w:lang w:val="en-US" w:eastAsia="zh-CN" w:bidi="ar-SA"/>
        </w:rPr>
        <w:t>在双方签订合同后15个工作日内付预付款的</w:t>
      </w:r>
      <w:r>
        <w:rPr>
          <w:rFonts w:hint="eastAsia" w:hAnsi="宋体" w:cs="宋体"/>
          <w:color w:val="auto"/>
          <w:kern w:val="2"/>
          <w:sz w:val="24"/>
          <w:szCs w:val="24"/>
          <w:highlight w:val="none"/>
          <w:lang w:val="en-US" w:eastAsia="zh-CN" w:bidi="ar-SA"/>
        </w:rPr>
        <w:t>4</w:t>
      </w:r>
      <w:r>
        <w:rPr>
          <w:rFonts w:hint="eastAsia" w:ascii="宋体" w:hAnsi="宋体" w:eastAsia="宋体" w:cs="宋体"/>
          <w:color w:val="auto"/>
          <w:kern w:val="2"/>
          <w:sz w:val="24"/>
          <w:szCs w:val="24"/>
          <w:highlight w:val="none"/>
          <w:lang w:val="en-US" w:eastAsia="zh-CN" w:bidi="ar-SA"/>
        </w:rPr>
        <w:t>0%</w:t>
      </w:r>
      <w:r>
        <w:rPr>
          <w:rFonts w:hint="eastAsia" w:ascii="宋体" w:hAnsi="宋体" w:eastAsia="宋体" w:cs="宋体"/>
          <w:color w:val="auto"/>
          <w:sz w:val="24"/>
          <w:szCs w:val="24"/>
          <w:highlight w:val="none"/>
          <w:lang w:eastAsia="zh-CN"/>
        </w:rPr>
        <w:t>，</w:t>
      </w:r>
      <w:r>
        <w:rPr>
          <w:rFonts w:hint="eastAsia" w:ascii="宋体" w:hAnsi="宋体" w:eastAsia="宋体" w:cs="宋体"/>
          <w:b w:val="0"/>
          <w:bCs w:val="0"/>
          <w:color w:val="auto"/>
          <w:sz w:val="24"/>
          <w:szCs w:val="24"/>
          <w:highlight w:val="none"/>
          <w:lang w:eastAsia="zh-CN"/>
        </w:rPr>
        <w:t>乙方向</w:t>
      </w:r>
      <w:r>
        <w:rPr>
          <w:rFonts w:hint="eastAsia" w:ascii="宋体" w:hAnsi="宋体" w:eastAsia="宋体" w:cs="宋体"/>
          <w:b w:val="0"/>
          <w:bCs w:val="0"/>
          <w:color w:val="auto"/>
          <w:sz w:val="24"/>
          <w:szCs w:val="24"/>
          <w:highlight w:val="none"/>
        </w:rPr>
        <w:t>甲方出具</w:t>
      </w:r>
      <w:r>
        <w:rPr>
          <w:rFonts w:hint="eastAsia" w:ascii="宋体" w:hAnsi="宋体" w:eastAsia="宋体" w:cs="宋体"/>
          <w:b w:val="0"/>
          <w:bCs w:val="0"/>
          <w:color w:val="auto"/>
          <w:sz w:val="24"/>
          <w:szCs w:val="24"/>
          <w:highlight w:val="none"/>
          <w:lang w:eastAsia="zh-CN"/>
        </w:rPr>
        <w:t>等额</w:t>
      </w:r>
      <w:r>
        <w:rPr>
          <w:rFonts w:hint="eastAsia" w:ascii="宋体" w:hAnsi="宋体" w:eastAsia="宋体" w:cs="宋体"/>
          <w:b w:val="0"/>
          <w:bCs w:val="0"/>
          <w:color w:val="auto"/>
          <w:sz w:val="24"/>
          <w:szCs w:val="24"/>
          <w:highlight w:val="none"/>
        </w:rPr>
        <w:t>预付款保函后</w:t>
      </w:r>
      <w:r>
        <w:rPr>
          <w:rFonts w:hint="eastAsia" w:ascii="宋体" w:hAnsi="宋体" w:eastAsia="宋体" w:cs="宋体"/>
          <w:b w:val="0"/>
          <w:bCs w:val="0"/>
          <w:color w:val="auto"/>
          <w:sz w:val="24"/>
          <w:szCs w:val="24"/>
          <w:highlight w:val="none"/>
          <w:lang w:eastAsia="zh-CN"/>
        </w:rPr>
        <w:t>，办理政府采购资金结算手续</w:t>
      </w:r>
      <w:r>
        <w:rPr>
          <w:rFonts w:hint="eastAsia" w:ascii="宋体" w:hAnsi="宋体" w:eastAsia="宋体" w:cs="宋体"/>
          <w:bCs/>
          <w:color w:val="auto"/>
          <w:sz w:val="24"/>
          <w:szCs w:val="24"/>
          <w:highlight w:val="none"/>
        </w:rPr>
        <w:t>支付给乙方。</w:t>
      </w:r>
    </w:p>
    <w:p>
      <w:pPr>
        <w:keepNext w:val="0"/>
        <w:keepLines w:val="0"/>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合同总价的</w:t>
      </w:r>
      <w:r>
        <w:rPr>
          <w:rFonts w:hint="eastAsia" w:ascii="宋体" w:hAnsi="宋体" w:eastAsia="宋体" w:cs="宋体"/>
          <w:color w:val="auto"/>
          <w:sz w:val="24"/>
          <w:szCs w:val="24"/>
          <w:highlight w:val="none"/>
          <w:u w:val="single"/>
        </w:rPr>
        <w:t>百分之</w:t>
      </w:r>
      <w:r>
        <w:rPr>
          <w:rFonts w:hint="eastAsia" w:ascii="宋体" w:hAnsi="宋体" w:cs="宋体"/>
          <w:color w:val="auto"/>
          <w:sz w:val="24"/>
          <w:szCs w:val="24"/>
          <w:highlight w:val="none"/>
          <w:u w:val="single"/>
          <w:lang w:val="en-US" w:eastAsia="zh-CN"/>
        </w:rPr>
        <w:t>六</w:t>
      </w:r>
      <w:r>
        <w:rPr>
          <w:rFonts w:hint="eastAsia" w:ascii="宋体" w:hAnsi="宋体" w:eastAsia="宋体" w:cs="宋体"/>
          <w:color w:val="auto"/>
          <w:sz w:val="24"/>
          <w:szCs w:val="24"/>
          <w:highlight w:val="none"/>
          <w:u w:val="single"/>
          <w:lang w:eastAsia="zh-CN"/>
        </w:rPr>
        <w:t>十</w:t>
      </w:r>
      <w:r>
        <w:rPr>
          <w:rFonts w:hint="eastAsia" w:ascii="宋体" w:hAnsi="宋体" w:eastAsia="宋体" w:cs="宋体"/>
          <w:color w:val="auto"/>
          <w:sz w:val="24"/>
          <w:szCs w:val="24"/>
          <w:highlight w:val="none"/>
        </w:rPr>
        <w:t xml:space="preserve"> (</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u w:val="single"/>
          <w:lang w:val="en-US" w:eastAsia="zh-CN"/>
        </w:rPr>
        <w:t>0</w:t>
      </w:r>
      <w:r>
        <w:rPr>
          <w:rFonts w:hint="eastAsia" w:ascii="宋体" w:hAnsi="宋体" w:eastAsia="宋体" w:cs="宋体"/>
          <w:color w:val="auto"/>
          <w:sz w:val="24"/>
          <w:szCs w:val="24"/>
          <w:highlight w:val="none"/>
        </w:rPr>
        <w:t>%)即￥</w:t>
      </w:r>
      <w:r>
        <w:rPr>
          <w:rFonts w:hint="eastAsia" w:ascii="宋体" w:hAnsi="宋体" w:eastAsia="宋体" w:cs="宋体"/>
          <w:color w:val="auto"/>
          <w:sz w:val="24"/>
          <w:szCs w:val="24"/>
          <w:highlight w:val="none"/>
          <w:u w:val="single"/>
        </w:rPr>
        <w:t xml:space="preserve">     </w:t>
      </w:r>
      <w:r>
        <w:rPr>
          <w:rFonts w:hint="eastAsia" w:ascii="宋体" w:hAnsi="宋体" w:eastAsia="宋体" w:cs="宋体"/>
          <w:bCs/>
          <w:color w:val="auto"/>
          <w:sz w:val="24"/>
          <w:szCs w:val="24"/>
          <w:highlight w:val="none"/>
        </w:rPr>
        <w:t>，</w:t>
      </w:r>
      <w:r>
        <w:rPr>
          <w:rFonts w:hint="eastAsia" w:ascii="宋体" w:hAnsi="宋体" w:eastAsia="宋体" w:cs="宋体"/>
          <w:color w:val="auto"/>
          <w:sz w:val="24"/>
          <w:szCs w:val="24"/>
          <w:highlight w:val="none"/>
        </w:rPr>
        <w:t>大写：人民币</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，合同标的全部交付并安装完毕验收后</w:t>
      </w:r>
      <w:r>
        <w:rPr>
          <w:rFonts w:hint="eastAsia" w:ascii="宋体" w:hAnsi="宋体" w:cs="宋体"/>
          <w:color w:val="auto"/>
          <w:kern w:val="2"/>
          <w:sz w:val="24"/>
          <w:szCs w:val="24"/>
          <w:highlight w:val="none"/>
          <w:lang w:val="en-US" w:eastAsia="zh-CN" w:bidi="ar-SA"/>
        </w:rPr>
        <w:t>15</w:t>
      </w:r>
      <w:r>
        <w:rPr>
          <w:rFonts w:hint="eastAsia" w:ascii="宋体" w:hAnsi="宋体" w:eastAsia="宋体" w:cs="宋体"/>
          <w:color w:val="auto"/>
          <w:kern w:val="2"/>
          <w:sz w:val="24"/>
          <w:szCs w:val="24"/>
          <w:highlight w:val="none"/>
          <w:lang w:val="en-US" w:eastAsia="zh-CN" w:bidi="ar-SA"/>
        </w:rPr>
        <w:t>个工作日内</w:t>
      </w:r>
      <w:r>
        <w:rPr>
          <w:rFonts w:hint="eastAsia" w:ascii="宋体" w:hAnsi="宋体" w:eastAsia="宋体" w:cs="宋体"/>
          <w:color w:val="auto"/>
          <w:sz w:val="24"/>
          <w:szCs w:val="24"/>
          <w:highlight w:val="none"/>
        </w:rPr>
        <w:t>，由</w:t>
      </w:r>
      <w:r>
        <w:rPr>
          <w:rFonts w:hint="eastAsia" w:ascii="宋体" w:hAnsi="宋体" w:cs="宋体"/>
          <w:color w:val="auto"/>
          <w:sz w:val="24"/>
          <w:szCs w:val="24"/>
          <w:highlight w:val="none"/>
          <w:lang w:val="en-US" w:eastAsia="zh-CN"/>
        </w:rPr>
        <w:t>甲</w:t>
      </w:r>
      <w:r>
        <w:rPr>
          <w:rFonts w:hint="eastAsia" w:ascii="宋体" w:hAnsi="宋体" w:eastAsia="宋体" w:cs="宋体"/>
          <w:color w:val="auto"/>
          <w:sz w:val="24"/>
          <w:szCs w:val="24"/>
          <w:highlight w:val="none"/>
        </w:rPr>
        <w:t>方办理政府采购资金结算手续，经审核后支付给</w:t>
      </w:r>
      <w:r>
        <w:rPr>
          <w:rFonts w:hint="eastAsia" w:ascii="宋体" w:hAnsi="宋体" w:cs="宋体"/>
          <w:color w:val="auto"/>
          <w:sz w:val="24"/>
          <w:szCs w:val="24"/>
          <w:highlight w:val="none"/>
          <w:lang w:val="en-US" w:eastAsia="zh-CN"/>
        </w:rPr>
        <w:t>乙</w:t>
      </w:r>
      <w:r>
        <w:rPr>
          <w:rFonts w:hint="eastAsia" w:ascii="宋体" w:hAnsi="宋体" w:eastAsia="宋体" w:cs="宋体"/>
          <w:color w:val="auto"/>
          <w:sz w:val="24"/>
          <w:szCs w:val="24"/>
          <w:highlight w:val="none"/>
        </w:rPr>
        <w:t>方。</w:t>
      </w:r>
    </w:p>
    <w:p>
      <w:pPr>
        <w:keepNext w:val="0"/>
        <w:keepLines w:val="0"/>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卖方需提交的支付文件包括：</w:t>
      </w:r>
    </w:p>
    <w:p>
      <w:pPr>
        <w:keepNext w:val="0"/>
        <w:keepLines w:val="0"/>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卖方出具的全额正式发票；</w:t>
      </w:r>
    </w:p>
    <w:p>
      <w:pPr>
        <w:keepNext w:val="0"/>
        <w:keepLines w:val="0"/>
        <w:pageBreakBefore w:val="0"/>
        <w:widowControl w:val="0"/>
        <w:kinsoku/>
        <w:wordWrap/>
        <w:overflowPunct/>
        <w:topLinePunct w:val="0"/>
        <w:autoSpaceDE/>
        <w:autoSpaceDN/>
        <w:bidi w:val="0"/>
        <w:adjustRightInd/>
        <w:spacing w:line="240" w:lineRule="auto"/>
        <w:ind w:firstLine="484" w:firstLineChars="201"/>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（二）</w:t>
      </w:r>
      <w:r>
        <w:rPr>
          <w:rFonts w:hint="eastAsia" w:ascii="宋体" w:hAnsi="宋体" w:eastAsia="宋体" w:cs="宋体"/>
          <w:b/>
          <w:color w:val="auto"/>
          <w:sz w:val="24"/>
          <w:szCs w:val="24"/>
          <w:highlight w:val="none"/>
        </w:rPr>
        <w:t>付款方式</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rPr>
        <w:t>不提交预付款保函的</w:t>
      </w:r>
      <w:r>
        <w:rPr>
          <w:rFonts w:hint="eastAsia" w:ascii="宋体" w:hAnsi="宋体" w:eastAsia="宋体" w:cs="宋体"/>
          <w:b/>
          <w:color w:val="auto"/>
          <w:sz w:val="24"/>
          <w:szCs w:val="24"/>
          <w:highlight w:val="none"/>
          <w:lang w:eastAsia="zh-CN"/>
        </w:rPr>
        <w:t>）</w:t>
      </w:r>
    </w:p>
    <w:p>
      <w:pPr>
        <w:pStyle w:val="7"/>
        <w:keepNext w:val="0"/>
        <w:keepLines w:val="0"/>
        <w:pageBreakBefore w:val="0"/>
        <w:widowControl w:val="0"/>
        <w:kinsoku/>
        <w:wordWrap/>
        <w:overflowPunct/>
        <w:topLinePunct w:val="0"/>
        <w:autoSpaceDE/>
        <w:autoSpaceDN/>
        <w:bidi w:val="0"/>
        <w:adjustRightInd/>
        <w:snapToGrid w:val="0"/>
        <w:spacing w:line="240" w:lineRule="auto"/>
        <w:ind w:firstLine="484" w:firstLineChars="202"/>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合同价款的</w:t>
      </w:r>
      <w:r>
        <w:rPr>
          <w:rFonts w:hint="eastAsia" w:ascii="宋体" w:hAnsi="宋体" w:eastAsia="宋体" w:cs="宋体"/>
          <w:bCs/>
          <w:color w:val="auto"/>
          <w:sz w:val="24"/>
          <w:szCs w:val="24"/>
          <w:highlight w:val="none"/>
          <w:u w:val="single"/>
        </w:rPr>
        <w:t>百分之</w:t>
      </w:r>
      <w:r>
        <w:rPr>
          <w:rFonts w:hint="eastAsia" w:hAnsi="宋体" w:cs="宋体"/>
          <w:bCs/>
          <w:color w:val="auto"/>
          <w:sz w:val="24"/>
          <w:szCs w:val="24"/>
          <w:highlight w:val="none"/>
          <w:u w:val="single"/>
          <w:lang w:val="en-US" w:eastAsia="zh-CN"/>
        </w:rPr>
        <w:t>四</w:t>
      </w:r>
      <w:r>
        <w:rPr>
          <w:rFonts w:hint="eastAsia" w:ascii="宋体" w:hAnsi="宋体" w:eastAsia="宋体" w:cs="宋体"/>
          <w:bCs/>
          <w:color w:val="auto"/>
          <w:sz w:val="24"/>
          <w:szCs w:val="24"/>
          <w:highlight w:val="none"/>
          <w:u w:val="single"/>
        </w:rPr>
        <w:t>十</w:t>
      </w:r>
      <w:r>
        <w:rPr>
          <w:rFonts w:hint="eastAsia" w:ascii="宋体" w:hAnsi="宋体" w:eastAsia="宋体" w:cs="宋体"/>
          <w:bCs/>
          <w:color w:val="auto"/>
          <w:sz w:val="24"/>
          <w:szCs w:val="24"/>
          <w:highlight w:val="none"/>
          <w:u w:val="none"/>
        </w:rPr>
        <w:t>(</w:t>
      </w:r>
      <w:r>
        <w:rPr>
          <w:rFonts w:hint="eastAsia" w:hAnsi="宋体" w:cs="宋体"/>
          <w:bCs/>
          <w:color w:val="auto"/>
          <w:sz w:val="24"/>
          <w:szCs w:val="24"/>
          <w:highlight w:val="none"/>
          <w:u w:val="none"/>
          <w:lang w:val="en-US" w:eastAsia="zh-CN"/>
        </w:rPr>
        <w:t>4</w:t>
      </w:r>
      <w:r>
        <w:rPr>
          <w:rFonts w:hint="eastAsia" w:ascii="宋体" w:hAnsi="宋体" w:eastAsia="宋体" w:cs="宋体"/>
          <w:bCs/>
          <w:color w:val="auto"/>
          <w:sz w:val="24"/>
          <w:szCs w:val="24"/>
          <w:highlight w:val="none"/>
          <w:u w:val="single"/>
        </w:rPr>
        <w:t>0%</w:t>
      </w:r>
      <w:r>
        <w:rPr>
          <w:rFonts w:hint="eastAsia" w:ascii="宋体" w:hAnsi="宋体" w:eastAsia="宋体" w:cs="宋体"/>
          <w:bCs/>
          <w:color w:val="auto"/>
          <w:sz w:val="24"/>
          <w:szCs w:val="24"/>
          <w:highlight w:val="none"/>
          <w:u w:val="none"/>
        </w:rPr>
        <w:t>)</w:t>
      </w:r>
      <w:r>
        <w:rPr>
          <w:rFonts w:hint="eastAsia" w:ascii="宋体" w:hAnsi="宋体" w:eastAsia="宋体" w:cs="宋体"/>
          <w:bCs/>
          <w:color w:val="auto"/>
          <w:sz w:val="24"/>
          <w:szCs w:val="24"/>
          <w:highlight w:val="none"/>
        </w:rPr>
        <w:t>即￥</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rPr>
        <w:t>，大写：人民币</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元整，在双方签订合同</w:t>
      </w:r>
      <w:r>
        <w:rPr>
          <w:rFonts w:hint="eastAsia" w:ascii="宋体" w:hAnsi="宋体" w:eastAsia="宋体" w:cs="宋体"/>
          <w:bCs/>
          <w:color w:val="auto"/>
          <w:sz w:val="24"/>
          <w:szCs w:val="24"/>
          <w:highlight w:val="none"/>
          <w:lang w:eastAsia="zh-CN"/>
        </w:rPr>
        <w:t>后</w:t>
      </w:r>
      <w:r>
        <w:rPr>
          <w:rFonts w:hint="eastAsia" w:ascii="宋体" w:hAnsi="宋体" w:eastAsia="宋体" w:cs="宋体"/>
          <w:color w:val="auto"/>
          <w:kern w:val="2"/>
          <w:sz w:val="24"/>
          <w:szCs w:val="24"/>
          <w:highlight w:val="none"/>
          <w:lang w:val="en-US" w:eastAsia="zh-CN" w:bidi="ar-SA"/>
        </w:rPr>
        <w:t>15个工作日内付预付款的</w:t>
      </w:r>
      <w:r>
        <w:rPr>
          <w:rFonts w:hint="eastAsia" w:hAnsi="宋体" w:cs="宋体"/>
          <w:color w:val="auto"/>
          <w:kern w:val="2"/>
          <w:sz w:val="24"/>
          <w:szCs w:val="24"/>
          <w:highlight w:val="none"/>
          <w:lang w:val="en-US" w:eastAsia="zh-CN" w:bidi="ar-SA"/>
        </w:rPr>
        <w:t>4</w:t>
      </w:r>
      <w:r>
        <w:rPr>
          <w:rFonts w:hint="eastAsia" w:ascii="宋体" w:hAnsi="宋体" w:eastAsia="宋体" w:cs="宋体"/>
          <w:color w:val="auto"/>
          <w:kern w:val="2"/>
          <w:sz w:val="24"/>
          <w:szCs w:val="24"/>
          <w:highlight w:val="none"/>
          <w:lang w:val="en-US" w:eastAsia="zh-CN" w:bidi="ar-SA"/>
        </w:rPr>
        <w:t>0%</w:t>
      </w:r>
      <w:r>
        <w:rPr>
          <w:rFonts w:hint="eastAsia" w:ascii="宋体" w:hAnsi="宋体" w:eastAsia="宋体" w:cs="宋体"/>
          <w:color w:val="auto"/>
          <w:sz w:val="24"/>
          <w:szCs w:val="24"/>
          <w:highlight w:val="none"/>
          <w:lang w:eastAsia="zh-CN"/>
        </w:rPr>
        <w:t>，办理政府采购资金结算手续支付给乙方。</w:t>
      </w:r>
    </w:p>
    <w:p>
      <w:pPr>
        <w:keepNext w:val="0"/>
        <w:keepLines w:val="0"/>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合同总价的</w:t>
      </w:r>
      <w:r>
        <w:rPr>
          <w:rFonts w:hint="eastAsia" w:ascii="宋体" w:hAnsi="宋体" w:eastAsia="宋体" w:cs="宋体"/>
          <w:color w:val="auto"/>
          <w:sz w:val="24"/>
          <w:szCs w:val="24"/>
          <w:highlight w:val="none"/>
          <w:u w:val="single"/>
        </w:rPr>
        <w:t>百分之</w:t>
      </w:r>
      <w:r>
        <w:rPr>
          <w:rFonts w:hint="eastAsia" w:ascii="宋体" w:hAnsi="宋体" w:cs="宋体"/>
          <w:color w:val="auto"/>
          <w:sz w:val="24"/>
          <w:szCs w:val="24"/>
          <w:highlight w:val="none"/>
          <w:u w:val="single"/>
          <w:lang w:val="en-US" w:eastAsia="zh-CN"/>
        </w:rPr>
        <w:t>六</w:t>
      </w:r>
      <w:r>
        <w:rPr>
          <w:rFonts w:hint="eastAsia" w:ascii="宋体" w:hAnsi="宋体" w:eastAsia="宋体" w:cs="宋体"/>
          <w:color w:val="auto"/>
          <w:sz w:val="24"/>
          <w:szCs w:val="24"/>
          <w:highlight w:val="none"/>
          <w:u w:val="single"/>
          <w:lang w:eastAsia="zh-CN"/>
        </w:rPr>
        <w:t>十</w:t>
      </w:r>
      <w:r>
        <w:rPr>
          <w:rFonts w:hint="eastAsia" w:ascii="宋体" w:hAnsi="宋体" w:eastAsia="宋体" w:cs="宋体"/>
          <w:color w:val="auto"/>
          <w:sz w:val="24"/>
          <w:szCs w:val="24"/>
          <w:highlight w:val="none"/>
        </w:rPr>
        <w:t xml:space="preserve"> (</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u w:val="single"/>
          <w:lang w:val="en-US" w:eastAsia="zh-CN"/>
        </w:rPr>
        <w:t>0</w:t>
      </w:r>
      <w:r>
        <w:rPr>
          <w:rFonts w:hint="eastAsia" w:ascii="宋体" w:hAnsi="宋体" w:eastAsia="宋体" w:cs="宋体"/>
          <w:color w:val="auto"/>
          <w:sz w:val="24"/>
          <w:szCs w:val="24"/>
          <w:highlight w:val="none"/>
        </w:rPr>
        <w:t>%)即￥</w:t>
      </w:r>
      <w:r>
        <w:rPr>
          <w:rFonts w:hint="eastAsia" w:ascii="宋体" w:hAnsi="宋体" w:eastAsia="宋体" w:cs="宋体"/>
          <w:color w:val="auto"/>
          <w:sz w:val="24"/>
          <w:szCs w:val="24"/>
          <w:highlight w:val="none"/>
          <w:u w:val="single"/>
        </w:rPr>
        <w:t xml:space="preserve">    </w:t>
      </w:r>
      <w:r>
        <w:rPr>
          <w:rFonts w:hint="eastAsia" w:ascii="宋体" w:hAnsi="宋体" w:eastAsia="宋体" w:cs="宋体"/>
          <w:bCs/>
          <w:color w:val="auto"/>
          <w:sz w:val="24"/>
          <w:szCs w:val="24"/>
          <w:highlight w:val="none"/>
        </w:rPr>
        <w:t>，</w:t>
      </w:r>
      <w:r>
        <w:rPr>
          <w:rFonts w:hint="eastAsia" w:ascii="宋体" w:hAnsi="宋体" w:eastAsia="宋体" w:cs="宋体"/>
          <w:color w:val="auto"/>
          <w:sz w:val="24"/>
          <w:szCs w:val="24"/>
          <w:highlight w:val="none"/>
        </w:rPr>
        <w:t>大写：人民币</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，合同标的全部交付并安装完毕验收后</w:t>
      </w:r>
      <w:r>
        <w:rPr>
          <w:rFonts w:hint="eastAsia" w:ascii="宋体" w:hAnsi="宋体" w:cs="宋体"/>
          <w:color w:val="auto"/>
          <w:kern w:val="2"/>
          <w:sz w:val="24"/>
          <w:szCs w:val="24"/>
          <w:highlight w:val="none"/>
          <w:lang w:val="en-US" w:eastAsia="zh-CN" w:bidi="ar-SA"/>
        </w:rPr>
        <w:t>15</w:t>
      </w:r>
      <w:r>
        <w:rPr>
          <w:rFonts w:hint="eastAsia" w:ascii="宋体" w:hAnsi="宋体" w:eastAsia="宋体" w:cs="宋体"/>
          <w:color w:val="auto"/>
          <w:kern w:val="2"/>
          <w:sz w:val="24"/>
          <w:szCs w:val="24"/>
          <w:highlight w:val="none"/>
          <w:lang w:val="en-US" w:eastAsia="zh-CN" w:bidi="ar-SA"/>
        </w:rPr>
        <w:t>个工作日内</w:t>
      </w:r>
      <w:r>
        <w:rPr>
          <w:rFonts w:hint="eastAsia" w:ascii="宋体" w:hAnsi="宋体" w:eastAsia="宋体" w:cs="宋体"/>
          <w:color w:val="auto"/>
          <w:sz w:val="24"/>
          <w:szCs w:val="24"/>
          <w:highlight w:val="none"/>
        </w:rPr>
        <w:t>，由</w:t>
      </w:r>
      <w:r>
        <w:rPr>
          <w:rFonts w:hint="eastAsia" w:ascii="宋体" w:hAnsi="宋体" w:cs="宋体"/>
          <w:color w:val="auto"/>
          <w:sz w:val="24"/>
          <w:szCs w:val="24"/>
          <w:highlight w:val="none"/>
          <w:lang w:val="en-US" w:eastAsia="zh-CN"/>
        </w:rPr>
        <w:t>甲</w:t>
      </w:r>
      <w:r>
        <w:rPr>
          <w:rFonts w:hint="eastAsia" w:ascii="宋体" w:hAnsi="宋体" w:eastAsia="宋体" w:cs="宋体"/>
          <w:color w:val="auto"/>
          <w:sz w:val="24"/>
          <w:szCs w:val="24"/>
          <w:highlight w:val="none"/>
        </w:rPr>
        <w:t>方办理政府采购资金结算手续，经审核后支付给</w:t>
      </w:r>
      <w:r>
        <w:rPr>
          <w:rFonts w:hint="eastAsia" w:ascii="宋体" w:hAnsi="宋体" w:cs="宋体"/>
          <w:color w:val="auto"/>
          <w:sz w:val="24"/>
          <w:szCs w:val="24"/>
          <w:highlight w:val="none"/>
          <w:lang w:val="en-US" w:eastAsia="zh-CN"/>
        </w:rPr>
        <w:t>乙</w:t>
      </w:r>
      <w:r>
        <w:rPr>
          <w:rFonts w:hint="eastAsia" w:ascii="宋体" w:hAnsi="宋体" w:eastAsia="宋体" w:cs="宋体"/>
          <w:color w:val="auto"/>
          <w:sz w:val="24"/>
          <w:szCs w:val="24"/>
          <w:highlight w:val="none"/>
        </w:rPr>
        <w:t>方。</w:t>
      </w:r>
    </w:p>
    <w:p>
      <w:pPr>
        <w:keepNext w:val="0"/>
        <w:keepLines w:val="0"/>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卖方需提交的支付文件包括：</w:t>
      </w:r>
    </w:p>
    <w:p>
      <w:pPr>
        <w:keepNext w:val="0"/>
        <w:keepLines w:val="0"/>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卖方出具的全额正式发票；</w:t>
      </w:r>
    </w:p>
    <w:p>
      <w:pPr>
        <w:ind w:firstLine="480" w:firstLineChars="200"/>
        <w:rPr>
          <w:rFonts w:hint="eastAsia" w:ascii="宋体" w:hAnsi="宋体" w:eastAsia="宋体" w:cs="宋体"/>
          <w:color w:val="auto"/>
          <w:kern w:val="0"/>
          <w:sz w:val="24"/>
          <w:highlight w:val="none"/>
        </w:rPr>
      </w:pPr>
    </w:p>
    <w:p>
      <w:pPr>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合同约定的卖方账户：</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开户银行：</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银行帐号：</w:t>
      </w:r>
    </w:p>
    <w:p>
      <w:pPr>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第五条 交货（</w:t>
      </w:r>
      <w:r>
        <w:rPr>
          <w:rFonts w:hint="eastAsia" w:ascii="宋体" w:hAnsi="宋体" w:eastAsia="宋体" w:cs="宋体"/>
          <w:color w:val="auto"/>
          <w:kern w:val="0"/>
          <w:sz w:val="24"/>
          <w:highlight w:val="none"/>
        </w:rPr>
        <w:t>货物、服务提供的时间、地点、方式</w:t>
      </w:r>
      <w:r>
        <w:rPr>
          <w:rFonts w:hint="eastAsia" w:ascii="宋体" w:hAnsi="宋体" w:eastAsia="宋体" w:cs="宋体"/>
          <w:color w:val="auto"/>
          <w:sz w:val="24"/>
          <w:highlight w:val="none"/>
        </w:rPr>
        <w:t>）</w:t>
      </w:r>
    </w:p>
    <w:p>
      <w:pPr>
        <w:ind w:firstLine="542" w:firstLineChars="225"/>
        <w:rPr>
          <w:rFonts w:hint="eastAsia" w:ascii="宋体" w:hAnsi="宋体" w:eastAsia="宋体" w:cs="宋体"/>
          <w:b/>
          <w:bCs/>
          <w:color w:val="auto"/>
          <w:highlight w:val="none"/>
        </w:rPr>
      </w:pPr>
      <w:r>
        <w:rPr>
          <w:rFonts w:hint="eastAsia" w:ascii="宋体" w:hAnsi="宋体" w:eastAsia="宋体" w:cs="宋体"/>
          <w:b/>
          <w:bCs/>
          <w:color w:val="auto"/>
          <w:sz w:val="24"/>
          <w:highlight w:val="none"/>
        </w:rPr>
        <w:t>5.1卖方应于合同生效日后，</w:t>
      </w:r>
      <w:r>
        <w:rPr>
          <w:rFonts w:hint="eastAsia" w:ascii="宋体" w:hAnsi="宋体" w:cs="宋体"/>
          <w:b/>
          <w:bCs/>
          <w:color w:val="auto"/>
          <w:sz w:val="24"/>
          <w:highlight w:val="none"/>
          <w:lang w:val="en-US" w:eastAsia="zh-CN"/>
        </w:rPr>
        <w:t>60</w:t>
      </w:r>
      <w:r>
        <w:rPr>
          <w:rFonts w:hint="eastAsia" w:ascii="宋体" w:hAnsi="宋体" w:eastAsia="宋体" w:cs="宋体"/>
          <w:b/>
          <w:bCs/>
          <w:color w:val="auto"/>
          <w:sz w:val="24"/>
          <w:highlight w:val="none"/>
        </w:rPr>
        <w:t>日内将合同标的全部交付并安装完毕。</w:t>
      </w:r>
    </w:p>
    <w:p>
      <w:pPr>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5.2 交货地点为</w:t>
      </w:r>
      <w:r>
        <w:rPr>
          <w:rFonts w:hint="eastAsia" w:ascii="宋体" w:hAnsi="宋体" w:eastAsia="宋体" w:cs="宋体"/>
          <w:color w:val="auto"/>
          <w:sz w:val="24"/>
          <w:highlight w:val="none"/>
          <w:u w:val="single"/>
        </w:rPr>
        <w:t>买方指定地点</w:t>
      </w:r>
      <w:r>
        <w:rPr>
          <w:rFonts w:hint="eastAsia" w:ascii="宋体" w:hAnsi="宋体" w:eastAsia="宋体" w:cs="宋体"/>
          <w:color w:val="auto"/>
          <w:sz w:val="24"/>
          <w:highlight w:val="none"/>
        </w:rPr>
        <w:t>。</w:t>
      </w:r>
    </w:p>
    <w:p>
      <w:pPr>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5.3卖方应在不迟于每批合同标的备妥待运前</w:t>
      </w:r>
      <w:r>
        <w:rPr>
          <w:rFonts w:hint="eastAsia" w:ascii="宋体" w:hAnsi="宋体" w:eastAsia="宋体" w:cs="宋体"/>
          <w:color w:val="auto"/>
          <w:sz w:val="24"/>
          <w:highlight w:val="none"/>
          <w:u w:val="single"/>
        </w:rPr>
        <w:t xml:space="preserve">  10 </w:t>
      </w:r>
      <w:r>
        <w:rPr>
          <w:rFonts w:hint="eastAsia" w:ascii="宋体" w:hAnsi="宋体" w:eastAsia="宋体" w:cs="宋体"/>
          <w:color w:val="auto"/>
          <w:sz w:val="24"/>
          <w:highlight w:val="none"/>
        </w:rPr>
        <w:t>日通知买方。</w:t>
      </w:r>
    </w:p>
    <w:p>
      <w:pPr>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5.5如果卖方未能按照合同规定的交货期限交货，卖方应按每天迟交合同标的金额的百分之</w:t>
      </w:r>
      <w:r>
        <w:rPr>
          <w:rFonts w:hint="eastAsia" w:ascii="宋体" w:hAnsi="宋体" w:eastAsia="宋体" w:cs="宋体"/>
          <w:color w:val="auto"/>
          <w:sz w:val="24"/>
          <w:highlight w:val="none"/>
          <w:u w:val="single"/>
        </w:rPr>
        <w:t>一</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u w:val="single"/>
        </w:rPr>
        <w:t>1</w:t>
      </w:r>
      <w:r>
        <w:rPr>
          <w:rFonts w:hint="eastAsia" w:ascii="宋体" w:hAnsi="宋体" w:eastAsia="宋体" w:cs="宋体"/>
          <w:color w:val="auto"/>
          <w:sz w:val="24"/>
          <w:highlight w:val="none"/>
        </w:rPr>
        <w:t>%)的比率支付违约金。违约金的总金额不超过合同总价的百分之</w:t>
      </w:r>
      <w:r>
        <w:rPr>
          <w:rFonts w:hint="eastAsia" w:ascii="宋体" w:hAnsi="宋体" w:eastAsia="宋体" w:cs="宋体"/>
          <w:color w:val="auto"/>
          <w:sz w:val="24"/>
          <w:highlight w:val="none"/>
          <w:u w:val="single"/>
        </w:rPr>
        <w:t>十</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10</w:t>
      </w:r>
      <w:r>
        <w:rPr>
          <w:rFonts w:hint="eastAsia" w:ascii="宋体" w:hAnsi="宋体" w:eastAsia="宋体" w:cs="宋体"/>
          <w:color w:val="auto"/>
          <w:sz w:val="24"/>
          <w:highlight w:val="none"/>
        </w:rPr>
        <w:t>%) ，违约金的支付不能免除卖方继续交付相关合同标的的义务。</w:t>
      </w:r>
    </w:p>
    <w:p>
      <w:pPr>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如果卖方在合同规定的交货期限后</w:t>
      </w:r>
      <w:r>
        <w:rPr>
          <w:rFonts w:hint="eastAsia" w:ascii="宋体" w:hAnsi="宋体" w:eastAsia="宋体" w:cs="宋体"/>
          <w:color w:val="auto"/>
          <w:sz w:val="24"/>
          <w:highlight w:val="none"/>
          <w:u w:val="single"/>
        </w:rPr>
        <w:t>十</w:t>
      </w:r>
      <w:r>
        <w:rPr>
          <w:rFonts w:hint="eastAsia" w:ascii="宋体" w:hAnsi="宋体" w:eastAsia="宋体" w:cs="宋体"/>
          <w:color w:val="auto"/>
          <w:sz w:val="24"/>
          <w:highlight w:val="none"/>
        </w:rPr>
        <w:t>日内仍未能交付全部或部分标的，在不妨碍买方采取其他救济手段的情况下，买方可以向卖方发出书面违约通知从而全部或部分地终止合同。</w:t>
      </w:r>
    </w:p>
    <w:p>
      <w:pPr>
        <w:ind w:firstLine="540" w:firstLineChars="225"/>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第六条 包装与标记</w:t>
      </w:r>
    </w:p>
    <w:p>
      <w:pPr>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6.4 商品（合同标的）包装具体要求：见《关于印发《商品包装政府采购需求标准（试行）》、《快递包装政府采购需求标准（试行）》的通知》（财办库〔2020〕123号）中《商品包装政府采购需求标准（试行）》。</w:t>
      </w:r>
    </w:p>
    <w:p>
      <w:pPr>
        <w:ind w:firstLine="540" w:firstLineChars="225"/>
        <w:rPr>
          <w:rFonts w:hint="eastAsia" w:ascii="宋体" w:hAnsi="宋体" w:eastAsia="宋体" w:cs="宋体"/>
          <w:color w:val="auto"/>
          <w:highlight w:val="none"/>
        </w:rPr>
      </w:pPr>
      <w:r>
        <w:rPr>
          <w:rFonts w:hint="eastAsia" w:ascii="宋体" w:hAnsi="宋体" w:eastAsia="宋体" w:cs="宋体"/>
          <w:color w:val="auto"/>
          <w:sz w:val="24"/>
          <w:highlight w:val="none"/>
        </w:rPr>
        <w:t>6.5 快递包装具体要求：见《关于印发《商品包装政府采购需求标准（试行）》、 《快递包装政府采购需求标准（试行）》的通知》（财办库〔2020〕123号）中《快递包装政府采购需求标准（试行）》。</w:t>
      </w:r>
    </w:p>
    <w:p>
      <w:pPr>
        <w:ind w:firstLine="540" w:firstLineChars="225"/>
        <w:rPr>
          <w:rFonts w:hint="eastAsia" w:ascii="宋体" w:hAnsi="宋体" w:eastAsia="宋体" w:cs="宋体"/>
          <w:color w:val="auto"/>
          <w:sz w:val="24"/>
          <w:highlight w:val="none"/>
        </w:rPr>
      </w:pPr>
    </w:p>
    <w:p>
      <w:pPr>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第七条 技术资料</w:t>
      </w:r>
    </w:p>
    <w:p>
      <w:pPr>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7.1 技术资料随合同标的同时交付给买方。</w:t>
      </w:r>
    </w:p>
    <w:p>
      <w:pPr>
        <w:ind w:firstLine="540" w:firstLineChars="225"/>
        <w:rPr>
          <w:rFonts w:hint="eastAsia" w:ascii="宋体" w:hAnsi="宋体" w:eastAsia="宋体" w:cs="宋体"/>
          <w:color w:val="auto"/>
          <w:sz w:val="24"/>
          <w:highlight w:val="none"/>
        </w:rPr>
      </w:pPr>
    </w:p>
    <w:p>
      <w:pPr>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第八条 安装</w:t>
      </w:r>
    </w:p>
    <w:p>
      <w:pPr>
        <w:ind w:firstLine="542" w:firstLineChars="225"/>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8.1卖方应于合同生效日后，</w:t>
      </w:r>
      <w:r>
        <w:rPr>
          <w:rFonts w:hint="eastAsia" w:ascii="宋体" w:hAnsi="宋体" w:eastAsia="宋体" w:cs="宋体"/>
          <w:b/>
          <w:bCs/>
          <w:color w:val="auto"/>
          <w:sz w:val="24"/>
          <w:highlight w:val="none"/>
          <w:u w:val="single"/>
        </w:rPr>
        <w:t xml:space="preserve"> </w:t>
      </w:r>
      <w:r>
        <w:rPr>
          <w:rFonts w:hint="eastAsia" w:ascii="宋体" w:hAnsi="宋体" w:cs="宋体"/>
          <w:b/>
          <w:bCs/>
          <w:color w:val="auto"/>
          <w:sz w:val="24"/>
          <w:highlight w:val="none"/>
          <w:u w:val="single"/>
          <w:lang w:val="en-US" w:eastAsia="zh-CN"/>
        </w:rPr>
        <w:t>60</w:t>
      </w:r>
      <w:r>
        <w:rPr>
          <w:rFonts w:hint="eastAsia" w:ascii="宋体" w:hAnsi="宋体" w:eastAsia="宋体" w:cs="宋体"/>
          <w:b/>
          <w:bCs/>
          <w:color w:val="auto"/>
          <w:sz w:val="24"/>
          <w:highlight w:val="none"/>
          <w:u w:val="single"/>
          <w:lang w:val="en-US" w:eastAsia="zh-CN"/>
        </w:rPr>
        <w:t xml:space="preserve"> </w:t>
      </w:r>
      <w:r>
        <w:rPr>
          <w:rFonts w:hint="eastAsia" w:ascii="宋体" w:hAnsi="宋体" w:eastAsia="宋体" w:cs="宋体"/>
          <w:b/>
          <w:bCs/>
          <w:color w:val="auto"/>
          <w:sz w:val="24"/>
          <w:highlight w:val="none"/>
        </w:rPr>
        <w:t>日内将合同标的全部交付并安装完毕。</w:t>
      </w:r>
    </w:p>
    <w:p>
      <w:pPr>
        <w:ind w:firstLine="540" w:firstLineChars="225"/>
        <w:rPr>
          <w:rFonts w:hint="eastAsia" w:ascii="宋体" w:hAnsi="宋体" w:eastAsia="宋体" w:cs="宋体"/>
          <w:color w:val="auto"/>
          <w:sz w:val="24"/>
          <w:highlight w:val="none"/>
        </w:rPr>
      </w:pPr>
    </w:p>
    <w:p>
      <w:pPr>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第九条 验收</w:t>
      </w:r>
    </w:p>
    <w:p>
      <w:pPr>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9.1 合同标的的试运行、验收应在卖方的协助下进行。合同标的全部交付并安装完毕后，卖方可向买方书面提出试运行、验收要求，买方在接到书面要求后</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rPr>
        <w:t>日进行试运行、验收。如果试运行和/或验收因卖方原因发生迟延和/ 或在其它情况下发生额外费用，买方有权就因迟延发生的损害和损失和/或任何额外费用请求赔偿。</w:t>
      </w:r>
    </w:p>
    <w:p>
      <w:pPr>
        <w:ind w:firstLine="540" w:firstLineChars="225"/>
        <w:rPr>
          <w:rFonts w:hint="eastAsia" w:ascii="宋体" w:hAnsi="宋体" w:eastAsia="宋体" w:cs="宋体"/>
          <w:color w:val="auto"/>
          <w:highlight w:val="none"/>
        </w:rPr>
      </w:pPr>
      <w:r>
        <w:rPr>
          <w:rFonts w:hint="eastAsia" w:ascii="宋体" w:hAnsi="宋体" w:eastAsia="宋体" w:cs="宋体"/>
          <w:color w:val="auto"/>
          <w:sz w:val="24"/>
          <w:highlight w:val="none"/>
        </w:rPr>
        <w:t>9.2由买方进行评估和验收；经买方验收不合格的，卖方在接到买方通知后三日内整改，并保证再次验收合格。如已超过90天交货期限，卖方每天应按合同标的金额的百分之一 (1%)的比率支付违约金。</w:t>
      </w:r>
    </w:p>
    <w:p>
      <w:pPr>
        <w:ind w:firstLine="540" w:firstLineChars="225"/>
        <w:rPr>
          <w:rFonts w:hint="eastAsia" w:ascii="宋体" w:hAnsi="宋体" w:eastAsia="宋体" w:cs="宋体"/>
          <w:color w:val="auto"/>
          <w:sz w:val="24"/>
          <w:highlight w:val="none"/>
        </w:rPr>
      </w:pPr>
    </w:p>
    <w:p>
      <w:pPr>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第十一条 索赔</w:t>
      </w:r>
    </w:p>
    <w:p>
      <w:pPr>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11.1买方有权选择本条款规定的任意或全部救济方式。</w:t>
      </w:r>
    </w:p>
    <w:p>
      <w:pPr>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11.2卖方应在收到买方索赔要求后14日内作出书面回复，否则该索赔要求将被视为已被卖方接受。卖方应在买方发出索赔要求后14日内，按照买方选择的救济方法解决索赔事宜。</w:t>
      </w:r>
    </w:p>
    <w:p>
      <w:pPr>
        <w:ind w:firstLine="540" w:firstLineChars="225"/>
        <w:rPr>
          <w:rFonts w:hint="eastAsia" w:ascii="宋体" w:hAnsi="宋体" w:eastAsia="宋体" w:cs="宋体"/>
          <w:color w:val="auto"/>
          <w:sz w:val="24"/>
          <w:highlight w:val="none"/>
        </w:rPr>
      </w:pPr>
    </w:p>
    <w:p>
      <w:pPr>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第十二条 不可抗力</w:t>
      </w:r>
    </w:p>
    <w:p>
      <w:pPr>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12.3 如果不可抗力事件的影响持续超过20日，合同任何一方均有权发出书面通知终止合同。</w:t>
      </w:r>
    </w:p>
    <w:p>
      <w:pPr>
        <w:ind w:firstLine="540" w:firstLineChars="225"/>
        <w:rPr>
          <w:rFonts w:hint="eastAsia" w:ascii="宋体" w:hAnsi="宋体" w:eastAsia="宋体" w:cs="宋体"/>
          <w:color w:val="auto"/>
          <w:sz w:val="24"/>
          <w:highlight w:val="none"/>
        </w:rPr>
      </w:pPr>
    </w:p>
    <w:p>
      <w:pPr>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第十三条 合同的终止</w:t>
      </w:r>
    </w:p>
    <w:p>
      <w:pPr>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13.1如果卖方有下述违约行为，买方可以全部或部分地终止合同：</w:t>
      </w:r>
    </w:p>
    <w:p>
      <w:pPr>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卖方在合同规定的交货期限后</w:t>
      </w:r>
      <w:r>
        <w:rPr>
          <w:rFonts w:hint="eastAsia" w:ascii="宋体" w:hAnsi="宋体" w:eastAsia="宋体" w:cs="宋体"/>
          <w:color w:val="auto"/>
          <w:sz w:val="24"/>
          <w:highlight w:val="none"/>
          <w:u w:val="single"/>
        </w:rPr>
        <w:t>10</w:t>
      </w:r>
      <w:r>
        <w:rPr>
          <w:rFonts w:hint="eastAsia" w:ascii="宋体" w:hAnsi="宋体" w:eastAsia="宋体" w:cs="宋体"/>
          <w:color w:val="auto"/>
          <w:sz w:val="24"/>
          <w:highlight w:val="none"/>
        </w:rPr>
        <w:t>日内仍未能交付合同标的和/ 或技术资料；或者卖方未能履行合同项下任何其它义务，并且在收到买方违约通知后</w:t>
      </w:r>
      <w:r>
        <w:rPr>
          <w:rFonts w:hint="eastAsia" w:ascii="宋体" w:hAnsi="宋体" w:eastAsia="宋体" w:cs="宋体"/>
          <w:color w:val="auto"/>
          <w:sz w:val="24"/>
          <w:highlight w:val="none"/>
          <w:u w:val="single"/>
        </w:rPr>
        <w:t>5</w:t>
      </w:r>
      <w:r>
        <w:rPr>
          <w:rFonts w:hint="eastAsia" w:ascii="宋体" w:hAnsi="宋体" w:eastAsia="宋体" w:cs="宋体"/>
          <w:color w:val="auto"/>
          <w:sz w:val="24"/>
          <w:highlight w:val="none"/>
        </w:rPr>
        <w:t>日内仍未能对其违约行为作出补救。</w:t>
      </w:r>
    </w:p>
    <w:p>
      <w:pPr>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13.4 在买方全部或部分终止合同的情况下，买方可以以适当的条件取得与未按合同规定交付的标的和/或文件和/或未提供的服务类似的标的和/或文件和/或服务，卖方应承担买方由此发生的额外费用。但是，卖方仍应继续履行合同义务中没有终止的部分。</w:t>
      </w:r>
    </w:p>
    <w:p>
      <w:pPr>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第十四条 争议的解决</w:t>
      </w:r>
    </w:p>
    <w:p>
      <w:pPr>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14.1如果不能协商一致，合同任何一方有权向买方所在地人民法院提起诉讼。</w:t>
      </w:r>
    </w:p>
    <w:p>
      <w:pPr>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14.2买卖双方均应按约定内容严格履行合同，任何一方违约，应当向守约方承担违约责任，同时守约方有权要求违约方立即改正，拒不改正的，由违约方承担守约方因此而支付的包括但不限于诉讼费，律师费，咨询费，鉴定费，取证费等相关费用。</w:t>
      </w:r>
    </w:p>
    <w:p>
      <w:pPr>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第十八条 合同生效及其他</w:t>
      </w:r>
    </w:p>
    <w:p>
      <w:pPr>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18.10 按照《财政部关于做好政府采购信息公开工作的通知》（财库〔2015〕135号），买方依据《保守国家秘密法》等法律制度规定确定本合同</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部分涉及国家秘密，该涉及国家秘密部分不公告；买方依据《反不正当竞争法》等法律制度的规定与卖方约定本合同</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部分涉及商业秘密，该涉及商业秘密部分不公告。</w:t>
      </w:r>
    </w:p>
    <w:p>
      <w:pPr>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18.11 合同双方的通讯地址： </w:t>
      </w:r>
    </w:p>
    <w:p>
      <w:pPr>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买方:</w:t>
      </w:r>
    </w:p>
    <w:p>
      <w:pPr>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地址: </w:t>
      </w:r>
    </w:p>
    <w:p>
      <w:pPr>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邮编: </w:t>
      </w:r>
    </w:p>
    <w:p>
      <w:pPr>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电话: </w:t>
      </w:r>
    </w:p>
    <w:p>
      <w:pPr>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传真: </w:t>
      </w:r>
    </w:p>
    <w:p>
      <w:pPr>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卖方: </w:t>
      </w:r>
    </w:p>
    <w:p>
      <w:pPr>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地址: </w:t>
      </w:r>
    </w:p>
    <w:p>
      <w:pPr>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邮编: </w:t>
      </w:r>
    </w:p>
    <w:p>
      <w:pPr>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电话: </w:t>
      </w:r>
    </w:p>
    <w:p>
      <w:pPr>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传真: </w:t>
      </w:r>
    </w:p>
    <w:p>
      <w:pPr>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18.12</w:t>
      </w:r>
      <w:r>
        <w:rPr>
          <w:rFonts w:hint="eastAsia" w:ascii="宋体" w:hAnsi="宋体" w:eastAsia="宋体" w:cs="宋体"/>
          <w:color w:val="auto"/>
          <w:kern w:val="0"/>
          <w:sz w:val="24"/>
          <w:highlight w:val="none"/>
        </w:rPr>
        <w:t>因买方原因导致变更、中止或者终止政府采购合同的，买方对卖方受到的实际损失予以赔偿或者补偿。</w:t>
      </w:r>
    </w:p>
    <w:p>
      <w:pPr>
        <w:jc w:val="center"/>
        <w:rPr>
          <w:rFonts w:hint="eastAsia" w:ascii="宋体" w:hAnsi="宋体" w:eastAsia="宋体" w:cs="宋体"/>
          <w:color w:val="auto"/>
          <w:sz w:val="30"/>
          <w:szCs w:val="30"/>
          <w:highlight w:val="none"/>
        </w:rPr>
      </w:pPr>
      <w:r>
        <w:rPr>
          <w:rFonts w:hint="eastAsia" w:ascii="宋体" w:hAnsi="宋体" w:eastAsia="宋体" w:cs="宋体"/>
          <w:color w:val="auto"/>
          <w:sz w:val="24"/>
          <w:highlight w:val="none"/>
        </w:rPr>
        <w:br w:type="page"/>
      </w:r>
      <w:r>
        <w:rPr>
          <w:rFonts w:hint="eastAsia" w:ascii="宋体" w:hAnsi="宋体" w:eastAsia="宋体" w:cs="宋体"/>
          <w:color w:val="auto"/>
          <w:sz w:val="30"/>
          <w:szCs w:val="30"/>
          <w:highlight w:val="none"/>
        </w:rPr>
        <w:t>合同附件</w:t>
      </w:r>
    </w:p>
    <w:p>
      <w:pPr>
        <w:jc w:val="center"/>
        <w:rPr>
          <w:rFonts w:hint="eastAsia" w:ascii="宋体" w:hAnsi="宋体" w:eastAsia="宋体" w:cs="宋体"/>
          <w:color w:val="auto"/>
          <w:sz w:val="24"/>
          <w:highlight w:val="none"/>
        </w:rPr>
      </w:pPr>
    </w:p>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目录</w:t>
      </w:r>
    </w:p>
    <w:p>
      <w:pPr>
        <w:jc w:val="cente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合同附件1：合同协议书</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合同附件2：技术规格和技术性能</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(要求见招标文件第六章《采购需求》；合同见卖方投标文件中《所投产品的技术规格》。)</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合同附件3：售后服务和技术培训</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(要求见招标文件第六章《采购需求》；合同见卖方投标文件中《售后服务和技术培训方案》。)</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合同附件4：供货范围和价格清单</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(要求见招标文件第七章《投标文件相关格式》中《开标一览表》和《分项价格表》；合同见卖方投标文件中《开标一览表》和《分项价格表》。)</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合同附件5：</w:t>
      </w:r>
      <w:r>
        <w:rPr>
          <w:rFonts w:hint="eastAsia" w:ascii="宋体" w:hAnsi="宋体" w:eastAsia="宋体" w:cs="宋体"/>
          <w:color w:val="auto"/>
          <w:kern w:val="0"/>
          <w:sz w:val="24"/>
          <w:highlight w:val="none"/>
        </w:rPr>
        <w:t>验收标准（</w:t>
      </w:r>
      <w:r>
        <w:rPr>
          <w:rFonts w:hint="eastAsia" w:ascii="宋体" w:hAnsi="宋体" w:eastAsia="宋体" w:cs="宋体"/>
          <w:color w:val="auto"/>
          <w:sz w:val="24"/>
          <w:highlight w:val="none"/>
        </w:rPr>
        <w:t>验收要求、验收标准和程序）</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(要求见招标文件第六章《采购需求》；合同见卖方投标文件。）</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合同附件6：采购需求</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(见招标文件第六章《采购需求》。)</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合同附件7：项目实施方案</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(要求见招标文件第六章《采购需求》；合同见卖方投标文件中《项目实施方案》。)</w:t>
      </w:r>
    </w:p>
    <w:p>
      <w:pPr>
        <w:rPr>
          <w:rFonts w:hint="eastAsia" w:ascii="宋体" w:hAnsi="宋体" w:eastAsia="宋体" w:cs="宋体"/>
          <w:color w:val="auto"/>
          <w:sz w:val="24"/>
          <w:highlight w:val="none"/>
        </w:rPr>
      </w:pPr>
    </w:p>
    <w:p>
      <w:pPr>
        <w:ind w:firstLine="2700" w:firstLineChars="900"/>
        <w:rPr>
          <w:rFonts w:hint="eastAsia" w:ascii="宋体" w:hAnsi="宋体" w:eastAsia="宋体" w:cs="宋体"/>
          <w:color w:val="auto"/>
          <w:sz w:val="30"/>
          <w:szCs w:val="30"/>
          <w:highlight w:val="none"/>
        </w:rPr>
      </w:pPr>
    </w:p>
    <w:p>
      <w:pPr>
        <w:ind w:firstLine="2700" w:firstLineChars="900"/>
        <w:rPr>
          <w:rFonts w:hint="eastAsia" w:ascii="宋体" w:hAnsi="宋体" w:eastAsia="宋体" w:cs="宋体"/>
          <w:color w:val="auto"/>
          <w:sz w:val="30"/>
          <w:szCs w:val="30"/>
          <w:highlight w:val="none"/>
        </w:rPr>
      </w:pPr>
    </w:p>
    <w:p>
      <w:pPr>
        <w:ind w:firstLine="2700" w:firstLineChars="900"/>
        <w:rPr>
          <w:rFonts w:hint="eastAsia" w:ascii="宋体" w:hAnsi="宋体" w:eastAsia="宋体" w:cs="宋体"/>
          <w:color w:val="auto"/>
          <w:sz w:val="30"/>
          <w:szCs w:val="30"/>
          <w:highlight w:val="none"/>
        </w:rPr>
      </w:pPr>
    </w:p>
    <w:p>
      <w:pPr>
        <w:ind w:firstLine="2700" w:firstLineChars="900"/>
        <w:rPr>
          <w:rFonts w:hint="eastAsia" w:ascii="宋体" w:hAnsi="宋体" w:eastAsia="宋体" w:cs="宋体"/>
          <w:color w:val="auto"/>
          <w:sz w:val="30"/>
          <w:szCs w:val="30"/>
          <w:highlight w:val="none"/>
        </w:rPr>
      </w:pPr>
    </w:p>
    <w:p>
      <w:pPr>
        <w:jc w:val="center"/>
        <w:rPr>
          <w:rFonts w:hint="eastAsia" w:ascii="宋体" w:hAnsi="宋体" w:eastAsia="宋体" w:cs="宋体"/>
          <w:color w:val="auto"/>
          <w:sz w:val="30"/>
          <w:szCs w:val="30"/>
          <w:highlight w:val="none"/>
        </w:rPr>
      </w:pPr>
    </w:p>
    <w:p>
      <w:pPr>
        <w:rPr>
          <w:rFonts w:hint="eastAsia" w:ascii="宋体" w:hAnsi="宋体" w:eastAsia="宋体" w:cs="宋体"/>
          <w:b/>
          <w:bCs/>
          <w:color w:val="auto"/>
          <w:sz w:val="24"/>
          <w:highlight w:val="none"/>
        </w:rPr>
        <w:sectPr>
          <w:headerReference r:id="rId7" w:type="default"/>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合同附件1：</w:t>
      </w:r>
    </w:p>
    <w:p>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合同协议书</w:t>
      </w:r>
    </w:p>
    <w:p>
      <w:pPr>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合同编号:____________ </w:t>
      </w:r>
    </w:p>
    <w:p>
      <w:pPr>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签字日期:____________ </w:t>
      </w:r>
    </w:p>
    <w:p>
      <w:pPr>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签字地点:____________ </w:t>
      </w:r>
    </w:p>
    <w:p>
      <w:pPr>
        <w:ind w:firstLine="410" w:firstLineChars="171"/>
        <w:rPr>
          <w:rFonts w:hint="eastAsia" w:ascii="宋体" w:hAnsi="宋体" w:eastAsia="宋体" w:cs="宋体"/>
          <w:color w:val="auto"/>
          <w:sz w:val="24"/>
          <w:highlight w:val="none"/>
          <w:u w:val="single"/>
        </w:rPr>
      </w:pPr>
    </w:p>
    <w:p>
      <w:pPr>
        <w:ind w:firstLine="410" w:firstLineChars="171"/>
        <w:rPr>
          <w:rFonts w:hint="eastAsia" w:ascii="宋体" w:hAnsi="宋体" w:eastAsia="宋体" w:cs="宋体"/>
          <w:color w:val="auto"/>
          <w:sz w:val="24"/>
          <w:szCs w:val="24"/>
          <w:highlight w:val="none"/>
        </w:rPr>
      </w:pPr>
      <w:r>
        <w:rPr>
          <w:rFonts w:hint="eastAsia" w:ascii="宋体" w:hAnsi="宋体" w:cs="宋体"/>
          <w:color w:val="auto"/>
          <w:sz w:val="24"/>
          <w:szCs w:val="24"/>
          <w:highlight w:val="none"/>
          <w:u w:val="single"/>
          <w:lang w:eastAsia="zh-CN"/>
        </w:rPr>
        <w:t>徐州市鼓楼区城市管理局</w:t>
      </w:r>
      <w:r>
        <w:rPr>
          <w:rFonts w:hint="eastAsia" w:ascii="宋体" w:hAnsi="宋体" w:eastAsia="宋体" w:cs="宋体"/>
          <w:color w:val="auto"/>
          <w:sz w:val="24"/>
          <w:szCs w:val="24"/>
          <w:highlight w:val="none"/>
        </w:rPr>
        <w:t>（买方名称）（以下简称“买方”）已接受</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（卖方名称）（以下简称“卖方”）对</w:t>
      </w:r>
      <w:r>
        <w:rPr>
          <w:rFonts w:hint="eastAsia" w:ascii="宋体" w:hAnsi="宋体" w:cs="宋体"/>
          <w:color w:val="auto"/>
          <w:sz w:val="24"/>
          <w:szCs w:val="24"/>
          <w:highlight w:val="none"/>
          <w:u w:val="single"/>
          <w:lang w:eastAsia="zh-CN"/>
        </w:rPr>
        <w:t>垃圾分类收集亭提档升级</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（项目名称）（项目编号：</w:t>
      </w:r>
      <w:r>
        <w:rPr>
          <w:rFonts w:hint="eastAsia" w:ascii="宋体" w:hAnsi="宋体" w:cs="宋体"/>
          <w:color w:val="auto"/>
          <w:sz w:val="24"/>
          <w:szCs w:val="24"/>
          <w:highlight w:val="none"/>
          <w:u w:val="single"/>
          <w:lang w:val="en-US" w:eastAsia="zh-CN"/>
        </w:rPr>
        <w:t>徐采公（2021）YZJS（Q）024</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）的投标。买方和卖方共同达成如下协议。</w:t>
      </w:r>
    </w:p>
    <w:p>
      <w:pPr>
        <w:numPr>
          <w:ilvl w:val="0"/>
          <w:numId w:val="3"/>
        </w:numPr>
        <w:rPr>
          <w:rFonts w:hint="eastAsia" w:ascii="宋体" w:hAnsi="宋体" w:eastAsia="宋体" w:cs="宋体"/>
          <w:color w:val="auto"/>
          <w:sz w:val="24"/>
          <w:highlight w:val="none"/>
        </w:rPr>
      </w:pPr>
      <w:r>
        <w:rPr>
          <w:rFonts w:hint="eastAsia" w:ascii="宋体" w:hAnsi="宋体" w:eastAsia="宋体" w:cs="宋体"/>
          <w:color w:val="auto"/>
          <w:sz w:val="24"/>
          <w:highlight w:val="none"/>
        </w:rPr>
        <w:t>本合同协议书中的词语和术语的含义与合同条款中定义的相同。</w:t>
      </w:r>
    </w:p>
    <w:p>
      <w:pPr>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2. 以下文件应构成买方和卖方之间达成的合同，若各文件之间存在含糊不清或互相冲突之处，优先顺序应按下列文件顺序解释。</w:t>
      </w:r>
    </w:p>
    <w:p>
      <w:pPr>
        <w:ind w:left="420" w:left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 合同协议书</w:t>
      </w:r>
    </w:p>
    <w:p>
      <w:pPr>
        <w:ind w:left="420" w:left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 中标通知书</w:t>
      </w:r>
    </w:p>
    <w:p>
      <w:pPr>
        <w:ind w:left="420" w:left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 合同专用条款</w:t>
      </w:r>
    </w:p>
    <w:p>
      <w:pPr>
        <w:ind w:left="420" w:left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 合同通用条款</w:t>
      </w:r>
    </w:p>
    <w:p>
      <w:pPr>
        <w:ind w:left="420" w:left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 除合同附件1外的合同附件</w:t>
      </w:r>
    </w:p>
    <w:p>
      <w:pPr>
        <w:ind w:left="420" w:left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 其他文件</w:t>
      </w:r>
    </w:p>
    <w:p>
      <w:pPr>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3. 考虑到买方将按照本合同向卖方支付合同价款，卖方在此保证全部按照合同的规定向买方提供合同标的、技术资料、售后服务及技术培训。</w:t>
      </w:r>
    </w:p>
    <w:p>
      <w:pPr>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4. 考虑到卖方将按合同规定提供合同标的、技术资料、售后服务及技术培训，买方在此保证按照合同规定的时间和方式向卖方支付合同价款。</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5. 本合同在下列条件全部满足后生效，生效日期以下列条件全部满足的最晚日期为准： </w:t>
      </w:r>
    </w:p>
    <w:p>
      <w:pPr>
        <w:ind w:left="420" w:left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 双方加盖公章或合同专用章； </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 合同一式</w:t>
      </w:r>
      <w:r>
        <w:rPr>
          <w:rFonts w:hint="eastAsia" w:ascii="宋体" w:hAnsi="宋体" w:eastAsia="宋体" w:cs="宋体"/>
          <w:color w:val="auto"/>
          <w:sz w:val="24"/>
          <w:highlight w:val="none"/>
          <w:u w:val="single"/>
          <w:lang w:val="en-US" w:eastAsia="zh-CN"/>
        </w:rPr>
        <w:t xml:space="preserve"> 肆 </w:t>
      </w:r>
      <w:r>
        <w:rPr>
          <w:rFonts w:hint="eastAsia" w:ascii="宋体" w:hAnsi="宋体" w:eastAsia="宋体" w:cs="宋体"/>
          <w:color w:val="auto"/>
          <w:sz w:val="24"/>
          <w:highlight w:val="none"/>
        </w:rPr>
        <w:t>份，具有同等法律效力，买方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壹 </w:t>
      </w:r>
      <w:r>
        <w:rPr>
          <w:rFonts w:hint="eastAsia" w:ascii="宋体" w:hAnsi="宋体" w:eastAsia="宋体" w:cs="宋体"/>
          <w:color w:val="auto"/>
          <w:sz w:val="24"/>
          <w:highlight w:val="none"/>
        </w:rPr>
        <w:t>份，卖方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壹 </w:t>
      </w:r>
      <w:r>
        <w:rPr>
          <w:rFonts w:hint="eastAsia" w:ascii="宋体" w:hAnsi="宋体" w:eastAsia="宋体" w:cs="宋体"/>
          <w:color w:val="auto"/>
          <w:sz w:val="24"/>
          <w:highlight w:val="none"/>
        </w:rPr>
        <w:t>份，</w:t>
      </w:r>
      <w:r>
        <w:rPr>
          <w:rFonts w:hint="eastAsia" w:ascii="宋体" w:hAnsi="宋体" w:cs="宋体"/>
          <w:color w:val="auto"/>
          <w:sz w:val="24"/>
          <w:highlight w:val="none"/>
          <w:lang w:eastAsia="zh-CN"/>
        </w:rPr>
        <w:t>永曌（江苏）项目管理有限公司</w:t>
      </w:r>
      <w:r>
        <w:rPr>
          <w:rFonts w:hint="eastAsia" w:ascii="宋体" w:hAnsi="宋体" w:eastAsia="宋体" w:cs="宋体"/>
          <w:color w:val="auto"/>
          <w:sz w:val="24"/>
          <w:highlight w:val="none"/>
          <w:lang w:eastAsia="zh-CN"/>
        </w:rPr>
        <w:t>一份</w:t>
      </w:r>
      <w:r>
        <w:rPr>
          <w:rFonts w:hint="eastAsia" w:ascii="宋体" w:hAnsi="宋体" w:eastAsia="宋体" w:cs="宋体"/>
          <w:color w:val="auto"/>
          <w:sz w:val="24"/>
          <w:highlight w:val="none"/>
        </w:rPr>
        <w:t>存档，政府采购管理部门一份备案。</w:t>
      </w:r>
    </w:p>
    <w:p>
      <w:pPr>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7.本合同其他未尽事宜及与采购文件有矛盾之处，以采购文件[项目编号：</w:t>
      </w:r>
      <w:r>
        <w:rPr>
          <w:rFonts w:hint="eastAsia" w:ascii="宋体" w:hAnsi="宋体" w:cs="宋体"/>
          <w:color w:val="auto"/>
          <w:sz w:val="24"/>
          <w:szCs w:val="24"/>
          <w:highlight w:val="none"/>
          <w:u w:val="single"/>
          <w:lang w:val="en-US" w:eastAsia="zh-CN"/>
        </w:rPr>
        <w:t>徐采公（2021）YZJS（Q）024</w:t>
      </w:r>
      <w:r>
        <w:rPr>
          <w:rFonts w:hint="eastAsia" w:ascii="宋体" w:hAnsi="宋体" w:eastAsia="宋体" w:cs="宋体"/>
          <w:color w:val="auto"/>
          <w:sz w:val="24"/>
          <w:highlight w:val="none"/>
        </w:rPr>
        <w:t>]为准。</w:t>
      </w:r>
    </w:p>
    <w:p>
      <w:pPr>
        <w:ind w:firstLine="360" w:firstLineChars="150"/>
        <w:rPr>
          <w:rFonts w:hint="eastAsia" w:ascii="宋体" w:hAnsi="宋体" w:eastAsia="宋体" w:cs="宋体"/>
          <w:color w:val="auto"/>
          <w:sz w:val="24"/>
          <w:highlight w:val="none"/>
        </w:rPr>
      </w:pPr>
    </w:p>
    <w:p>
      <w:pPr>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买方和卖方由其正式授权代表于上述所写日期和地点签订本合同。</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买方（签章）：____________________________________  </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法定代表人或授权代表(签名)： ____________________ </w:t>
      </w:r>
    </w:p>
    <w:p>
      <w:pPr>
        <w:ind w:firstLine="3360" w:firstLineChars="1400"/>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卖方（签章）： ____________________________________ </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法定代表人或授权代表(签名)： ____________________ </w:t>
      </w:r>
    </w:p>
    <w:p>
      <w:pPr>
        <w:spacing w:line="360" w:lineRule="auto"/>
        <w:jc w:val="center"/>
        <w:rPr>
          <w:rFonts w:hint="eastAsia" w:ascii="宋体" w:hAnsi="宋体" w:eastAsia="宋体" w:cs="宋体"/>
          <w:b/>
          <w:color w:val="auto"/>
          <w:sz w:val="30"/>
          <w:szCs w:val="32"/>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spacing w:line="360" w:lineRule="auto"/>
        <w:jc w:val="center"/>
        <w:rPr>
          <w:rFonts w:hint="eastAsia" w:asciiTheme="majorEastAsia" w:hAnsiTheme="majorEastAsia" w:eastAsiaTheme="majorEastAsia" w:cstheme="majorEastAsia"/>
          <w:color w:val="auto"/>
          <w:sz w:val="30"/>
          <w:highlight w:val="none"/>
        </w:rPr>
      </w:pPr>
      <w:r>
        <w:rPr>
          <w:rFonts w:hint="eastAsia" w:ascii="宋体" w:hAnsi="宋体" w:eastAsia="宋体" w:cs="宋体"/>
          <w:b/>
          <w:color w:val="auto"/>
          <w:sz w:val="30"/>
          <w:szCs w:val="32"/>
          <w:highlight w:val="none"/>
        </w:rPr>
        <w:t xml:space="preserve">第六章 </w:t>
      </w:r>
      <w:r>
        <w:rPr>
          <w:rFonts w:hint="eastAsia" w:asciiTheme="majorEastAsia" w:hAnsiTheme="majorEastAsia" w:eastAsiaTheme="majorEastAsia" w:cstheme="majorEastAsia"/>
          <w:b/>
          <w:color w:val="auto"/>
          <w:sz w:val="30"/>
          <w:szCs w:val="32"/>
          <w:highlight w:val="none"/>
        </w:rPr>
        <w:t>采购需求</w:t>
      </w:r>
      <w:bookmarkStart w:id="3" w:name="_Toc322457054"/>
      <w:bookmarkStart w:id="4" w:name="_Toc324452802"/>
    </w:p>
    <w:bookmarkEnd w:id="3"/>
    <w:bookmarkEnd w:id="4"/>
    <w:p>
      <w:pPr>
        <w:numPr>
          <w:ilvl w:val="0"/>
          <w:numId w:val="4"/>
        </w:numPr>
        <w:spacing w:before="0" w:after="0" w:line="360" w:lineRule="auto"/>
        <w:ind w:leftChars="0" w:right="0" w:rightChars="0"/>
        <w:jc w:val="both"/>
        <w:rPr>
          <w:rFonts w:ascii="宋体" w:hAnsi="宋体" w:eastAsia="宋体" w:cs="宋体"/>
          <w:b/>
          <w:color w:val="auto"/>
          <w:spacing w:val="0"/>
          <w:position w:val="0"/>
          <w:sz w:val="24"/>
          <w:shd w:val="clear" w:fill="auto"/>
        </w:rPr>
      </w:pPr>
      <w:r>
        <w:rPr>
          <w:rFonts w:hint="eastAsia" w:ascii="宋体" w:hAnsi="宋体" w:eastAsia="宋体" w:cs="宋体"/>
          <w:b/>
          <w:color w:val="auto"/>
          <w:spacing w:val="0"/>
          <w:position w:val="0"/>
          <w:sz w:val="24"/>
          <w:shd w:val="clear" w:fill="auto"/>
        </w:rPr>
        <w:t>采购项目说明</w:t>
      </w:r>
    </w:p>
    <w:p>
      <w:pPr>
        <w:numPr>
          <w:ilvl w:val="0"/>
          <w:numId w:val="0"/>
        </w:numPr>
        <w:spacing w:before="0" w:after="0" w:line="360" w:lineRule="auto"/>
        <w:ind w:leftChars="0" w:right="0" w:rightChars="0"/>
        <w:jc w:val="both"/>
        <w:rPr>
          <w:rFonts w:hint="eastAsia" w:ascii="宋体" w:hAnsi="宋体" w:eastAsia="宋体" w:cs="宋体"/>
          <w:b w:val="0"/>
          <w:bCs/>
          <w:color w:val="auto"/>
          <w:spacing w:val="0"/>
          <w:position w:val="0"/>
          <w:sz w:val="24"/>
          <w:shd w:val="clear" w:fill="auto"/>
          <w:lang w:eastAsia="zh-CN"/>
        </w:rPr>
      </w:pPr>
      <w:r>
        <w:rPr>
          <w:rFonts w:hint="eastAsia" w:ascii="宋体" w:hAnsi="宋体" w:eastAsia="宋体" w:cs="宋体"/>
          <w:b w:val="0"/>
          <w:bCs/>
          <w:color w:val="auto"/>
          <w:spacing w:val="0"/>
          <w:position w:val="0"/>
          <w:sz w:val="24"/>
          <w:shd w:val="clear" w:fill="auto"/>
        </w:rPr>
        <w:t>1.项目名称：</w:t>
      </w:r>
      <w:r>
        <w:rPr>
          <w:rFonts w:hint="eastAsia" w:ascii="宋体" w:hAnsi="宋体" w:eastAsia="宋体" w:cs="宋体"/>
          <w:b w:val="0"/>
          <w:bCs/>
          <w:color w:val="auto"/>
          <w:spacing w:val="0"/>
          <w:position w:val="0"/>
          <w:sz w:val="24"/>
          <w:shd w:val="clear" w:fill="auto"/>
          <w:lang w:eastAsia="zh-CN"/>
        </w:rPr>
        <w:t>垃圾分类收集亭提档升级</w:t>
      </w:r>
    </w:p>
    <w:p>
      <w:pPr>
        <w:numPr>
          <w:ilvl w:val="0"/>
          <w:numId w:val="0"/>
        </w:numPr>
        <w:spacing w:before="0" w:after="0" w:line="360" w:lineRule="auto"/>
        <w:ind w:leftChars="0" w:right="0" w:rightChars="0"/>
        <w:jc w:val="both"/>
        <w:rPr>
          <w:rFonts w:hint="eastAsia" w:ascii="宋体" w:hAnsi="宋体" w:eastAsia="宋体" w:cs="宋体"/>
          <w:b w:val="0"/>
          <w:bCs/>
          <w:color w:val="auto"/>
          <w:spacing w:val="0"/>
          <w:position w:val="0"/>
          <w:sz w:val="24"/>
          <w:shd w:val="clear" w:fill="auto"/>
          <w:lang w:eastAsia="zh-CN"/>
        </w:rPr>
      </w:pPr>
      <w:r>
        <w:rPr>
          <w:rFonts w:hint="eastAsia" w:ascii="宋体" w:hAnsi="宋体" w:eastAsia="宋体" w:cs="宋体"/>
          <w:b w:val="0"/>
          <w:bCs/>
          <w:color w:val="auto"/>
          <w:spacing w:val="0"/>
          <w:position w:val="0"/>
          <w:sz w:val="24"/>
          <w:shd w:val="clear" w:fill="auto"/>
        </w:rPr>
        <w:t>2.采购人：</w:t>
      </w:r>
      <w:r>
        <w:rPr>
          <w:rFonts w:hint="eastAsia" w:ascii="宋体" w:hAnsi="宋体" w:eastAsia="宋体" w:cs="宋体"/>
          <w:b w:val="0"/>
          <w:bCs/>
          <w:color w:val="auto"/>
          <w:spacing w:val="0"/>
          <w:position w:val="0"/>
          <w:sz w:val="24"/>
          <w:shd w:val="clear" w:fill="auto"/>
          <w:lang w:eastAsia="zh-CN"/>
        </w:rPr>
        <w:t>徐州市鼓楼区城市管理局</w:t>
      </w:r>
    </w:p>
    <w:p>
      <w:pPr>
        <w:numPr>
          <w:ilvl w:val="0"/>
          <w:numId w:val="0"/>
        </w:numPr>
        <w:spacing w:before="0" w:after="0" w:line="360" w:lineRule="auto"/>
        <w:ind w:leftChars="0" w:right="0" w:rightChars="0"/>
        <w:jc w:val="both"/>
        <w:rPr>
          <w:rFonts w:ascii="宋体" w:hAnsi="宋体" w:eastAsia="宋体" w:cs="宋体"/>
          <w:b w:val="0"/>
          <w:bCs/>
          <w:color w:val="auto"/>
          <w:spacing w:val="0"/>
          <w:position w:val="0"/>
          <w:sz w:val="24"/>
          <w:shd w:val="clear" w:fill="auto"/>
        </w:rPr>
      </w:pPr>
      <w:r>
        <w:rPr>
          <w:rFonts w:hint="eastAsia" w:ascii="宋体" w:hAnsi="宋体" w:eastAsia="宋体" w:cs="宋体"/>
          <w:b w:val="0"/>
          <w:bCs/>
          <w:color w:val="auto"/>
          <w:spacing w:val="0"/>
          <w:position w:val="0"/>
          <w:sz w:val="24"/>
          <w:shd w:val="clear" w:fill="auto"/>
          <w:lang w:val="en-US" w:eastAsia="zh-CN"/>
        </w:rPr>
        <w:t>3.</w:t>
      </w:r>
      <w:r>
        <w:rPr>
          <w:rFonts w:ascii="宋体" w:hAnsi="宋体" w:eastAsia="宋体" w:cs="宋体"/>
          <w:b w:val="0"/>
          <w:bCs/>
          <w:color w:val="auto"/>
          <w:spacing w:val="0"/>
          <w:position w:val="0"/>
          <w:sz w:val="24"/>
          <w:shd w:val="clear" w:fill="auto"/>
        </w:rPr>
        <w:t>本项目采购的是非进口产品</w:t>
      </w:r>
      <w:r>
        <w:rPr>
          <w:rFonts w:hint="eastAsia" w:ascii="宋体" w:hAnsi="宋体" w:eastAsia="宋体" w:cs="宋体"/>
          <w:b w:val="0"/>
          <w:bCs/>
          <w:color w:val="auto"/>
          <w:spacing w:val="0"/>
          <w:position w:val="0"/>
          <w:sz w:val="24"/>
          <w:shd w:val="clear" w:fill="auto"/>
          <w:lang w:eastAsia="zh-CN"/>
        </w:rPr>
        <w:t>，</w:t>
      </w:r>
      <w:r>
        <w:rPr>
          <w:rFonts w:ascii="宋体" w:hAnsi="宋体" w:eastAsia="宋体" w:cs="宋体"/>
          <w:b w:val="0"/>
          <w:bCs/>
          <w:color w:val="auto"/>
          <w:spacing w:val="0"/>
          <w:position w:val="0"/>
          <w:sz w:val="24"/>
          <w:shd w:val="clear" w:fill="auto"/>
        </w:rPr>
        <w:t>采购标的</w:t>
      </w:r>
      <w:r>
        <w:rPr>
          <w:rFonts w:hint="eastAsia" w:ascii="宋体" w:hAnsi="宋体" w:eastAsia="宋体" w:cs="宋体"/>
          <w:b w:val="0"/>
          <w:bCs/>
          <w:color w:val="auto"/>
          <w:spacing w:val="0"/>
          <w:position w:val="0"/>
          <w:sz w:val="24"/>
          <w:shd w:val="clear" w:fill="auto"/>
          <w:lang w:val="en-US" w:eastAsia="zh-CN"/>
        </w:rPr>
        <w:t>为</w:t>
      </w:r>
      <w:r>
        <w:rPr>
          <w:rFonts w:ascii="宋体" w:hAnsi="宋体" w:eastAsia="宋体" w:cs="宋体"/>
          <w:b w:val="0"/>
          <w:bCs/>
          <w:color w:val="auto"/>
          <w:spacing w:val="0"/>
          <w:position w:val="0"/>
          <w:sz w:val="24"/>
          <w:shd w:val="clear" w:fill="auto"/>
        </w:rPr>
        <w:t>购置垃圾分类收集亭。</w:t>
      </w:r>
    </w:p>
    <w:p>
      <w:pPr>
        <w:numPr>
          <w:ilvl w:val="0"/>
          <w:numId w:val="0"/>
        </w:numPr>
        <w:spacing w:before="0" w:after="0" w:line="360" w:lineRule="auto"/>
        <w:ind w:leftChars="0" w:right="0" w:rightChars="0"/>
        <w:jc w:val="both"/>
        <w:rPr>
          <w:rFonts w:ascii="宋体" w:hAnsi="宋体" w:eastAsia="宋体" w:cs="宋体"/>
          <w:b w:val="0"/>
          <w:bCs/>
          <w:color w:val="auto"/>
          <w:spacing w:val="0"/>
          <w:position w:val="0"/>
          <w:sz w:val="24"/>
          <w:shd w:val="clear" w:fill="auto"/>
        </w:rPr>
      </w:pPr>
      <w:r>
        <w:rPr>
          <w:rFonts w:hint="eastAsia" w:ascii="宋体" w:hAnsi="宋体" w:eastAsia="宋体" w:cs="宋体"/>
          <w:b w:val="0"/>
          <w:bCs/>
          <w:color w:val="auto"/>
          <w:spacing w:val="0"/>
          <w:position w:val="0"/>
          <w:sz w:val="24"/>
          <w:shd w:val="clear" w:fill="auto"/>
          <w:lang w:val="en-US" w:eastAsia="zh-CN"/>
        </w:rPr>
        <w:t>二、</w:t>
      </w:r>
      <w:r>
        <w:rPr>
          <w:rFonts w:ascii="宋体" w:hAnsi="宋体" w:eastAsia="宋体" w:cs="宋体"/>
          <w:b w:val="0"/>
          <w:bCs/>
          <w:color w:val="auto"/>
          <w:spacing w:val="0"/>
          <w:position w:val="0"/>
          <w:sz w:val="24"/>
          <w:shd w:val="clear" w:fill="auto"/>
        </w:rPr>
        <w:t>本项目一标段不接受超过</w:t>
      </w:r>
      <w:r>
        <w:rPr>
          <w:rFonts w:ascii="宋体" w:hAnsi="宋体" w:eastAsia="宋体" w:cs="宋体"/>
          <w:b/>
          <w:bCs w:val="0"/>
          <w:color w:val="auto"/>
          <w:spacing w:val="0"/>
          <w:position w:val="0"/>
          <w:sz w:val="24"/>
          <w:shd w:val="clear" w:fill="auto"/>
        </w:rPr>
        <w:t>258万元人民币</w:t>
      </w:r>
      <w:r>
        <w:rPr>
          <w:rFonts w:ascii="宋体" w:hAnsi="宋体" w:eastAsia="宋体" w:cs="宋体"/>
          <w:b w:val="0"/>
          <w:bCs/>
          <w:color w:val="auto"/>
          <w:spacing w:val="0"/>
          <w:position w:val="0"/>
          <w:sz w:val="24"/>
          <w:shd w:val="clear" w:fill="auto"/>
        </w:rPr>
        <w:t>（采购项目预算金额）的投标报价。报价包括产品价、税金、运费、安装调试、检验、保险等全部费用。</w:t>
      </w:r>
    </w:p>
    <w:p>
      <w:pPr>
        <w:spacing w:before="0" w:after="0" w:line="360" w:lineRule="auto"/>
        <w:ind w:left="0" w:right="0" w:firstLine="0"/>
        <w:jc w:val="both"/>
        <w:rPr>
          <w:rFonts w:hint="eastAsia" w:ascii="宋体" w:hAnsi="宋体" w:eastAsia="宋体" w:cs="宋体"/>
          <w:b w:val="0"/>
          <w:bCs/>
          <w:color w:val="auto"/>
          <w:spacing w:val="0"/>
          <w:position w:val="0"/>
          <w:sz w:val="24"/>
          <w:shd w:val="clear" w:fill="auto"/>
          <w:lang w:eastAsia="zh-CN"/>
        </w:rPr>
      </w:pPr>
      <w:r>
        <w:rPr>
          <w:rFonts w:ascii="宋体" w:hAnsi="宋体" w:eastAsia="宋体" w:cs="宋体"/>
          <w:b w:val="0"/>
          <w:bCs/>
          <w:color w:val="auto"/>
          <w:spacing w:val="0"/>
          <w:position w:val="0"/>
          <w:sz w:val="24"/>
          <w:shd w:val="clear" w:fill="auto"/>
        </w:rPr>
        <w:t>二标段不接受超过</w:t>
      </w:r>
      <w:r>
        <w:rPr>
          <w:rFonts w:ascii="宋体" w:hAnsi="宋体" w:eastAsia="宋体" w:cs="宋体"/>
          <w:b/>
          <w:bCs w:val="0"/>
          <w:color w:val="auto"/>
          <w:spacing w:val="0"/>
          <w:position w:val="0"/>
          <w:sz w:val="24"/>
          <w:shd w:val="clear" w:fill="auto"/>
        </w:rPr>
        <w:t>372万元人民币</w:t>
      </w:r>
      <w:r>
        <w:rPr>
          <w:rFonts w:ascii="宋体" w:hAnsi="宋体" w:eastAsia="宋体" w:cs="宋体"/>
          <w:b w:val="0"/>
          <w:bCs/>
          <w:color w:val="auto"/>
          <w:spacing w:val="0"/>
          <w:position w:val="0"/>
          <w:sz w:val="24"/>
          <w:shd w:val="clear" w:fill="auto"/>
        </w:rPr>
        <w:t>（采购项目预算金额）的投标报价。报价包括产品价、税金、运费、安装调试、检验、保险等全部费用</w:t>
      </w:r>
      <w:r>
        <w:rPr>
          <w:rFonts w:hint="eastAsia" w:ascii="宋体" w:hAnsi="宋体" w:eastAsia="宋体" w:cs="宋体"/>
          <w:b w:val="0"/>
          <w:bCs/>
          <w:color w:val="auto"/>
          <w:spacing w:val="0"/>
          <w:position w:val="0"/>
          <w:sz w:val="24"/>
          <w:shd w:val="clear" w:fill="auto"/>
          <w:lang w:eastAsia="zh-CN"/>
        </w:rPr>
        <w:t>，</w:t>
      </w:r>
      <w:r>
        <w:rPr>
          <w:rFonts w:hint="eastAsia" w:ascii="宋体" w:hAnsi="宋体" w:eastAsia="宋体" w:cs="宋体"/>
          <w:b w:val="0"/>
          <w:bCs/>
          <w:color w:val="auto"/>
          <w:spacing w:val="0"/>
          <w:position w:val="0"/>
          <w:sz w:val="24"/>
          <w:shd w:val="clear" w:fill="auto"/>
          <w:lang w:val="en-US" w:eastAsia="zh-CN"/>
        </w:rPr>
        <w:t>本项目采用固定总价合同，一次性包死价，</w:t>
      </w:r>
      <w:r>
        <w:rPr>
          <w:rFonts w:ascii="宋体" w:hAnsi="宋体" w:eastAsia="宋体" w:cs="宋体"/>
          <w:b w:val="0"/>
          <w:bCs/>
          <w:color w:val="auto"/>
          <w:spacing w:val="0"/>
          <w:position w:val="0"/>
          <w:sz w:val="24"/>
          <w:shd w:val="clear" w:fill="auto"/>
        </w:rPr>
        <w:t>用户不再支付报价以外的任何费用</w:t>
      </w:r>
      <w:r>
        <w:rPr>
          <w:rFonts w:hint="eastAsia" w:ascii="宋体" w:hAnsi="宋体" w:eastAsia="宋体" w:cs="宋体"/>
          <w:b w:val="0"/>
          <w:bCs/>
          <w:color w:val="auto"/>
          <w:spacing w:val="0"/>
          <w:position w:val="0"/>
          <w:sz w:val="24"/>
          <w:shd w:val="clear" w:fill="auto"/>
          <w:lang w:eastAsia="zh-CN"/>
        </w:rPr>
        <w:t>。</w:t>
      </w:r>
    </w:p>
    <w:p>
      <w:pPr>
        <w:spacing w:before="0" w:after="0" w:line="360" w:lineRule="auto"/>
        <w:ind w:left="0" w:right="0" w:firstLine="0"/>
        <w:jc w:val="both"/>
        <w:rPr>
          <w:rFonts w:ascii="宋体" w:hAnsi="宋体" w:eastAsia="宋体" w:cs="宋体"/>
          <w:b/>
          <w:color w:val="auto"/>
          <w:spacing w:val="0"/>
          <w:position w:val="0"/>
          <w:sz w:val="24"/>
          <w:shd w:val="clear" w:fill="auto"/>
        </w:rPr>
      </w:pPr>
      <w:r>
        <w:rPr>
          <w:rFonts w:ascii="宋体" w:hAnsi="宋体" w:eastAsia="宋体" w:cs="宋体"/>
          <w:b/>
          <w:color w:val="auto"/>
          <w:spacing w:val="0"/>
          <w:position w:val="0"/>
          <w:sz w:val="24"/>
          <w:shd w:val="clear" w:fill="auto"/>
        </w:rPr>
        <w:t>三、项目概述及采购要求:</w:t>
      </w:r>
    </w:p>
    <w:p>
      <w:pPr>
        <w:spacing w:before="0" w:after="0" w:line="360" w:lineRule="auto"/>
        <w:ind w:left="0" w:right="0" w:firstLine="0"/>
        <w:jc w:val="both"/>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1、项目概述：</w:t>
      </w:r>
    </w:p>
    <w:p>
      <w:pPr>
        <w:spacing w:before="0" w:after="0" w:line="360" w:lineRule="auto"/>
        <w:ind w:right="6"/>
        <w:jc w:val="both"/>
        <w:rPr>
          <w:rFonts w:ascii="宋体" w:hAnsi="宋体" w:eastAsia="宋体" w:cs="宋体"/>
          <w:color w:val="auto"/>
          <w:spacing w:val="0"/>
          <w:position w:val="0"/>
          <w:sz w:val="28"/>
          <w:shd w:val="clear" w:fill="auto"/>
        </w:rPr>
      </w:pPr>
      <w:r>
        <w:rPr>
          <w:rFonts w:ascii="宋体" w:hAnsi="宋体" w:eastAsia="宋体" w:cs="宋体"/>
          <w:color w:val="auto"/>
          <w:spacing w:val="0"/>
          <w:position w:val="0"/>
          <w:sz w:val="24"/>
          <w:shd w:val="clear" w:fill="auto"/>
        </w:rPr>
        <w:t>垃圾分类和治理对改善生态环境、提高市民生活品质、节约社会资源等意义重大，和每一位市民的生活息息相关。我市作为全国“无废城市”建设试点城市之一，普遍推行垃圾分类制度也是建设“无废城市”不可或缺的重要内容。2020年以来，徐州鼓楼区按照市委、市政府统一部署，全力推进生活垃圾“四分类”，围绕居民生活垃圾分类投放设施覆盖率、生活垃圾无害化处理率、城市餐厨废弃物处理率“三个100%”的目标任务，全面推进实施垃圾分类回收工作。</w:t>
      </w:r>
    </w:p>
    <w:p>
      <w:pPr>
        <w:spacing w:before="0" w:after="0" w:line="360" w:lineRule="auto"/>
        <w:ind w:left="0" w:right="0" w:firstLine="0"/>
        <w:jc w:val="both"/>
        <w:rPr>
          <w:rFonts w:ascii="宋体" w:hAnsi="宋体" w:eastAsia="宋体" w:cs="宋体"/>
          <w:b/>
          <w:color w:val="auto"/>
          <w:spacing w:val="0"/>
          <w:position w:val="0"/>
          <w:sz w:val="24"/>
          <w:shd w:val="clear" w:fill="auto"/>
        </w:rPr>
      </w:pPr>
      <w:r>
        <w:rPr>
          <w:rFonts w:ascii="宋体" w:hAnsi="宋体" w:eastAsia="宋体" w:cs="宋体"/>
          <w:color w:val="auto"/>
          <w:spacing w:val="0"/>
          <w:position w:val="0"/>
          <w:sz w:val="24"/>
          <w:shd w:val="clear" w:fill="auto"/>
        </w:rPr>
        <w:t>2、供货期：</w:t>
      </w:r>
      <w:r>
        <w:rPr>
          <w:rFonts w:hint="eastAsia" w:ascii="宋体" w:hAnsi="宋体" w:cs="宋体"/>
          <w:color w:val="auto"/>
          <w:spacing w:val="0"/>
          <w:position w:val="0"/>
          <w:sz w:val="24"/>
          <w:shd w:val="clear" w:fill="auto"/>
          <w:lang w:val="en-US" w:eastAsia="zh-CN"/>
        </w:rPr>
        <w:t>各标段供货期</w:t>
      </w:r>
      <w:r>
        <w:rPr>
          <w:rFonts w:ascii="宋体" w:hAnsi="宋体" w:eastAsia="宋体" w:cs="宋体"/>
          <w:color w:val="auto"/>
          <w:spacing w:val="0"/>
          <w:position w:val="0"/>
          <w:sz w:val="24"/>
          <w:shd w:val="clear" w:fill="auto"/>
        </w:rPr>
        <w:t>合同签订后60个日历</w:t>
      </w:r>
      <w:r>
        <w:rPr>
          <w:rFonts w:hint="eastAsia" w:ascii="宋体" w:hAnsi="宋体" w:eastAsia="宋体" w:cs="宋体"/>
          <w:color w:val="auto"/>
          <w:spacing w:val="0"/>
          <w:position w:val="0"/>
          <w:sz w:val="24"/>
          <w:shd w:val="clear" w:fill="auto"/>
          <w:lang w:val="en-US" w:eastAsia="zh-CN"/>
        </w:rPr>
        <w:t>天</w:t>
      </w:r>
      <w:r>
        <w:rPr>
          <w:rFonts w:ascii="宋体" w:hAnsi="宋体" w:eastAsia="宋体" w:cs="宋体"/>
          <w:color w:val="auto"/>
          <w:spacing w:val="0"/>
          <w:position w:val="0"/>
          <w:sz w:val="24"/>
          <w:shd w:val="clear" w:fill="auto"/>
        </w:rPr>
        <w:t>。</w:t>
      </w:r>
    </w:p>
    <w:p>
      <w:pPr>
        <w:spacing w:before="0" w:after="0" w:line="360" w:lineRule="auto"/>
        <w:ind w:left="0" w:right="0" w:firstLine="0"/>
        <w:jc w:val="both"/>
        <w:rPr>
          <w:rFonts w:ascii="宋体" w:hAnsi="宋体" w:eastAsia="宋体" w:cs="宋体"/>
          <w:b/>
          <w:color w:val="auto"/>
          <w:spacing w:val="0"/>
          <w:position w:val="0"/>
          <w:sz w:val="24"/>
          <w:shd w:val="clear" w:fill="auto"/>
        </w:rPr>
      </w:pPr>
      <w:r>
        <w:rPr>
          <w:rFonts w:ascii="宋体" w:hAnsi="宋体" w:eastAsia="宋体" w:cs="宋体"/>
          <w:color w:val="auto"/>
          <w:spacing w:val="0"/>
          <w:position w:val="0"/>
          <w:sz w:val="24"/>
          <w:shd w:val="clear" w:fill="auto"/>
        </w:rPr>
        <w:t xml:space="preserve">3、质量标准：合格。  </w:t>
      </w:r>
    </w:p>
    <w:p>
      <w:pPr>
        <w:spacing w:before="0" w:after="0" w:line="360" w:lineRule="auto"/>
        <w:ind w:left="0" w:right="0" w:firstLine="0"/>
        <w:jc w:val="both"/>
        <w:rPr>
          <w:rFonts w:ascii="宋体" w:hAnsi="宋体" w:eastAsia="宋体" w:cs="宋体"/>
          <w:b/>
          <w:color w:val="auto"/>
          <w:spacing w:val="0"/>
          <w:position w:val="0"/>
          <w:sz w:val="24"/>
          <w:shd w:val="clear" w:fill="auto"/>
        </w:rPr>
      </w:pPr>
      <w:r>
        <w:rPr>
          <w:rFonts w:ascii="宋体" w:hAnsi="宋体" w:eastAsia="宋体" w:cs="宋体"/>
          <w:color w:val="auto"/>
          <w:spacing w:val="0"/>
          <w:position w:val="0"/>
          <w:sz w:val="24"/>
          <w:shd w:val="clear" w:fill="auto"/>
        </w:rPr>
        <w:t>4、项目安装地点：详细安装地点见附表。</w:t>
      </w:r>
    </w:p>
    <w:p>
      <w:pPr>
        <w:spacing w:before="0" w:after="0" w:line="360" w:lineRule="auto"/>
        <w:ind w:left="0" w:right="0" w:firstLine="0"/>
        <w:jc w:val="both"/>
        <w:rPr>
          <w:rFonts w:ascii="仿宋_GB2312" w:hAnsi="仿宋_GB2312" w:eastAsia="仿宋_GB2312" w:cs="仿宋_GB2312"/>
          <w:b/>
          <w:color w:val="auto"/>
          <w:spacing w:val="0"/>
          <w:position w:val="0"/>
          <w:sz w:val="24"/>
          <w:shd w:val="clear" w:fill="auto"/>
        </w:rPr>
      </w:pPr>
      <w:r>
        <w:rPr>
          <w:rFonts w:ascii="宋体" w:hAnsi="宋体" w:eastAsia="宋体" w:cs="宋体"/>
          <w:color w:val="auto"/>
          <w:spacing w:val="0"/>
          <w:position w:val="0"/>
          <w:sz w:val="24"/>
          <w:shd w:val="clear" w:fill="auto"/>
        </w:rPr>
        <w:t>5、采购范围：所需货物及附配件的采购、包装、运输、安装、调试、试运行、培训、售后服务等。</w:t>
      </w:r>
    </w:p>
    <w:p>
      <w:pPr>
        <w:numPr>
          <w:ilvl w:val="0"/>
          <w:numId w:val="5"/>
        </w:numPr>
        <w:spacing w:before="0" w:after="0" w:line="360" w:lineRule="auto"/>
        <w:ind w:left="0" w:right="0" w:firstLine="0"/>
        <w:jc w:val="both"/>
        <w:rPr>
          <w:rFonts w:ascii="宋体" w:hAnsi="宋体" w:eastAsia="宋体" w:cs="宋体"/>
          <w:b/>
          <w:color w:val="auto"/>
          <w:spacing w:val="0"/>
          <w:position w:val="0"/>
          <w:sz w:val="24"/>
          <w:shd w:val="clear" w:fill="auto"/>
        </w:rPr>
      </w:pPr>
      <w:r>
        <w:rPr>
          <w:rFonts w:ascii="宋体" w:hAnsi="宋体" w:eastAsia="宋体" w:cs="宋体"/>
          <w:b/>
          <w:color w:val="auto"/>
          <w:spacing w:val="0"/>
          <w:position w:val="0"/>
          <w:sz w:val="24"/>
          <w:shd w:val="clear" w:fill="auto"/>
        </w:rPr>
        <w:t>采购清单：</w:t>
      </w:r>
    </w:p>
    <w:p>
      <w:pPr>
        <w:widowControl w:val="0"/>
        <w:numPr>
          <w:ilvl w:val="0"/>
          <w:numId w:val="0"/>
        </w:numPr>
        <w:spacing w:before="0" w:after="0" w:line="360" w:lineRule="auto"/>
        <w:ind w:right="0" w:rightChars="0"/>
        <w:jc w:val="both"/>
        <w:rPr>
          <w:rFonts w:ascii="宋体" w:hAnsi="宋体" w:eastAsia="宋体" w:cs="宋体"/>
          <w:b/>
          <w:color w:val="auto"/>
          <w:spacing w:val="0"/>
          <w:position w:val="0"/>
          <w:sz w:val="24"/>
          <w:shd w:val="clear" w:fill="auto"/>
        </w:rPr>
      </w:pPr>
    </w:p>
    <w:p>
      <w:pPr>
        <w:widowControl w:val="0"/>
        <w:numPr>
          <w:ilvl w:val="0"/>
          <w:numId w:val="0"/>
        </w:numPr>
        <w:spacing w:before="0" w:after="0" w:line="360" w:lineRule="auto"/>
        <w:ind w:right="0" w:rightChars="0"/>
        <w:jc w:val="both"/>
        <w:rPr>
          <w:rFonts w:ascii="宋体" w:hAnsi="宋体" w:eastAsia="宋体" w:cs="宋体"/>
          <w:b/>
          <w:color w:val="auto"/>
          <w:spacing w:val="0"/>
          <w:position w:val="0"/>
          <w:sz w:val="24"/>
          <w:shd w:val="clear" w:fill="auto"/>
        </w:rPr>
      </w:pPr>
    </w:p>
    <w:p>
      <w:pPr>
        <w:widowControl w:val="0"/>
        <w:numPr>
          <w:ilvl w:val="0"/>
          <w:numId w:val="0"/>
        </w:numPr>
        <w:spacing w:before="0" w:after="0" w:line="360" w:lineRule="auto"/>
        <w:ind w:right="0" w:rightChars="0"/>
        <w:jc w:val="both"/>
        <w:rPr>
          <w:rFonts w:ascii="宋体" w:hAnsi="宋体" w:eastAsia="宋体" w:cs="宋体"/>
          <w:b/>
          <w:color w:val="auto"/>
          <w:spacing w:val="0"/>
          <w:position w:val="0"/>
          <w:sz w:val="24"/>
          <w:shd w:val="clear" w:fill="auto"/>
        </w:rPr>
      </w:pPr>
    </w:p>
    <w:p>
      <w:pPr>
        <w:widowControl w:val="0"/>
        <w:numPr>
          <w:ilvl w:val="0"/>
          <w:numId w:val="0"/>
        </w:numPr>
        <w:spacing w:before="0" w:after="0" w:line="360" w:lineRule="auto"/>
        <w:ind w:right="0" w:rightChars="0"/>
        <w:jc w:val="both"/>
        <w:rPr>
          <w:rFonts w:ascii="宋体" w:hAnsi="宋体" w:eastAsia="宋体" w:cs="宋体"/>
          <w:b/>
          <w:color w:val="auto"/>
          <w:spacing w:val="0"/>
          <w:position w:val="0"/>
          <w:sz w:val="24"/>
          <w:shd w:val="clear" w:fill="auto"/>
        </w:rPr>
      </w:pPr>
    </w:p>
    <w:p>
      <w:pPr>
        <w:widowControl w:val="0"/>
        <w:numPr>
          <w:ilvl w:val="0"/>
          <w:numId w:val="0"/>
        </w:numPr>
        <w:spacing w:before="0" w:after="0" w:line="360" w:lineRule="auto"/>
        <w:ind w:right="0" w:rightChars="0"/>
        <w:jc w:val="both"/>
        <w:rPr>
          <w:rFonts w:ascii="宋体" w:hAnsi="宋体" w:eastAsia="宋体" w:cs="宋体"/>
          <w:b/>
          <w:color w:val="auto"/>
          <w:spacing w:val="0"/>
          <w:position w:val="0"/>
          <w:sz w:val="24"/>
          <w:shd w:val="clear" w:fill="auto"/>
        </w:rPr>
      </w:pPr>
    </w:p>
    <w:p>
      <w:pPr>
        <w:widowControl w:val="0"/>
        <w:numPr>
          <w:ilvl w:val="0"/>
          <w:numId w:val="0"/>
        </w:numPr>
        <w:spacing w:before="0" w:after="0" w:line="360" w:lineRule="auto"/>
        <w:ind w:right="0" w:rightChars="0"/>
        <w:jc w:val="both"/>
        <w:rPr>
          <w:rFonts w:ascii="宋体" w:hAnsi="宋体" w:eastAsia="宋体" w:cs="宋体"/>
          <w:b/>
          <w:color w:val="auto"/>
          <w:spacing w:val="0"/>
          <w:position w:val="0"/>
          <w:sz w:val="24"/>
          <w:shd w:val="clear" w:fill="auto"/>
        </w:rPr>
      </w:pPr>
    </w:p>
    <w:p>
      <w:pPr>
        <w:spacing w:before="0" w:after="0" w:line="274" w:lineRule="auto"/>
        <w:ind w:left="0" w:right="6" w:hanging="396"/>
        <w:jc w:val="both"/>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 xml:space="preserve">   一标段:数量67个</w:t>
      </w:r>
    </w:p>
    <w:tbl>
      <w:tblPr>
        <w:tblStyle w:val="12"/>
        <w:tblW w:w="0" w:type="auto"/>
        <w:jc w:val="center"/>
        <w:tblLayout w:type="autofit"/>
        <w:tblCellMar>
          <w:top w:w="0" w:type="dxa"/>
          <w:left w:w="10" w:type="dxa"/>
          <w:bottom w:w="0" w:type="dxa"/>
          <w:right w:w="10" w:type="dxa"/>
        </w:tblCellMar>
      </w:tblPr>
      <w:tblGrid>
        <w:gridCol w:w="479"/>
        <w:gridCol w:w="772"/>
        <w:gridCol w:w="5759"/>
        <w:gridCol w:w="501"/>
        <w:gridCol w:w="523"/>
        <w:gridCol w:w="488"/>
      </w:tblGrid>
      <w:tr>
        <w:tblPrEx>
          <w:tblCellMar>
            <w:top w:w="0" w:type="dxa"/>
            <w:left w:w="10" w:type="dxa"/>
            <w:bottom w:w="0" w:type="dxa"/>
            <w:right w:w="10" w:type="dxa"/>
          </w:tblCellMar>
        </w:tblPrEx>
        <w:trPr>
          <w:trHeight w:val="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74" w:lineRule="auto"/>
              <w:ind w:left="0" w:right="0" w:firstLine="0"/>
              <w:jc w:val="center"/>
              <w:rPr>
                <w:color w:val="auto"/>
                <w:spacing w:val="0"/>
                <w:position w:val="0"/>
                <w:shd w:val="clear" w:fill="auto"/>
              </w:rPr>
            </w:pPr>
            <w:r>
              <w:rPr>
                <w:rFonts w:ascii="仿宋_GB2312" w:hAnsi="仿宋_GB2312" w:eastAsia="仿宋_GB2312" w:cs="仿宋_GB2312"/>
                <w:b/>
                <w:color w:val="auto"/>
                <w:spacing w:val="0"/>
                <w:position w:val="0"/>
                <w:sz w:val="24"/>
                <w:shd w:val="clear" w:fill="auto"/>
              </w:rPr>
              <w:t>序号</w:t>
            </w:r>
          </w:p>
        </w:tc>
        <w:tc>
          <w:tcPr>
            <w:tcW w:w="84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74" w:lineRule="auto"/>
              <w:ind w:left="0" w:right="0" w:firstLine="0"/>
              <w:jc w:val="center"/>
              <w:rPr>
                <w:color w:val="auto"/>
                <w:spacing w:val="0"/>
                <w:position w:val="0"/>
                <w:shd w:val="clear" w:fill="auto"/>
              </w:rPr>
            </w:pPr>
            <w:r>
              <w:rPr>
                <w:rFonts w:ascii="仿宋_GB2312" w:hAnsi="仿宋_GB2312" w:eastAsia="仿宋_GB2312" w:cs="仿宋_GB2312"/>
                <w:b/>
                <w:color w:val="auto"/>
                <w:spacing w:val="0"/>
                <w:position w:val="0"/>
                <w:sz w:val="24"/>
                <w:shd w:val="clear" w:fill="auto"/>
              </w:rPr>
              <w:t>采购产品名称</w:t>
            </w:r>
          </w:p>
        </w:tc>
        <w:tc>
          <w:tcPr>
            <w:tcW w:w="611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74" w:lineRule="auto"/>
              <w:ind w:left="0" w:right="0" w:firstLine="0"/>
              <w:jc w:val="center"/>
              <w:rPr>
                <w:rFonts w:ascii="仿宋_GB2312" w:hAnsi="仿宋_GB2312" w:eastAsia="仿宋_GB2312" w:cs="仿宋_GB2312"/>
                <w:b/>
                <w:color w:val="auto"/>
                <w:spacing w:val="0"/>
                <w:position w:val="0"/>
                <w:sz w:val="24"/>
                <w:shd w:val="clear" w:fill="auto"/>
              </w:rPr>
            </w:pPr>
            <w:r>
              <w:rPr>
                <w:rFonts w:ascii="仿宋_GB2312" w:hAnsi="仿宋_GB2312" w:eastAsia="仿宋_GB2312" w:cs="仿宋_GB2312"/>
                <w:b/>
                <w:color w:val="auto"/>
                <w:spacing w:val="0"/>
                <w:position w:val="0"/>
                <w:sz w:val="24"/>
                <w:shd w:val="clear" w:fill="auto"/>
              </w:rPr>
              <w:t>产品图片</w:t>
            </w:r>
          </w:p>
          <w:p>
            <w:pPr>
              <w:spacing w:before="0" w:after="0" w:line="274" w:lineRule="auto"/>
              <w:ind w:left="0" w:right="0" w:firstLine="0"/>
              <w:jc w:val="center"/>
              <w:rPr>
                <w:color w:val="auto"/>
                <w:spacing w:val="0"/>
                <w:position w:val="0"/>
                <w:shd w:val="clear" w:fill="auto"/>
              </w:rPr>
            </w:pPr>
            <w:r>
              <w:rPr>
                <w:rFonts w:ascii="仿宋_GB2312" w:hAnsi="仿宋_GB2312" w:eastAsia="仿宋_GB2312" w:cs="仿宋_GB2312"/>
                <w:b/>
                <w:color w:val="auto"/>
                <w:spacing w:val="0"/>
                <w:position w:val="0"/>
                <w:sz w:val="24"/>
                <w:shd w:val="clear" w:fill="auto"/>
              </w:rPr>
              <w:t>（样式、颜色仅供参考）</w:t>
            </w:r>
          </w:p>
        </w:tc>
        <w:tc>
          <w:tcPr>
            <w:tcW w:w="54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74" w:lineRule="auto"/>
              <w:ind w:left="0" w:right="0" w:firstLine="0"/>
              <w:jc w:val="center"/>
              <w:rPr>
                <w:color w:val="auto"/>
                <w:spacing w:val="0"/>
                <w:position w:val="0"/>
                <w:shd w:val="clear" w:fill="auto"/>
              </w:rPr>
            </w:pPr>
            <w:r>
              <w:rPr>
                <w:rFonts w:ascii="仿宋_GB2312" w:hAnsi="仿宋_GB2312" w:eastAsia="仿宋_GB2312" w:cs="仿宋_GB2312"/>
                <w:b/>
                <w:color w:val="auto"/>
                <w:spacing w:val="0"/>
                <w:position w:val="0"/>
                <w:sz w:val="24"/>
                <w:shd w:val="clear" w:fill="auto"/>
              </w:rPr>
              <w:t>单位</w:t>
            </w:r>
          </w:p>
        </w:tc>
        <w:tc>
          <w:tcPr>
            <w:tcW w:w="58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74" w:lineRule="auto"/>
              <w:ind w:left="0" w:right="0" w:firstLine="0"/>
              <w:jc w:val="center"/>
              <w:rPr>
                <w:color w:val="auto"/>
                <w:spacing w:val="0"/>
                <w:position w:val="0"/>
                <w:shd w:val="clear" w:fill="auto"/>
              </w:rPr>
            </w:pPr>
            <w:r>
              <w:rPr>
                <w:rFonts w:ascii="仿宋_GB2312" w:hAnsi="仿宋_GB2312" w:eastAsia="仿宋_GB2312" w:cs="仿宋_GB2312"/>
                <w:b/>
                <w:color w:val="auto"/>
                <w:spacing w:val="0"/>
                <w:position w:val="0"/>
                <w:sz w:val="24"/>
                <w:shd w:val="clear" w:fill="auto"/>
              </w:rPr>
              <w:t>数量</w:t>
            </w:r>
          </w:p>
        </w:tc>
        <w:tc>
          <w:tcPr>
            <w:tcW w:w="51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74" w:lineRule="auto"/>
              <w:ind w:left="0" w:right="0" w:firstLine="0"/>
              <w:jc w:val="both"/>
              <w:rPr>
                <w:color w:val="auto"/>
                <w:spacing w:val="0"/>
                <w:position w:val="0"/>
                <w:shd w:val="clear" w:fill="auto"/>
              </w:rPr>
            </w:pPr>
            <w:r>
              <w:rPr>
                <w:rFonts w:ascii="仿宋_GB2312" w:hAnsi="仿宋_GB2312" w:eastAsia="仿宋_GB2312" w:cs="仿宋_GB2312"/>
                <w:b/>
                <w:color w:val="auto"/>
                <w:spacing w:val="0"/>
                <w:position w:val="0"/>
                <w:sz w:val="24"/>
                <w:shd w:val="clear" w:fill="auto"/>
              </w:rPr>
              <w:t>备注</w:t>
            </w:r>
          </w:p>
        </w:tc>
      </w:tr>
      <w:tr>
        <w:tblPrEx>
          <w:tblCellMar>
            <w:top w:w="0" w:type="dxa"/>
            <w:left w:w="10" w:type="dxa"/>
            <w:bottom w:w="0" w:type="dxa"/>
            <w:right w:w="10" w:type="dxa"/>
          </w:tblCellMar>
        </w:tblPrEx>
        <w:trPr>
          <w:trHeight w:val="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74" w:lineRule="auto"/>
              <w:ind w:left="0" w:right="0" w:firstLine="0"/>
              <w:jc w:val="center"/>
              <w:rPr>
                <w:color w:val="auto"/>
                <w:spacing w:val="0"/>
                <w:position w:val="0"/>
                <w:shd w:val="clear" w:fill="auto"/>
              </w:rPr>
            </w:pPr>
            <w:r>
              <w:rPr>
                <w:rFonts w:ascii="仿宋_GB2312" w:hAnsi="仿宋_GB2312" w:eastAsia="仿宋_GB2312" w:cs="仿宋_GB2312"/>
                <w:color w:val="auto"/>
                <w:spacing w:val="0"/>
                <w:position w:val="0"/>
                <w:sz w:val="24"/>
                <w:shd w:val="clear" w:fill="auto"/>
              </w:rPr>
              <w:t>1</w:t>
            </w:r>
          </w:p>
        </w:tc>
        <w:tc>
          <w:tcPr>
            <w:tcW w:w="84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hd w:val="clear" w:fill="auto"/>
              </w:rPr>
            </w:pPr>
            <w:r>
              <w:rPr>
                <w:rFonts w:ascii="宋体" w:hAnsi="宋体" w:eastAsia="宋体" w:cs="宋体"/>
                <w:color w:val="auto"/>
                <w:spacing w:val="0"/>
                <w:position w:val="0"/>
                <w:sz w:val="24"/>
                <w:shd w:val="clear" w:fill="auto"/>
              </w:rPr>
              <w:t>垃圾分类收集亭小号（无储藏间）</w:t>
            </w:r>
          </w:p>
        </w:tc>
        <w:tc>
          <w:tcPr>
            <w:tcW w:w="611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74" w:lineRule="auto"/>
              <w:ind w:left="0" w:right="0" w:firstLine="0"/>
              <w:jc w:val="center"/>
              <w:rPr>
                <w:rFonts w:ascii="仿宋_GB2312" w:hAnsi="仿宋_GB2312" w:eastAsia="仿宋_GB2312" w:cs="仿宋_GB2312"/>
                <w:color w:val="auto"/>
                <w:spacing w:val="0"/>
                <w:position w:val="0"/>
                <w:sz w:val="24"/>
                <w:shd w:val="clear" w:fill="auto"/>
              </w:rPr>
            </w:pPr>
          </w:p>
          <w:p>
            <w:pPr>
              <w:spacing w:before="0" w:after="0" w:line="274" w:lineRule="auto"/>
              <w:ind w:left="0" w:right="0" w:firstLine="0"/>
              <w:jc w:val="center"/>
              <w:rPr>
                <w:rFonts w:ascii="仿宋_GB2312" w:hAnsi="仿宋_GB2312" w:eastAsia="仿宋_GB2312" w:cs="仿宋_GB2312"/>
                <w:color w:val="auto"/>
                <w:spacing w:val="0"/>
                <w:position w:val="0"/>
                <w:sz w:val="24"/>
                <w:shd w:val="clear" w:fill="auto"/>
              </w:rPr>
            </w:pPr>
            <w:r>
              <w:object>
                <v:shape id="_x0000_i1025" o:spt="75" type="#_x0000_t75" style="height:128.6pt;width:197.4pt;" o:ole="t" fillcolor="#FFFFFF" filled="t" o:preferrelative="t" stroked="f" coordsize="21600,21600">
                  <v:path/>
                  <v:fill on="t" color2="#FFFFFF" focussize="0,0"/>
                  <v:stroke on="f"/>
                  <v:imagedata r:id="rId12" o:title=""/>
                  <o:lock v:ext="edit" aspectratio="f"/>
                  <w10:wrap type="none"/>
                  <w10:anchorlock/>
                </v:shape>
                <o:OLEObject Type="Embed" ProgID="StaticMetafile" ShapeID="_x0000_i1025" DrawAspect="Content" ObjectID="_1468075725" r:id="rId11">
                  <o:LockedField>false</o:LockedField>
                </o:OLEObject>
              </w:object>
            </w:r>
          </w:p>
          <w:p>
            <w:pPr>
              <w:spacing w:before="0" w:after="0" w:line="274" w:lineRule="auto"/>
              <w:ind w:left="256" w:right="6" w:firstLine="624"/>
              <w:jc w:val="both"/>
              <w:rPr>
                <w:color w:val="auto"/>
                <w:spacing w:val="0"/>
                <w:position w:val="0"/>
                <w:shd w:val="clear" w:fill="auto"/>
              </w:rPr>
            </w:pPr>
            <w:r>
              <w:object>
                <v:shape id="_x0000_i1026" o:spt="75" type="#_x0000_t75" style="height:147pt;width:199.6pt;" o:ole="t" fillcolor="#FFFFFF" filled="t" o:preferrelative="t" stroked="f" coordsize="21600,21600">
                  <v:path/>
                  <v:fill on="t" color2="#FFFFFF" focussize="0,0"/>
                  <v:stroke on="f"/>
                  <v:imagedata r:id="rId14" o:title=""/>
                  <o:lock v:ext="edit" aspectratio="f"/>
                  <w10:wrap type="none"/>
                  <w10:anchorlock/>
                </v:shape>
                <o:OLEObject Type="Embed" ProgID="StaticMetafile" ShapeID="_x0000_i1026" DrawAspect="Content" ObjectID="_1468075726" r:id="rId13">
                  <o:LockedField>false</o:LockedField>
                </o:OLEObject>
              </w:object>
            </w:r>
          </w:p>
        </w:tc>
        <w:tc>
          <w:tcPr>
            <w:tcW w:w="54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74" w:lineRule="auto"/>
              <w:ind w:left="0" w:right="0" w:firstLine="0"/>
              <w:jc w:val="center"/>
              <w:rPr>
                <w:color w:val="auto"/>
                <w:spacing w:val="0"/>
                <w:position w:val="0"/>
                <w:shd w:val="clear" w:fill="auto"/>
              </w:rPr>
            </w:pPr>
            <w:r>
              <w:rPr>
                <w:rFonts w:ascii="仿宋_GB2312" w:hAnsi="仿宋_GB2312" w:eastAsia="仿宋_GB2312" w:cs="仿宋_GB2312"/>
                <w:color w:val="auto"/>
                <w:spacing w:val="0"/>
                <w:position w:val="0"/>
                <w:sz w:val="24"/>
                <w:shd w:val="clear" w:fill="auto"/>
              </w:rPr>
              <w:t>个</w:t>
            </w:r>
          </w:p>
        </w:tc>
        <w:tc>
          <w:tcPr>
            <w:tcW w:w="58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74" w:lineRule="auto"/>
              <w:ind w:left="0" w:right="0" w:firstLine="0"/>
              <w:jc w:val="center"/>
              <w:rPr>
                <w:color w:val="auto"/>
                <w:spacing w:val="0"/>
                <w:position w:val="0"/>
                <w:shd w:val="clear" w:fill="auto"/>
              </w:rPr>
            </w:pPr>
            <w:r>
              <w:rPr>
                <w:rFonts w:ascii="仿宋_GB2312" w:hAnsi="仿宋_GB2312" w:eastAsia="仿宋_GB2312" w:cs="仿宋_GB2312"/>
                <w:color w:val="auto"/>
                <w:spacing w:val="0"/>
                <w:position w:val="0"/>
                <w:sz w:val="24"/>
                <w:shd w:val="clear" w:fill="auto"/>
              </w:rPr>
              <w:t>19</w:t>
            </w:r>
          </w:p>
        </w:tc>
        <w:tc>
          <w:tcPr>
            <w:tcW w:w="51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74" w:lineRule="auto"/>
              <w:ind w:left="0" w:right="0" w:firstLine="0"/>
              <w:jc w:val="both"/>
              <w:rPr>
                <w:color w:val="auto"/>
                <w:spacing w:val="0"/>
                <w:position w:val="0"/>
                <w:shd w:val="clear" w:fill="auto"/>
              </w:rPr>
            </w:pPr>
            <w:r>
              <w:rPr>
                <w:rFonts w:ascii="仿宋_GB2312" w:hAnsi="仿宋_GB2312" w:eastAsia="仿宋_GB2312" w:cs="仿宋_GB2312"/>
                <w:color w:val="auto"/>
                <w:spacing w:val="0"/>
                <w:position w:val="0"/>
                <w:sz w:val="21"/>
                <w:shd w:val="clear" w:fill="auto"/>
              </w:rPr>
              <w:t xml:space="preserve"> </w:t>
            </w:r>
          </w:p>
        </w:tc>
      </w:tr>
      <w:tr>
        <w:tblPrEx>
          <w:tblCellMar>
            <w:top w:w="0" w:type="dxa"/>
            <w:left w:w="10" w:type="dxa"/>
            <w:bottom w:w="0" w:type="dxa"/>
            <w:right w:w="10" w:type="dxa"/>
          </w:tblCellMar>
        </w:tblPrEx>
        <w:trPr>
          <w:trHeight w:val="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74" w:lineRule="auto"/>
              <w:ind w:left="0" w:right="0" w:firstLine="0"/>
              <w:jc w:val="center"/>
              <w:rPr>
                <w:color w:val="auto"/>
                <w:spacing w:val="0"/>
                <w:position w:val="0"/>
                <w:shd w:val="clear" w:fill="auto"/>
              </w:rPr>
            </w:pPr>
            <w:r>
              <w:rPr>
                <w:rFonts w:ascii="仿宋_GB2312" w:hAnsi="仿宋_GB2312" w:eastAsia="仿宋_GB2312" w:cs="仿宋_GB2312"/>
                <w:color w:val="auto"/>
                <w:spacing w:val="0"/>
                <w:position w:val="0"/>
                <w:sz w:val="24"/>
                <w:shd w:val="clear" w:fill="auto"/>
              </w:rPr>
              <w:t>2</w:t>
            </w:r>
          </w:p>
        </w:tc>
        <w:tc>
          <w:tcPr>
            <w:tcW w:w="84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hd w:val="clear" w:fill="auto"/>
              </w:rPr>
            </w:pPr>
            <w:r>
              <w:rPr>
                <w:rFonts w:ascii="宋体" w:hAnsi="宋体" w:eastAsia="宋体" w:cs="宋体"/>
                <w:color w:val="auto"/>
                <w:spacing w:val="0"/>
                <w:position w:val="0"/>
                <w:sz w:val="24"/>
                <w:shd w:val="clear" w:fill="auto"/>
              </w:rPr>
              <w:t>垃圾分类收集亭中号（有储藏间）</w:t>
            </w:r>
          </w:p>
        </w:tc>
        <w:tc>
          <w:tcPr>
            <w:tcW w:w="611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624"/>
              </w:tabs>
              <w:spacing w:before="0" w:after="0" w:line="274" w:lineRule="auto"/>
              <w:ind w:left="256" w:right="6" w:firstLine="624"/>
              <w:jc w:val="both"/>
              <w:rPr>
                <w:rFonts w:ascii="Times New Roman" w:hAnsi="Times New Roman" w:eastAsia="Times New Roman" w:cs="Times New Roman"/>
                <w:color w:val="auto"/>
                <w:spacing w:val="0"/>
                <w:position w:val="0"/>
                <w:sz w:val="28"/>
                <w:shd w:val="clear" w:fill="auto"/>
              </w:rPr>
            </w:pPr>
            <w:r>
              <w:rPr>
                <w:rFonts w:ascii="Times New Roman" w:hAnsi="Times New Roman" w:eastAsia="Times New Roman" w:cs="Times New Roman"/>
                <w:color w:val="auto"/>
                <w:spacing w:val="0"/>
                <w:position w:val="0"/>
                <w:sz w:val="28"/>
                <w:shd w:val="clear" w:fill="auto"/>
              </w:rPr>
              <w:tab/>
            </w:r>
            <w:r>
              <w:object>
                <v:shape id="_x0000_i1027" o:spt="75" type="#_x0000_t75" style="height:138.05pt;width:244.1pt;" o:ole="t" fillcolor="#FFFFFF" filled="t" o:preferrelative="t" stroked="f" coordsize="21600,21600">
                  <v:path/>
                  <v:fill on="t" color2="#FFFFFF" focussize="0,0"/>
                  <v:stroke on="f"/>
                  <v:imagedata r:id="rId16" o:title=""/>
                  <o:lock v:ext="edit" aspectratio="f"/>
                  <w10:wrap type="none"/>
                  <w10:anchorlock/>
                </v:shape>
                <o:OLEObject Type="Embed" ProgID="StaticMetafile" ShapeID="_x0000_i1027" DrawAspect="Content" ObjectID="_1468075727" r:id="rId15">
                  <o:LockedField>false</o:LockedField>
                </o:OLEObject>
              </w:object>
            </w:r>
          </w:p>
          <w:p>
            <w:pPr>
              <w:tabs>
                <w:tab w:val="left" w:pos="624"/>
              </w:tabs>
              <w:spacing w:before="0" w:after="0" w:line="274" w:lineRule="auto"/>
              <w:ind w:left="256" w:right="6" w:firstLine="624"/>
              <w:jc w:val="both"/>
              <w:rPr>
                <w:color w:val="auto"/>
                <w:spacing w:val="0"/>
                <w:position w:val="0"/>
                <w:shd w:val="clear" w:fill="auto"/>
              </w:rPr>
            </w:pPr>
            <w:r>
              <w:object>
                <v:shape id="_x0000_i1028" o:spt="75" type="#_x0000_t75" style="height:155.45pt;width:244.45pt;" o:ole="t" fillcolor="#FFFFFF" filled="t" o:preferrelative="t" stroked="f" coordsize="21600,21600">
                  <v:path/>
                  <v:fill on="t" color2="#FFFFFF" focussize="0,0"/>
                  <v:stroke on="f"/>
                  <v:imagedata r:id="rId18" o:title=""/>
                  <o:lock v:ext="edit" aspectratio="f"/>
                  <w10:wrap type="none"/>
                  <w10:anchorlock/>
                </v:shape>
                <o:OLEObject Type="Embed" ProgID="StaticMetafile" ShapeID="_x0000_i1028" DrawAspect="Content" ObjectID="_1468075728" r:id="rId17">
                  <o:LockedField>false</o:LockedField>
                </o:OLEObject>
              </w:object>
            </w:r>
          </w:p>
        </w:tc>
        <w:tc>
          <w:tcPr>
            <w:tcW w:w="54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74" w:lineRule="auto"/>
              <w:ind w:left="0" w:right="0" w:firstLine="0"/>
              <w:jc w:val="center"/>
              <w:rPr>
                <w:color w:val="auto"/>
                <w:spacing w:val="0"/>
                <w:position w:val="0"/>
                <w:shd w:val="clear" w:fill="auto"/>
              </w:rPr>
            </w:pPr>
            <w:r>
              <w:rPr>
                <w:rFonts w:ascii="仿宋_GB2312" w:hAnsi="仿宋_GB2312" w:eastAsia="仿宋_GB2312" w:cs="仿宋_GB2312"/>
                <w:color w:val="auto"/>
                <w:spacing w:val="0"/>
                <w:position w:val="0"/>
                <w:sz w:val="24"/>
                <w:shd w:val="clear" w:fill="auto"/>
              </w:rPr>
              <w:t>个</w:t>
            </w:r>
          </w:p>
        </w:tc>
        <w:tc>
          <w:tcPr>
            <w:tcW w:w="58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74" w:lineRule="auto"/>
              <w:ind w:left="0" w:right="0" w:firstLine="0"/>
              <w:jc w:val="center"/>
              <w:rPr>
                <w:color w:val="auto"/>
                <w:spacing w:val="0"/>
                <w:position w:val="0"/>
                <w:shd w:val="clear" w:fill="auto"/>
              </w:rPr>
            </w:pPr>
            <w:r>
              <w:rPr>
                <w:rFonts w:ascii="仿宋_GB2312" w:hAnsi="仿宋_GB2312" w:eastAsia="仿宋_GB2312" w:cs="仿宋_GB2312"/>
                <w:color w:val="auto"/>
                <w:spacing w:val="0"/>
                <w:position w:val="0"/>
                <w:sz w:val="24"/>
                <w:shd w:val="clear" w:fill="auto"/>
              </w:rPr>
              <w:t>22</w:t>
            </w:r>
          </w:p>
        </w:tc>
        <w:tc>
          <w:tcPr>
            <w:tcW w:w="51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74" w:lineRule="auto"/>
              <w:ind w:left="0" w:right="0" w:firstLine="0"/>
              <w:jc w:val="both"/>
              <w:rPr>
                <w:rFonts w:ascii="宋体" w:hAnsi="宋体" w:eastAsia="宋体" w:cs="宋体"/>
                <w:color w:val="auto"/>
                <w:spacing w:val="0"/>
                <w:position w:val="0"/>
                <w:sz w:val="22"/>
                <w:shd w:val="clear" w:fill="auto"/>
              </w:rPr>
            </w:pPr>
          </w:p>
        </w:tc>
      </w:tr>
      <w:tr>
        <w:tblPrEx>
          <w:tblCellMar>
            <w:top w:w="0" w:type="dxa"/>
            <w:left w:w="10" w:type="dxa"/>
            <w:bottom w:w="0" w:type="dxa"/>
            <w:right w:w="10" w:type="dxa"/>
          </w:tblCellMar>
        </w:tblPrEx>
        <w:trPr>
          <w:trHeight w:val="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74" w:lineRule="auto"/>
              <w:ind w:left="0" w:right="0" w:firstLine="0"/>
              <w:jc w:val="center"/>
              <w:rPr>
                <w:color w:val="auto"/>
                <w:spacing w:val="0"/>
                <w:position w:val="0"/>
                <w:shd w:val="clear" w:fill="auto"/>
              </w:rPr>
            </w:pPr>
            <w:r>
              <w:rPr>
                <w:rFonts w:ascii="仿宋_GB2312" w:hAnsi="仿宋_GB2312" w:eastAsia="仿宋_GB2312" w:cs="仿宋_GB2312"/>
                <w:color w:val="auto"/>
                <w:spacing w:val="0"/>
                <w:position w:val="0"/>
                <w:sz w:val="24"/>
                <w:shd w:val="clear" w:fill="auto"/>
              </w:rPr>
              <w:t>3</w:t>
            </w:r>
          </w:p>
        </w:tc>
        <w:tc>
          <w:tcPr>
            <w:tcW w:w="84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hd w:val="clear" w:fill="auto"/>
              </w:rPr>
            </w:pPr>
            <w:r>
              <w:rPr>
                <w:rFonts w:ascii="宋体" w:hAnsi="宋体" w:eastAsia="宋体" w:cs="宋体"/>
                <w:color w:val="auto"/>
                <w:spacing w:val="0"/>
                <w:position w:val="0"/>
                <w:sz w:val="24"/>
                <w:shd w:val="clear" w:fill="auto"/>
              </w:rPr>
              <w:t>垃圾分类收集亭大号（有储藏间）</w:t>
            </w:r>
          </w:p>
        </w:tc>
        <w:tc>
          <w:tcPr>
            <w:tcW w:w="611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645"/>
              </w:tabs>
              <w:spacing w:before="0" w:after="0" w:line="274" w:lineRule="auto"/>
              <w:ind w:left="0" w:right="0" w:firstLine="200"/>
              <w:jc w:val="left"/>
              <w:rPr>
                <w:rFonts w:ascii="仿宋_GB2312" w:hAnsi="仿宋_GB2312" w:eastAsia="仿宋_GB2312" w:cs="仿宋_GB2312"/>
                <w:color w:val="auto"/>
                <w:spacing w:val="0"/>
                <w:position w:val="0"/>
                <w:sz w:val="24"/>
                <w:shd w:val="clear" w:fill="auto"/>
              </w:rPr>
            </w:pPr>
            <w:r>
              <w:object>
                <v:shape id="_x0000_i1029" o:spt="75" type="#_x0000_t75" style="height:151.3pt;width:221.15pt;" o:ole="t" fillcolor="#FFFFFF" filled="t" o:preferrelative="t" stroked="f" coordsize="21600,21600">
                  <v:path/>
                  <v:fill on="t" color2="#FFFFFF" focussize="0,0"/>
                  <v:stroke on="f"/>
                  <v:imagedata r:id="rId20" o:title=""/>
                  <o:lock v:ext="edit" aspectratio="f"/>
                  <w10:wrap type="none"/>
                  <w10:anchorlock/>
                </v:shape>
                <o:OLEObject Type="Embed" ProgID="StaticMetafile" ShapeID="_x0000_i1029" DrawAspect="Content" ObjectID="_1468075729" r:id="rId19">
                  <o:LockedField>false</o:LockedField>
                </o:OLEObject>
              </w:object>
            </w:r>
          </w:p>
          <w:p>
            <w:pPr>
              <w:spacing w:before="0" w:after="0" w:line="274" w:lineRule="auto"/>
              <w:ind w:left="256" w:right="6" w:firstLine="624"/>
              <w:jc w:val="both"/>
              <w:rPr>
                <w:color w:val="auto"/>
                <w:spacing w:val="0"/>
                <w:position w:val="0"/>
                <w:shd w:val="clear" w:fill="auto"/>
              </w:rPr>
            </w:pPr>
            <w:r>
              <w:object>
                <v:shape id="_x0000_i1030" o:spt="75" type="#_x0000_t75" style="height:183.05pt;width:157.8pt;" o:ole="t" fillcolor="#FFFFFF" filled="t" o:preferrelative="t" stroked="f" coordsize="21600,21600">
                  <v:path/>
                  <v:fill on="t" color2="#FFFFFF" focussize="0,0"/>
                  <v:stroke on="f"/>
                  <v:imagedata r:id="rId22" o:title=""/>
                  <o:lock v:ext="edit" aspectratio="f"/>
                  <w10:wrap type="none"/>
                  <w10:anchorlock/>
                </v:shape>
                <o:OLEObject Type="Embed" ProgID="StaticMetafile" ShapeID="_x0000_i1030" DrawAspect="Content" ObjectID="_1468075730" r:id="rId21">
                  <o:LockedField>false</o:LockedField>
                </o:OLEObject>
              </w:object>
            </w:r>
          </w:p>
        </w:tc>
        <w:tc>
          <w:tcPr>
            <w:tcW w:w="54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74" w:lineRule="auto"/>
              <w:ind w:left="0" w:right="0" w:firstLine="0"/>
              <w:jc w:val="center"/>
              <w:rPr>
                <w:color w:val="auto"/>
                <w:spacing w:val="0"/>
                <w:position w:val="0"/>
                <w:shd w:val="clear" w:fill="auto"/>
              </w:rPr>
            </w:pPr>
            <w:r>
              <w:rPr>
                <w:rFonts w:ascii="仿宋_GB2312" w:hAnsi="仿宋_GB2312" w:eastAsia="仿宋_GB2312" w:cs="仿宋_GB2312"/>
                <w:color w:val="auto"/>
                <w:spacing w:val="0"/>
                <w:position w:val="0"/>
                <w:sz w:val="24"/>
                <w:shd w:val="clear" w:fill="auto"/>
              </w:rPr>
              <w:t>个</w:t>
            </w:r>
          </w:p>
        </w:tc>
        <w:tc>
          <w:tcPr>
            <w:tcW w:w="58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74" w:lineRule="auto"/>
              <w:ind w:left="0" w:right="0" w:firstLine="0"/>
              <w:jc w:val="center"/>
              <w:rPr>
                <w:color w:val="auto"/>
                <w:spacing w:val="0"/>
                <w:position w:val="0"/>
                <w:shd w:val="clear" w:fill="auto"/>
              </w:rPr>
            </w:pPr>
            <w:r>
              <w:rPr>
                <w:rFonts w:ascii="仿宋_GB2312" w:hAnsi="仿宋_GB2312" w:eastAsia="仿宋_GB2312" w:cs="仿宋_GB2312"/>
                <w:color w:val="auto"/>
                <w:spacing w:val="0"/>
                <w:position w:val="0"/>
                <w:sz w:val="24"/>
                <w:shd w:val="clear" w:fill="auto"/>
              </w:rPr>
              <w:t>26</w:t>
            </w:r>
          </w:p>
        </w:tc>
        <w:tc>
          <w:tcPr>
            <w:tcW w:w="51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74" w:lineRule="auto"/>
              <w:ind w:left="0" w:right="0" w:firstLine="0"/>
              <w:jc w:val="both"/>
              <w:rPr>
                <w:rFonts w:ascii="宋体" w:hAnsi="宋体" w:eastAsia="宋体" w:cs="宋体"/>
                <w:color w:val="auto"/>
                <w:spacing w:val="0"/>
                <w:position w:val="0"/>
                <w:sz w:val="22"/>
                <w:shd w:val="clear" w:fill="auto"/>
              </w:rPr>
            </w:pPr>
          </w:p>
        </w:tc>
      </w:tr>
    </w:tbl>
    <w:p>
      <w:pPr>
        <w:tabs>
          <w:tab w:val="left" w:pos="1920"/>
        </w:tabs>
        <w:spacing w:before="0" w:after="0" w:line="274" w:lineRule="auto"/>
        <w:ind w:left="0" w:right="6" w:hanging="396"/>
        <w:jc w:val="both"/>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 xml:space="preserve">   </w:t>
      </w:r>
    </w:p>
    <w:p>
      <w:pPr>
        <w:tabs>
          <w:tab w:val="left" w:pos="1920"/>
        </w:tabs>
        <w:spacing w:before="0" w:after="0" w:line="274" w:lineRule="auto"/>
        <w:ind w:left="0" w:right="6" w:hanging="396"/>
        <w:jc w:val="both"/>
        <w:rPr>
          <w:rFonts w:ascii="宋体" w:hAnsi="宋体" w:eastAsia="宋体" w:cs="宋体"/>
          <w:color w:val="auto"/>
          <w:spacing w:val="0"/>
          <w:position w:val="0"/>
          <w:sz w:val="24"/>
          <w:shd w:val="clear" w:fill="auto"/>
        </w:rPr>
      </w:pPr>
    </w:p>
    <w:p>
      <w:pPr>
        <w:tabs>
          <w:tab w:val="left" w:pos="1920"/>
        </w:tabs>
        <w:spacing w:before="0" w:after="0" w:line="274" w:lineRule="auto"/>
        <w:ind w:left="0" w:right="6" w:hanging="396"/>
        <w:jc w:val="both"/>
        <w:rPr>
          <w:rFonts w:ascii="宋体" w:hAnsi="宋体" w:eastAsia="宋体" w:cs="宋体"/>
          <w:color w:val="auto"/>
          <w:spacing w:val="0"/>
          <w:position w:val="0"/>
          <w:sz w:val="24"/>
          <w:shd w:val="clear" w:fill="auto"/>
        </w:rPr>
      </w:pPr>
    </w:p>
    <w:p>
      <w:pPr>
        <w:tabs>
          <w:tab w:val="left" w:pos="1920"/>
        </w:tabs>
        <w:spacing w:before="0" w:after="0" w:line="274" w:lineRule="auto"/>
        <w:ind w:left="0" w:right="6" w:hanging="396"/>
        <w:jc w:val="both"/>
        <w:rPr>
          <w:rFonts w:ascii="宋体" w:hAnsi="宋体" w:eastAsia="宋体" w:cs="宋体"/>
          <w:color w:val="auto"/>
          <w:spacing w:val="0"/>
          <w:position w:val="0"/>
          <w:sz w:val="24"/>
          <w:shd w:val="clear" w:fill="auto"/>
        </w:rPr>
      </w:pPr>
    </w:p>
    <w:p>
      <w:pPr>
        <w:tabs>
          <w:tab w:val="left" w:pos="1920"/>
        </w:tabs>
        <w:spacing w:before="0" w:after="0" w:line="274" w:lineRule="auto"/>
        <w:ind w:left="0" w:right="6" w:hanging="396"/>
        <w:jc w:val="both"/>
        <w:rPr>
          <w:rFonts w:ascii="宋体" w:hAnsi="宋体" w:eastAsia="宋体" w:cs="宋体"/>
          <w:color w:val="auto"/>
          <w:spacing w:val="0"/>
          <w:position w:val="0"/>
          <w:sz w:val="24"/>
          <w:shd w:val="clear" w:fill="auto"/>
        </w:rPr>
      </w:pPr>
    </w:p>
    <w:p>
      <w:pPr>
        <w:tabs>
          <w:tab w:val="left" w:pos="1920"/>
        </w:tabs>
        <w:spacing w:before="0" w:after="0" w:line="274" w:lineRule="auto"/>
        <w:ind w:left="0" w:right="6" w:hanging="396"/>
        <w:jc w:val="both"/>
        <w:rPr>
          <w:rFonts w:ascii="宋体" w:hAnsi="宋体" w:eastAsia="宋体" w:cs="宋体"/>
          <w:color w:val="auto"/>
          <w:spacing w:val="0"/>
          <w:position w:val="0"/>
          <w:sz w:val="24"/>
          <w:shd w:val="clear" w:fill="auto"/>
        </w:rPr>
      </w:pPr>
    </w:p>
    <w:p>
      <w:pPr>
        <w:tabs>
          <w:tab w:val="left" w:pos="1920"/>
        </w:tabs>
        <w:spacing w:before="0" w:after="0" w:line="274" w:lineRule="auto"/>
        <w:ind w:left="0" w:right="6" w:hanging="396"/>
        <w:jc w:val="both"/>
        <w:rPr>
          <w:rFonts w:ascii="宋体" w:hAnsi="宋体" w:eastAsia="宋体" w:cs="宋体"/>
          <w:color w:val="auto"/>
          <w:spacing w:val="0"/>
          <w:position w:val="0"/>
          <w:sz w:val="24"/>
          <w:shd w:val="clear" w:fill="auto"/>
        </w:rPr>
      </w:pPr>
    </w:p>
    <w:p>
      <w:pPr>
        <w:tabs>
          <w:tab w:val="left" w:pos="1920"/>
        </w:tabs>
        <w:spacing w:before="0" w:after="0" w:line="274" w:lineRule="auto"/>
        <w:ind w:left="0" w:right="6" w:hanging="396"/>
        <w:jc w:val="both"/>
        <w:rPr>
          <w:rFonts w:ascii="宋体" w:hAnsi="宋体" w:eastAsia="宋体" w:cs="宋体"/>
          <w:color w:val="auto"/>
          <w:spacing w:val="0"/>
          <w:position w:val="0"/>
          <w:sz w:val="24"/>
          <w:shd w:val="clear" w:fill="auto"/>
        </w:rPr>
      </w:pPr>
    </w:p>
    <w:p>
      <w:pPr>
        <w:tabs>
          <w:tab w:val="left" w:pos="1920"/>
        </w:tabs>
        <w:spacing w:before="0" w:after="0" w:line="274" w:lineRule="auto"/>
        <w:ind w:left="0" w:right="6" w:hanging="396"/>
        <w:jc w:val="both"/>
        <w:rPr>
          <w:rFonts w:ascii="宋体" w:hAnsi="宋体" w:eastAsia="宋体" w:cs="宋体"/>
          <w:color w:val="auto"/>
          <w:spacing w:val="0"/>
          <w:position w:val="0"/>
          <w:sz w:val="24"/>
          <w:shd w:val="clear" w:fill="auto"/>
        </w:rPr>
      </w:pPr>
    </w:p>
    <w:p>
      <w:pPr>
        <w:tabs>
          <w:tab w:val="left" w:pos="1920"/>
        </w:tabs>
        <w:spacing w:before="0" w:after="0" w:line="274" w:lineRule="auto"/>
        <w:ind w:left="0" w:right="6" w:hanging="396"/>
        <w:jc w:val="both"/>
        <w:rPr>
          <w:rFonts w:ascii="宋体" w:hAnsi="宋体" w:eastAsia="宋体" w:cs="宋体"/>
          <w:color w:val="auto"/>
          <w:spacing w:val="0"/>
          <w:position w:val="0"/>
          <w:sz w:val="24"/>
          <w:shd w:val="clear" w:fill="auto"/>
        </w:rPr>
      </w:pPr>
    </w:p>
    <w:p>
      <w:pPr>
        <w:tabs>
          <w:tab w:val="left" w:pos="1920"/>
        </w:tabs>
        <w:spacing w:before="0" w:after="0" w:line="274" w:lineRule="auto"/>
        <w:ind w:left="0" w:right="6" w:hanging="396"/>
        <w:jc w:val="both"/>
        <w:rPr>
          <w:rFonts w:ascii="宋体" w:hAnsi="宋体" w:eastAsia="宋体" w:cs="宋体"/>
          <w:color w:val="auto"/>
          <w:spacing w:val="0"/>
          <w:position w:val="0"/>
          <w:sz w:val="24"/>
          <w:shd w:val="clear" w:fill="auto"/>
        </w:rPr>
      </w:pPr>
    </w:p>
    <w:p>
      <w:pPr>
        <w:spacing w:before="0" w:after="0" w:line="274" w:lineRule="auto"/>
        <w:ind w:left="0" w:right="6" w:hanging="396"/>
        <w:jc w:val="both"/>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二标段:数量73个</w:t>
      </w:r>
    </w:p>
    <w:tbl>
      <w:tblPr>
        <w:tblStyle w:val="12"/>
        <w:tblW w:w="0" w:type="auto"/>
        <w:jc w:val="center"/>
        <w:tblLayout w:type="autofit"/>
        <w:tblCellMar>
          <w:top w:w="0" w:type="dxa"/>
          <w:left w:w="10" w:type="dxa"/>
          <w:bottom w:w="0" w:type="dxa"/>
          <w:right w:w="10" w:type="dxa"/>
        </w:tblCellMar>
      </w:tblPr>
      <w:tblGrid>
        <w:gridCol w:w="506"/>
        <w:gridCol w:w="857"/>
        <w:gridCol w:w="5729"/>
        <w:gridCol w:w="473"/>
        <w:gridCol w:w="482"/>
        <w:gridCol w:w="468"/>
      </w:tblGrid>
      <w:tr>
        <w:tblPrEx>
          <w:tblCellMar>
            <w:top w:w="0" w:type="dxa"/>
            <w:left w:w="10" w:type="dxa"/>
            <w:bottom w:w="0" w:type="dxa"/>
            <w:right w:w="10" w:type="dxa"/>
          </w:tblCellMar>
        </w:tblPrEx>
        <w:trPr>
          <w:trHeight w:val="179" w:hRule="atLeast"/>
          <w:jc w:val="center"/>
        </w:trPr>
        <w:tc>
          <w:tcPr>
            <w:tcW w:w="50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74" w:lineRule="auto"/>
              <w:ind w:left="0" w:right="0" w:firstLine="0"/>
              <w:jc w:val="center"/>
              <w:rPr>
                <w:color w:val="auto"/>
                <w:spacing w:val="0"/>
                <w:position w:val="0"/>
                <w:shd w:val="clear" w:fill="auto"/>
              </w:rPr>
            </w:pPr>
            <w:r>
              <w:rPr>
                <w:rFonts w:ascii="仿宋_GB2312" w:hAnsi="仿宋_GB2312" w:eastAsia="仿宋_GB2312" w:cs="仿宋_GB2312"/>
                <w:b/>
                <w:color w:val="auto"/>
                <w:spacing w:val="0"/>
                <w:position w:val="0"/>
                <w:sz w:val="24"/>
                <w:shd w:val="clear" w:fill="auto"/>
              </w:rPr>
              <w:t>序号</w:t>
            </w:r>
          </w:p>
        </w:tc>
        <w:tc>
          <w:tcPr>
            <w:tcW w:w="8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74" w:lineRule="auto"/>
              <w:ind w:left="0" w:right="0" w:firstLine="0"/>
              <w:jc w:val="center"/>
              <w:rPr>
                <w:color w:val="auto"/>
                <w:spacing w:val="0"/>
                <w:position w:val="0"/>
                <w:shd w:val="clear" w:fill="auto"/>
              </w:rPr>
            </w:pPr>
            <w:r>
              <w:rPr>
                <w:rFonts w:ascii="仿宋_GB2312" w:hAnsi="仿宋_GB2312" w:eastAsia="仿宋_GB2312" w:cs="仿宋_GB2312"/>
                <w:b/>
                <w:color w:val="auto"/>
                <w:spacing w:val="0"/>
                <w:position w:val="0"/>
                <w:sz w:val="24"/>
                <w:shd w:val="clear" w:fill="auto"/>
              </w:rPr>
              <w:t>采购产品名称</w:t>
            </w:r>
          </w:p>
        </w:tc>
        <w:tc>
          <w:tcPr>
            <w:tcW w:w="57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74" w:lineRule="auto"/>
              <w:ind w:left="0" w:right="0" w:firstLine="0"/>
              <w:jc w:val="center"/>
              <w:rPr>
                <w:rFonts w:ascii="仿宋_GB2312" w:hAnsi="仿宋_GB2312" w:eastAsia="仿宋_GB2312" w:cs="仿宋_GB2312"/>
                <w:b/>
                <w:color w:val="auto"/>
                <w:spacing w:val="0"/>
                <w:position w:val="0"/>
                <w:sz w:val="24"/>
                <w:shd w:val="clear" w:fill="auto"/>
              </w:rPr>
            </w:pPr>
            <w:r>
              <w:rPr>
                <w:rFonts w:ascii="仿宋_GB2312" w:hAnsi="仿宋_GB2312" w:eastAsia="仿宋_GB2312" w:cs="仿宋_GB2312"/>
                <w:b/>
                <w:color w:val="auto"/>
                <w:spacing w:val="0"/>
                <w:position w:val="0"/>
                <w:sz w:val="24"/>
                <w:shd w:val="clear" w:fill="auto"/>
              </w:rPr>
              <w:t>产品图片</w:t>
            </w:r>
          </w:p>
          <w:p>
            <w:pPr>
              <w:spacing w:before="0" w:after="0" w:line="274" w:lineRule="auto"/>
              <w:ind w:left="0" w:right="0" w:firstLine="0"/>
              <w:jc w:val="center"/>
              <w:rPr>
                <w:color w:val="auto"/>
                <w:spacing w:val="0"/>
                <w:position w:val="0"/>
                <w:shd w:val="clear" w:fill="auto"/>
              </w:rPr>
            </w:pPr>
            <w:r>
              <w:rPr>
                <w:rFonts w:ascii="仿宋_GB2312" w:hAnsi="仿宋_GB2312" w:eastAsia="仿宋_GB2312" w:cs="仿宋_GB2312"/>
                <w:b/>
                <w:color w:val="auto"/>
                <w:spacing w:val="0"/>
                <w:position w:val="0"/>
                <w:sz w:val="24"/>
                <w:shd w:val="clear" w:fill="auto"/>
              </w:rPr>
              <w:t>（样式、颜色仅供参考）</w:t>
            </w:r>
          </w:p>
        </w:tc>
        <w:tc>
          <w:tcPr>
            <w:tcW w:w="47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74" w:lineRule="auto"/>
              <w:ind w:left="0" w:right="0" w:firstLine="0"/>
              <w:jc w:val="center"/>
              <w:rPr>
                <w:color w:val="auto"/>
                <w:spacing w:val="0"/>
                <w:position w:val="0"/>
                <w:shd w:val="clear" w:fill="auto"/>
              </w:rPr>
            </w:pPr>
            <w:r>
              <w:rPr>
                <w:rFonts w:ascii="仿宋_GB2312" w:hAnsi="仿宋_GB2312" w:eastAsia="仿宋_GB2312" w:cs="仿宋_GB2312"/>
                <w:b/>
                <w:color w:val="auto"/>
                <w:spacing w:val="0"/>
                <w:position w:val="0"/>
                <w:sz w:val="24"/>
                <w:shd w:val="clear" w:fill="auto"/>
              </w:rPr>
              <w:t>单位</w:t>
            </w:r>
          </w:p>
        </w:tc>
        <w:tc>
          <w:tcPr>
            <w:tcW w:w="48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74" w:lineRule="auto"/>
              <w:ind w:left="0" w:right="0" w:firstLine="0"/>
              <w:jc w:val="center"/>
              <w:rPr>
                <w:color w:val="auto"/>
                <w:spacing w:val="0"/>
                <w:position w:val="0"/>
                <w:shd w:val="clear" w:fill="auto"/>
              </w:rPr>
            </w:pPr>
            <w:r>
              <w:rPr>
                <w:rFonts w:ascii="仿宋_GB2312" w:hAnsi="仿宋_GB2312" w:eastAsia="仿宋_GB2312" w:cs="仿宋_GB2312"/>
                <w:b/>
                <w:color w:val="auto"/>
                <w:spacing w:val="0"/>
                <w:position w:val="0"/>
                <w:sz w:val="24"/>
                <w:shd w:val="clear" w:fill="auto"/>
              </w:rPr>
              <w:t>数量</w:t>
            </w:r>
          </w:p>
        </w:tc>
        <w:tc>
          <w:tcPr>
            <w:tcW w:w="4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74" w:lineRule="auto"/>
              <w:ind w:left="0" w:right="0" w:firstLine="0"/>
              <w:jc w:val="both"/>
              <w:rPr>
                <w:color w:val="auto"/>
                <w:spacing w:val="0"/>
                <w:position w:val="0"/>
                <w:shd w:val="clear" w:fill="auto"/>
              </w:rPr>
            </w:pPr>
            <w:r>
              <w:rPr>
                <w:rFonts w:ascii="仿宋_GB2312" w:hAnsi="仿宋_GB2312" w:eastAsia="仿宋_GB2312" w:cs="仿宋_GB2312"/>
                <w:b/>
                <w:color w:val="auto"/>
                <w:spacing w:val="0"/>
                <w:position w:val="0"/>
                <w:sz w:val="24"/>
                <w:shd w:val="clear" w:fill="auto"/>
              </w:rPr>
              <w:t>备注</w:t>
            </w:r>
          </w:p>
        </w:tc>
      </w:tr>
      <w:tr>
        <w:tblPrEx>
          <w:tblCellMar>
            <w:top w:w="0" w:type="dxa"/>
            <w:left w:w="10" w:type="dxa"/>
            <w:bottom w:w="0" w:type="dxa"/>
            <w:right w:w="10" w:type="dxa"/>
          </w:tblCellMar>
        </w:tblPrEx>
        <w:trPr>
          <w:trHeight w:val="474" w:hRule="atLeast"/>
          <w:jc w:val="center"/>
        </w:trPr>
        <w:tc>
          <w:tcPr>
            <w:tcW w:w="50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74" w:lineRule="auto"/>
              <w:ind w:left="0" w:right="0" w:firstLine="0"/>
              <w:jc w:val="center"/>
              <w:rPr>
                <w:color w:val="auto"/>
                <w:spacing w:val="0"/>
                <w:position w:val="0"/>
                <w:shd w:val="clear" w:fill="auto"/>
              </w:rPr>
            </w:pPr>
            <w:r>
              <w:rPr>
                <w:rFonts w:ascii="仿宋_GB2312" w:hAnsi="仿宋_GB2312" w:eastAsia="仿宋_GB2312" w:cs="仿宋_GB2312"/>
                <w:color w:val="auto"/>
                <w:spacing w:val="0"/>
                <w:position w:val="0"/>
                <w:sz w:val="24"/>
                <w:shd w:val="clear" w:fill="auto"/>
              </w:rPr>
              <w:t>1</w:t>
            </w:r>
          </w:p>
        </w:tc>
        <w:tc>
          <w:tcPr>
            <w:tcW w:w="8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hd w:val="clear" w:fill="auto"/>
              </w:rPr>
            </w:pPr>
            <w:r>
              <w:rPr>
                <w:rFonts w:ascii="宋体" w:hAnsi="宋体" w:eastAsia="宋体" w:cs="宋体"/>
                <w:color w:val="auto"/>
                <w:spacing w:val="0"/>
                <w:position w:val="0"/>
                <w:sz w:val="24"/>
                <w:shd w:val="clear" w:fill="auto"/>
              </w:rPr>
              <w:t>垃圾分类收集亭小号民（有储藏间）</w:t>
            </w:r>
          </w:p>
        </w:tc>
        <w:tc>
          <w:tcPr>
            <w:tcW w:w="5729"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74" w:lineRule="auto"/>
              <w:ind w:left="0" w:right="0" w:firstLine="0"/>
              <w:jc w:val="center"/>
              <w:rPr>
                <w:rFonts w:ascii="仿宋_GB2312" w:hAnsi="仿宋_GB2312" w:eastAsia="仿宋_GB2312" w:cs="仿宋_GB2312"/>
                <w:color w:val="auto"/>
                <w:spacing w:val="0"/>
                <w:position w:val="0"/>
                <w:sz w:val="24"/>
                <w:shd w:val="clear" w:fill="auto"/>
              </w:rPr>
            </w:pPr>
          </w:p>
          <w:p>
            <w:pPr>
              <w:spacing w:before="0" w:after="0" w:line="274" w:lineRule="auto"/>
              <w:ind w:left="256" w:right="6" w:firstLine="224"/>
              <w:jc w:val="both"/>
              <w:rPr>
                <w:color w:val="auto"/>
                <w:spacing w:val="0"/>
                <w:position w:val="0"/>
                <w:shd w:val="clear" w:fill="auto"/>
              </w:rPr>
            </w:pPr>
            <w:r>
              <w:drawing>
                <wp:inline distT="0" distB="0" distL="114300" distR="114300">
                  <wp:extent cx="2477770" cy="1858010"/>
                  <wp:effectExtent l="0" t="0" r="5080" b="9525"/>
                  <wp:docPr id="1" name="图片 1" descr="26178cd02db1328a7d927ae221477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6178cd02db1328a7d927ae2214773b"/>
                          <pic:cNvPicPr>
                            <a:picLocks noChangeAspect="1"/>
                          </pic:cNvPicPr>
                        </pic:nvPicPr>
                        <pic:blipFill>
                          <a:blip r:embed="rId23"/>
                          <a:stretch>
                            <a:fillRect/>
                          </a:stretch>
                        </pic:blipFill>
                        <pic:spPr>
                          <a:xfrm>
                            <a:off x="0" y="0"/>
                            <a:ext cx="2477770" cy="1858010"/>
                          </a:xfrm>
                          <a:prstGeom prst="rect">
                            <a:avLst/>
                          </a:prstGeom>
                        </pic:spPr>
                      </pic:pic>
                    </a:graphicData>
                  </a:graphic>
                </wp:inline>
              </w:drawing>
            </w:r>
          </w:p>
        </w:tc>
        <w:tc>
          <w:tcPr>
            <w:tcW w:w="47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74" w:lineRule="auto"/>
              <w:ind w:left="0" w:right="0" w:firstLine="0"/>
              <w:jc w:val="center"/>
              <w:rPr>
                <w:color w:val="auto"/>
                <w:spacing w:val="0"/>
                <w:position w:val="0"/>
                <w:shd w:val="clear" w:fill="auto"/>
              </w:rPr>
            </w:pPr>
            <w:r>
              <w:rPr>
                <w:rFonts w:ascii="仿宋_GB2312" w:hAnsi="仿宋_GB2312" w:eastAsia="仿宋_GB2312" w:cs="仿宋_GB2312"/>
                <w:color w:val="auto"/>
                <w:spacing w:val="0"/>
                <w:position w:val="0"/>
                <w:sz w:val="24"/>
                <w:shd w:val="clear" w:fill="auto"/>
              </w:rPr>
              <w:t>个</w:t>
            </w:r>
          </w:p>
        </w:tc>
        <w:tc>
          <w:tcPr>
            <w:tcW w:w="48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74" w:lineRule="auto"/>
              <w:ind w:left="0" w:right="0" w:firstLine="0"/>
              <w:jc w:val="center"/>
              <w:rPr>
                <w:color w:val="auto"/>
                <w:spacing w:val="0"/>
                <w:position w:val="0"/>
                <w:shd w:val="clear" w:fill="auto"/>
              </w:rPr>
            </w:pPr>
            <w:r>
              <w:rPr>
                <w:rFonts w:ascii="仿宋_GB2312" w:hAnsi="仿宋_GB2312" w:eastAsia="仿宋_GB2312" w:cs="仿宋_GB2312"/>
                <w:color w:val="auto"/>
                <w:spacing w:val="0"/>
                <w:position w:val="0"/>
                <w:sz w:val="24"/>
                <w:shd w:val="clear" w:fill="auto"/>
              </w:rPr>
              <w:t>46</w:t>
            </w:r>
          </w:p>
        </w:tc>
        <w:tc>
          <w:tcPr>
            <w:tcW w:w="4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74" w:lineRule="auto"/>
              <w:ind w:left="0" w:right="0" w:firstLine="0"/>
              <w:jc w:val="both"/>
              <w:rPr>
                <w:color w:val="auto"/>
                <w:spacing w:val="0"/>
                <w:position w:val="0"/>
                <w:shd w:val="clear" w:fill="auto"/>
              </w:rPr>
            </w:pPr>
            <w:r>
              <w:rPr>
                <w:rFonts w:ascii="仿宋_GB2312" w:hAnsi="仿宋_GB2312" w:eastAsia="仿宋_GB2312" w:cs="仿宋_GB2312"/>
                <w:color w:val="auto"/>
                <w:spacing w:val="0"/>
                <w:position w:val="0"/>
                <w:sz w:val="21"/>
                <w:shd w:val="clear" w:fill="auto"/>
              </w:rPr>
              <w:t xml:space="preserve"> </w:t>
            </w:r>
          </w:p>
        </w:tc>
      </w:tr>
      <w:tr>
        <w:tblPrEx>
          <w:tblCellMar>
            <w:top w:w="0" w:type="dxa"/>
            <w:left w:w="10" w:type="dxa"/>
            <w:bottom w:w="0" w:type="dxa"/>
            <w:right w:w="10" w:type="dxa"/>
          </w:tblCellMar>
        </w:tblPrEx>
        <w:trPr>
          <w:trHeight w:val="474" w:hRule="atLeast"/>
          <w:jc w:val="center"/>
        </w:trPr>
        <w:tc>
          <w:tcPr>
            <w:tcW w:w="50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74" w:lineRule="auto"/>
              <w:ind w:left="0" w:right="0" w:firstLine="0"/>
              <w:jc w:val="center"/>
              <w:rPr>
                <w:color w:val="auto"/>
                <w:spacing w:val="0"/>
                <w:position w:val="0"/>
                <w:shd w:val="clear" w:fill="auto"/>
              </w:rPr>
            </w:pPr>
            <w:r>
              <w:rPr>
                <w:rFonts w:ascii="仿宋_GB2312" w:hAnsi="仿宋_GB2312" w:eastAsia="仿宋_GB2312" w:cs="仿宋_GB2312"/>
                <w:color w:val="auto"/>
                <w:spacing w:val="0"/>
                <w:position w:val="0"/>
                <w:sz w:val="24"/>
                <w:shd w:val="clear" w:fill="auto"/>
              </w:rPr>
              <w:t>2</w:t>
            </w:r>
          </w:p>
        </w:tc>
        <w:tc>
          <w:tcPr>
            <w:tcW w:w="8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hd w:val="clear" w:fill="auto"/>
              </w:rPr>
            </w:pPr>
            <w:r>
              <w:rPr>
                <w:rFonts w:ascii="宋体" w:hAnsi="宋体" w:eastAsia="宋体" w:cs="宋体"/>
                <w:color w:val="auto"/>
                <w:spacing w:val="0"/>
                <w:position w:val="0"/>
                <w:sz w:val="24"/>
                <w:shd w:val="clear" w:fill="auto"/>
              </w:rPr>
              <w:t>垃圾分类收集亭中号民（有储藏间）</w:t>
            </w:r>
          </w:p>
        </w:tc>
        <w:tc>
          <w:tcPr>
            <w:tcW w:w="5729"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200" w:line="276" w:lineRule="auto"/>
              <w:ind w:left="0" w:right="0" w:firstLine="0"/>
              <w:jc w:val="left"/>
              <w:rPr>
                <w:rFonts w:ascii="宋体" w:hAnsi="宋体" w:eastAsia="宋体" w:cs="宋体"/>
                <w:color w:val="auto"/>
                <w:spacing w:val="0"/>
                <w:position w:val="0"/>
                <w:shd w:val="clear" w:fill="auto"/>
              </w:rPr>
            </w:pPr>
          </w:p>
        </w:tc>
        <w:tc>
          <w:tcPr>
            <w:tcW w:w="47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74" w:lineRule="auto"/>
              <w:ind w:left="0" w:right="0" w:firstLine="0"/>
              <w:jc w:val="center"/>
              <w:rPr>
                <w:color w:val="auto"/>
                <w:spacing w:val="0"/>
                <w:position w:val="0"/>
                <w:shd w:val="clear" w:fill="auto"/>
              </w:rPr>
            </w:pPr>
            <w:r>
              <w:rPr>
                <w:rFonts w:ascii="仿宋_GB2312" w:hAnsi="仿宋_GB2312" w:eastAsia="仿宋_GB2312" w:cs="仿宋_GB2312"/>
                <w:color w:val="auto"/>
                <w:spacing w:val="0"/>
                <w:position w:val="0"/>
                <w:sz w:val="24"/>
                <w:shd w:val="clear" w:fill="auto"/>
              </w:rPr>
              <w:t>个</w:t>
            </w:r>
          </w:p>
        </w:tc>
        <w:tc>
          <w:tcPr>
            <w:tcW w:w="48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74" w:lineRule="auto"/>
              <w:ind w:left="0" w:right="0" w:firstLine="0"/>
              <w:jc w:val="center"/>
              <w:rPr>
                <w:color w:val="auto"/>
                <w:spacing w:val="0"/>
                <w:position w:val="0"/>
                <w:shd w:val="clear" w:fill="auto"/>
              </w:rPr>
            </w:pPr>
            <w:r>
              <w:rPr>
                <w:rFonts w:ascii="仿宋_GB2312" w:hAnsi="仿宋_GB2312" w:eastAsia="仿宋_GB2312" w:cs="仿宋_GB2312"/>
                <w:color w:val="auto"/>
                <w:spacing w:val="0"/>
                <w:position w:val="0"/>
                <w:sz w:val="24"/>
                <w:shd w:val="clear" w:fill="auto"/>
              </w:rPr>
              <w:t>20</w:t>
            </w:r>
          </w:p>
        </w:tc>
        <w:tc>
          <w:tcPr>
            <w:tcW w:w="4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74" w:lineRule="auto"/>
              <w:ind w:left="0" w:right="0" w:firstLine="0"/>
              <w:jc w:val="both"/>
              <w:rPr>
                <w:rFonts w:ascii="宋体" w:hAnsi="宋体" w:eastAsia="宋体" w:cs="宋体"/>
                <w:color w:val="auto"/>
                <w:spacing w:val="0"/>
                <w:position w:val="0"/>
                <w:sz w:val="22"/>
                <w:shd w:val="clear" w:fill="auto"/>
              </w:rPr>
            </w:pPr>
          </w:p>
        </w:tc>
      </w:tr>
      <w:tr>
        <w:tblPrEx>
          <w:tblCellMar>
            <w:top w:w="0" w:type="dxa"/>
            <w:left w:w="10" w:type="dxa"/>
            <w:bottom w:w="0" w:type="dxa"/>
            <w:right w:w="10" w:type="dxa"/>
          </w:tblCellMar>
        </w:tblPrEx>
        <w:trPr>
          <w:trHeight w:val="122" w:hRule="atLeast"/>
          <w:jc w:val="center"/>
        </w:trPr>
        <w:tc>
          <w:tcPr>
            <w:tcW w:w="50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74" w:lineRule="auto"/>
              <w:ind w:left="0" w:right="0" w:firstLine="0"/>
              <w:jc w:val="center"/>
              <w:rPr>
                <w:color w:val="auto"/>
                <w:spacing w:val="0"/>
                <w:position w:val="0"/>
                <w:shd w:val="clear" w:fill="auto"/>
              </w:rPr>
            </w:pPr>
            <w:r>
              <w:rPr>
                <w:rFonts w:ascii="仿宋_GB2312" w:hAnsi="仿宋_GB2312" w:eastAsia="仿宋_GB2312" w:cs="仿宋_GB2312"/>
                <w:color w:val="auto"/>
                <w:spacing w:val="0"/>
                <w:position w:val="0"/>
                <w:sz w:val="24"/>
                <w:shd w:val="clear" w:fill="auto"/>
              </w:rPr>
              <w:t>3</w:t>
            </w:r>
          </w:p>
        </w:tc>
        <w:tc>
          <w:tcPr>
            <w:tcW w:w="8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hd w:val="clear" w:fill="auto"/>
              </w:rPr>
            </w:pPr>
            <w:r>
              <w:rPr>
                <w:rFonts w:ascii="宋体" w:hAnsi="宋体" w:eastAsia="宋体" w:cs="宋体"/>
                <w:color w:val="auto"/>
                <w:spacing w:val="0"/>
                <w:position w:val="0"/>
                <w:sz w:val="24"/>
                <w:shd w:val="clear" w:fill="auto"/>
              </w:rPr>
              <w:t>垃圾分类收集亭大号民（有储藏间）</w:t>
            </w:r>
          </w:p>
        </w:tc>
        <w:tc>
          <w:tcPr>
            <w:tcW w:w="5729"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200" w:line="276" w:lineRule="auto"/>
              <w:ind w:left="0" w:right="0" w:firstLine="0"/>
              <w:jc w:val="left"/>
              <w:rPr>
                <w:rFonts w:ascii="宋体" w:hAnsi="宋体" w:eastAsia="宋体" w:cs="宋体"/>
                <w:color w:val="auto"/>
                <w:spacing w:val="0"/>
                <w:position w:val="0"/>
                <w:shd w:val="clear" w:fill="auto"/>
              </w:rPr>
            </w:pPr>
          </w:p>
        </w:tc>
        <w:tc>
          <w:tcPr>
            <w:tcW w:w="47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74" w:lineRule="auto"/>
              <w:ind w:left="0" w:right="0" w:firstLine="0"/>
              <w:jc w:val="center"/>
              <w:rPr>
                <w:color w:val="auto"/>
                <w:spacing w:val="0"/>
                <w:position w:val="0"/>
                <w:shd w:val="clear" w:fill="auto"/>
              </w:rPr>
            </w:pPr>
            <w:r>
              <w:rPr>
                <w:rFonts w:ascii="仿宋_GB2312" w:hAnsi="仿宋_GB2312" w:eastAsia="仿宋_GB2312" w:cs="仿宋_GB2312"/>
                <w:color w:val="auto"/>
                <w:spacing w:val="0"/>
                <w:position w:val="0"/>
                <w:sz w:val="24"/>
                <w:shd w:val="clear" w:fill="auto"/>
              </w:rPr>
              <w:t>个</w:t>
            </w:r>
          </w:p>
        </w:tc>
        <w:tc>
          <w:tcPr>
            <w:tcW w:w="48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74" w:lineRule="auto"/>
              <w:ind w:left="0" w:right="0" w:firstLine="0"/>
              <w:jc w:val="center"/>
              <w:rPr>
                <w:color w:val="auto"/>
                <w:spacing w:val="0"/>
                <w:position w:val="0"/>
                <w:shd w:val="clear" w:fill="auto"/>
              </w:rPr>
            </w:pPr>
            <w:r>
              <w:rPr>
                <w:rFonts w:ascii="仿宋_GB2312" w:hAnsi="仿宋_GB2312" w:eastAsia="仿宋_GB2312" w:cs="仿宋_GB2312"/>
                <w:color w:val="auto"/>
                <w:spacing w:val="0"/>
                <w:position w:val="0"/>
                <w:sz w:val="24"/>
                <w:shd w:val="clear" w:fill="auto"/>
              </w:rPr>
              <w:t>7</w:t>
            </w:r>
          </w:p>
        </w:tc>
        <w:tc>
          <w:tcPr>
            <w:tcW w:w="4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74" w:lineRule="auto"/>
              <w:ind w:left="0" w:right="0" w:firstLine="0"/>
              <w:jc w:val="both"/>
              <w:rPr>
                <w:rFonts w:ascii="宋体" w:hAnsi="宋体" w:eastAsia="宋体" w:cs="宋体"/>
                <w:color w:val="auto"/>
                <w:spacing w:val="0"/>
                <w:position w:val="0"/>
                <w:sz w:val="22"/>
                <w:shd w:val="clear" w:fill="auto"/>
              </w:rPr>
            </w:pPr>
          </w:p>
        </w:tc>
      </w:tr>
    </w:tbl>
    <w:p>
      <w:pPr>
        <w:spacing w:before="0" w:after="0" w:line="274" w:lineRule="auto"/>
        <w:ind w:left="0" w:right="0" w:firstLine="0"/>
        <w:jc w:val="both"/>
        <w:rPr>
          <w:rFonts w:ascii="宋体" w:hAnsi="宋体" w:eastAsia="宋体" w:cs="宋体"/>
          <w:color w:val="auto"/>
          <w:spacing w:val="0"/>
          <w:position w:val="0"/>
          <w:sz w:val="24"/>
          <w:shd w:val="clear" w:fill="auto"/>
        </w:rPr>
      </w:pPr>
    </w:p>
    <w:p>
      <w:pPr>
        <w:spacing w:before="0" w:after="0" w:line="274" w:lineRule="auto"/>
        <w:ind w:left="0" w:right="0" w:firstLine="0"/>
        <w:jc w:val="both"/>
        <w:rPr>
          <w:rFonts w:ascii="宋体" w:hAnsi="宋体" w:eastAsia="宋体" w:cs="宋体"/>
          <w:color w:val="auto"/>
          <w:spacing w:val="0"/>
          <w:position w:val="0"/>
          <w:sz w:val="24"/>
          <w:shd w:val="clear" w:fill="auto"/>
        </w:rPr>
      </w:pPr>
    </w:p>
    <w:p>
      <w:pPr>
        <w:spacing w:before="0" w:after="0" w:line="274" w:lineRule="auto"/>
        <w:ind w:left="0" w:right="0" w:firstLine="0"/>
        <w:jc w:val="both"/>
        <w:rPr>
          <w:rFonts w:ascii="宋体" w:hAnsi="宋体" w:eastAsia="宋体" w:cs="宋体"/>
          <w:color w:val="auto"/>
          <w:spacing w:val="0"/>
          <w:position w:val="0"/>
          <w:sz w:val="24"/>
          <w:shd w:val="clear" w:fill="auto"/>
        </w:rPr>
      </w:pPr>
    </w:p>
    <w:p>
      <w:pPr>
        <w:spacing w:before="0" w:after="0" w:line="274" w:lineRule="auto"/>
        <w:ind w:left="0" w:right="0" w:firstLine="0"/>
        <w:jc w:val="both"/>
        <w:rPr>
          <w:rFonts w:ascii="宋体" w:hAnsi="宋体" w:eastAsia="宋体" w:cs="宋体"/>
          <w:color w:val="auto"/>
          <w:spacing w:val="0"/>
          <w:position w:val="0"/>
          <w:sz w:val="24"/>
          <w:shd w:val="clear" w:fill="auto"/>
        </w:rPr>
      </w:pPr>
    </w:p>
    <w:p>
      <w:pPr>
        <w:spacing w:before="0" w:after="0" w:line="274" w:lineRule="auto"/>
        <w:ind w:left="0" w:right="0" w:firstLine="0"/>
        <w:jc w:val="both"/>
        <w:rPr>
          <w:rFonts w:ascii="宋体" w:hAnsi="宋体" w:eastAsia="宋体" w:cs="宋体"/>
          <w:color w:val="auto"/>
          <w:spacing w:val="0"/>
          <w:position w:val="0"/>
          <w:sz w:val="24"/>
          <w:shd w:val="clear" w:fill="auto"/>
        </w:rPr>
      </w:pPr>
    </w:p>
    <w:p>
      <w:pPr>
        <w:spacing w:before="0" w:after="0" w:line="274" w:lineRule="auto"/>
        <w:ind w:left="0" w:right="0" w:firstLine="0"/>
        <w:jc w:val="both"/>
        <w:rPr>
          <w:rFonts w:ascii="宋体" w:hAnsi="宋体" w:eastAsia="宋体" w:cs="宋体"/>
          <w:color w:val="auto"/>
          <w:spacing w:val="0"/>
          <w:position w:val="0"/>
          <w:sz w:val="24"/>
          <w:shd w:val="clear" w:fill="auto"/>
        </w:rPr>
      </w:pPr>
    </w:p>
    <w:p>
      <w:pPr>
        <w:spacing w:before="0" w:after="0" w:line="274" w:lineRule="auto"/>
        <w:ind w:left="0" w:right="0" w:firstLine="0"/>
        <w:jc w:val="both"/>
        <w:rPr>
          <w:rFonts w:ascii="宋体" w:hAnsi="宋体" w:eastAsia="宋体" w:cs="宋体"/>
          <w:color w:val="auto"/>
          <w:spacing w:val="0"/>
          <w:position w:val="0"/>
          <w:sz w:val="24"/>
          <w:shd w:val="clear" w:fill="auto"/>
        </w:rPr>
      </w:pPr>
    </w:p>
    <w:p>
      <w:pPr>
        <w:spacing w:before="0" w:after="0" w:line="274" w:lineRule="auto"/>
        <w:ind w:left="0" w:right="0" w:firstLine="0"/>
        <w:jc w:val="both"/>
        <w:rPr>
          <w:rFonts w:ascii="宋体" w:hAnsi="宋体" w:eastAsia="宋体" w:cs="宋体"/>
          <w:color w:val="auto"/>
          <w:spacing w:val="0"/>
          <w:position w:val="0"/>
          <w:sz w:val="24"/>
          <w:shd w:val="clear" w:fill="auto"/>
        </w:rPr>
      </w:pPr>
    </w:p>
    <w:p>
      <w:pPr>
        <w:spacing w:before="0" w:after="0" w:line="274" w:lineRule="auto"/>
        <w:ind w:left="0" w:right="0" w:firstLine="0"/>
        <w:jc w:val="both"/>
        <w:rPr>
          <w:rFonts w:ascii="宋体" w:hAnsi="宋体" w:eastAsia="宋体" w:cs="宋体"/>
          <w:color w:val="auto"/>
          <w:spacing w:val="0"/>
          <w:position w:val="0"/>
          <w:sz w:val="24"/>
          <w:shd w:val="clear" w:fill="auto"/>
        </w:rPr>
      </w:pPr>
    </w:p>
    <w:p>
      <w:pPr>
        <w:spacing w:before="0" w:after="0" w:line="274" w:lineRule="auto"/>
        <w:ind w:left="0" w:right="0" w:firstLine="0"/>
        <w:jc w:val="both"/>
        <w:rPr>
          <w:rFonts w:ascii="宋体" w:hAnsi="宋体" w:eastAsia="宋体" w:cs="宋体"/>
          <w:color w:val="auto"/>
          <w:spacing w:val="0"/>
          <w:position w:val="0"/>
          <w:sz w:val="24"/>
          <w:shd w:val="clear" w:fill="auto"/>
        </w:rPr>
      </w:pPr>
    </w:p>
    <w:p>
      <w:pPr>
        <w:keepNext w:val="0"/>
        <w:keepLines w:val="0"/>
        <w:pageBreakBefore w:val="0"/>
        <w:widowControl w:val="0"/>
        <w:kinsoku/>
        <w:wordWrap/>
        <w:overflowPunct/>
        <w:topLinePunct w:val="0"/>
        <w:autoSpaceDE/>
        <w:autoSpaceDN/>
        <w:bidi w:val="0"/>
        <w:adjustRightInd/>
        <w:snapToGrid/>
        <w:spacing w:before="0" w:after="0" w:line="400" w:lineRule="exact"/>
        <w:ind w:left="-1" w:right="6" w:hanging="112"/>
        <w:jc w:val="both"/>
        <w:textAlignment w:val="auto"/>
        <w:rPr>
          <w:rFonts w:ascii="宋体" w:hAnsi="宋体" w:eastAsia="宋体" w:cs="宋体"/>
          <w:b/>
          <w:bCs/>
          <w:color w:val="auto"/>
          <w:spacing w:val="0"/>
          <w:position w:val="0"/>
          <w:sz w:val="24"/>
          <w:shd w:val="clear" w:fill="auto"/>
        </w:rPr>
      </w:pPr>
      <w:r>
        <w:rPr>
          <w:rFonts w:ascii="宋体" w:hAnsi="宋体" w:eastAsia="宋体" w:cs="宋体"/>
          <w:b/>
          <w:bCs/>
          <w:color w:val="auto"/>
          <w:spacing w:val="0"/>
          <w:position w:val="0"/>
          <w:sz w:val="24"/>
          <w:shd w:val="clear" w:fill="auto"/>
        </w:rPr>
        <w:t xml:space="preserve"> 五、技术规格及材料要求（以下加“★”的为实质性响应条件）</w:t>
      </w:r>
    </w:p>
    <w:tbl>
      <w:tblPr>
        <w:tblStyle w:val="12"/>
        <w:tblW w:w="9015" w:type="dxa"/>
        <w:tblInd w:w="-479" w:type="dxa"/>
        <w:tblLayout w:type="autofit"/>
        <w:tblCellMar>
          <w:top w:w="0" w:type="dxa"/>
          <w:left w:w="10" w:type="dxa"/>
          <w:bottom w:w="0" w:type="dxa"/>
          <w:right w:w="10" w:type="dxa"/>
        </w:tblCellMar>
      </w:tblPr>
      <w:tblGrid>
        <w:gridCol w:w="1911"/>
        <w:gridCol w:w="2446"/>
        <w:gridCol w:w="1365"/>
        <w:gridCol w:w="921"/>
        <w:gridCol w:w="1089"/>
        <w:gridCol w:w="1283"/>
      </w:tblGrid>
      <w:tr>
        <w:tblPrEx>
          <w:tblCellMar>
            <w:top w:w="0" w:type="dxa"/>
            <w:left w:w="10" w:type="dxa"/>
            <w:bottom w:w="0" w:type="dxa"/>
            <w:right w:w="10" w:type="dxa"/>
          </w:tblCellMar>
        </w:tblPrEx>
        <w:trPr>
          <w:trHeight w:val="359" w:hRule="atLeast"/>
        </w:trPr>
        <w:tc>
          <w:tcPr>
            <w:tcW w:w="191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hint="eastAsia" w:asciiTheme="majorEastAsia" w:hAnsiTheme="majorEastAsia" w:eastAsiaTheme="majorEastAsia" w:cstheme="majorEastAsia"/>
                <w:color w:val="auto"/>
                <w:spacing w:val="0"/>
                <w:position w:val="0"/>
                <w:shd w:val="clear" w:fill="auto"/>
              </w:rPr>
            </w:pPr>
            <w:r>
              <w:rPr>
                <w:rFonts w:hint="eastAsia" w:asciiTheme="majorEastAsia" w:hAnsiTheme="majorEastAsia" w:eastAsiaTheme="majorEastAsia" w:cstheme="majorEastAsia"/>
                <w:b/>
                <w:color w:val="auto"/>
                <w:spacing w:val="0"/>
                <w:position w:val="0"/>
                <w:sz w:val="24"/>
                <w:shd w:val="clear" w:fill="auto"/>
              </w:rPr>
              <w:t>材料要求</w:t>
            </w:r>
          </w:p>
        </w:tc>
        <w:tc>
          <w:tcPr>
            <w:tcW w:w="24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hint="eastAsia" w:asciiTheme="majorEastAsia" w:hAnsiTheme="majorEastAsia" w:eastAsiaTheme="majorEastAsia" w:cstheme="majorEastAsia"/>
                <w:color w:val="auto"/>
                <w:spacing w:val="0"/>
                <w:position w:val="0"/>
                <w:sz w:val="18"/>
                <w:szCs w:val="20"/>
                <w:shd w:val="clear" w:fill="auto"/>
              </w:rPr>
            </w:pPr>
            <w:r>
              <w:rPr>
                <w:rFonts w:hint="eastAsia" w:asciiTheme="majorEastAsia" w:hAnsiTheme="majorEastAsia" w:eastAsiaTheme="majorEastAsia" w:cstheme="majorEastAsia"/>
                <w:b/>
                <w:color w:val="auto"/>
                <w:spacing w:val="0"/>
                <w:position w:val="0"/>
                <w:sz w:val="21"/>
                <w:szCs w:val="20"/>
                <w:shd w:val="clear" w:fill="auto"/>
              </w:rPr>
              <w:t>材质说明</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hint="eastAsia" w:asciiTheme="majorEastAsia" w:hAnsiTheme="majorEastAsia" w:eastAsiaTheme="majorEastAsia" w:cstheme="majorEastAsia"/>
                <w:color w:val="auto"/>
                <w:spacing w:val="0"/>
                <w:position w:val="0"/>
                <w:sz w:val="18"/>
                <w:szCs w:val="20"/>
                <w:shd w:val="clear" w:fill="auto"/>
              </w:rPr>
            </w:pPr>
            <w:r>
              <w:rPr>
                <w:rFonts w:hint="eastAsia" w:asciiTheme="majorEastAsia" w:hAnsiTheme="majorEastAsia" w:eastAsiaTheme="majorEastAsia" w:cstheme="majorEastAsia"/>
                <w:b/>
                <w:color w:val="auto"/>
                <w:spacing w:val="0"/>
                <w:position w:val="0"/>
                <w:sz w:val="21"/>
                <w:szCs w:val="20"/>
                <w:shd w:val="clear" w:fill="auto"/>
              </w:rPr>
              <w:t>规格型号</w:t>
            </w:r>
          </w:p>
        </w:tc>
        <w:tc>
          <w:tcPr>
            <w:tcW w:w="92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hint="eastAsia" w:asciiTheme="majorEastAsia" w:hAnsiTheme="majorEastAsia" w:eastAsiaTheme="majorEastAsia" w:cstheme="majorEastAsia"/>
                <w:color w:val="auto"/>
                <w:spacing w:val="0"/>
                <w:position w:val="0"/>
                <w:sz w:val="18"/>
                <w:szCs w:val="20"/>
                <w:shd w:val="clear" w:fill="auto"/>
              </w:rPr>
            </w:pPr>
            <w:r>
              <w:rPr>
                <w:rFonts w:hint="eastAsia" w:asciiTheme="majorEastAsia" w:hAnsiTheme="majorEastAsia" w:eastAsiaTheme="majorEastAsia" w:cstheme="majorEastAsia"/>
                <w:b/>
                <w:color w:val="auto"/>
                <w:spacing w:val="0"/>
                <w:position w:val="0"/>
                <w:sz w:val="21"/>
                <w:szCs w:val="20"/>
                <w:shd w:val="clear" w:fill="auto"/>
              </w:rPr>
              <w:t>单位</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hint="eastAsia" w:asciiTheme="majorEastAsia" w:hAnsiTheme="majorEastAsia" w:eastAsiaTheme="majorEastAsia" w:cstheme="majorEastAsia"/>
                <w:color w:val="auto"/>
                <w:spacing w:val="0"/>
                <w:position w:val="0"/>
                <w:sz w:val="18"/>
                <w:szCs w:val="20"/>
                <w:shd w:val="clear" w:fill="auto"/>
              </w:rPr>
            </w:pPr>
            <w:r>
              <w:rPr>
                <w:rFonts w:hint="eastAsia" w:asciiTheme="majorEastAsia" w:hAnsiTheme="majorEastAsia" w:eastAsiaTheme="majorEastAsia" w:cstheme="majorEastAsia"/>
                <w:b/>
                <w:color w:val="auto"/>
                <w:spacing w:val="0"/>
                <w:position w:val="0"/>
                <w:sz w:val="21"/>
                <w:szCs w:val="20"/>
                <w:shd w:val="clear" w:fill="auto"/>
              </w:rPr>
              <w:t>一标段</w:t>
            </w:r>
          </w:p>
        </w:tc>
        <w:tc>
          <w:tcPr>
            <w:tcW w:w="128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hint="eastAsia" w:asciiTheme="majorEastAsia" w:hAnsiTheme="majorEastAsia" w:eastAsiaTheme="majorEastAsia" w:cstheme="majorEastAsia"/>
                <w:color w:val="auto"/>
                <w:spacing w:val="0"/>
                <w:position w:val="0"/>
                <w:sz w:val="18"/>
                <w:szCs w:val="20"/>
                <w:shd w:val="clear" w:fill="auto"/>
              </w:rPr>
            </w:pPr>
            <w:r>
              <w:rPr>
                <w:rFonts w:hint="eastAsia" w:asciiTheme="majorEastAsia" w:hAnsiTheme="majorEastAsia" w:eastAsiaTheme="majorEastAsia" w:cstheme="majorEastAsia"/>
                <w:b/>
                <w:color w:val="auto"/>
                <w:spacing w:val="0"/>
                <w:position w:val="0"/>
                <w:sz w:val="21"/>
                <w:szCs w:val="20"/>
                <w:shd w:val="clear" w:fill="auto"/>
              </w:rPr>
              <w:t>二标段</w:t>
            </w:r>
          </w:p>
        </w:tc>
      </w:tr>
      <w:tr>
        <w:tblPrEx>
          <w:tblCellMar>
            <w:top w:w="0" w:type="dxa"/>
            <w:left w:w="10" w:type="dxa"/>
            <w:bottom w:w="0" w:type="dxa"/>
            <w:right w:w="10" w:type="dxa"/>
          </w:tblCellMar>
        </w:tblPrEx>
        <w:trPr>
          <w:trHeight w:val="359" w:hRule="atLeast"/>
        </w:trPr>
        <w:tc>
          <w:tcPr>
            <w:tcW w:w="191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hd w:val="clear" w:fill="auto"/>
              </w:rPr>
            </w:pPr>
            <w:r>
              <w:rPr>
                <w:rFonts w:ascii="宋体" w:hAnsi="宋体" w:eastAsia="宋体" w:cs="宋体"/>
                <w:color w:val="auto"/>
                <w:spacing w:val="0"/>
                <w:position w:val="0"/>
                <w:sz w:val="24"/>
                <w:shd w:val="clear" w:fill="auto"/>
              </w:rPr>
              <w:t>镀锌方管</w:t>
            </w:r>
          </w:p>
        </w:tc>
        <w:tc>
          <w:tcPr>
            <w:tcW w:w="24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color w:val="auto"/>
                <w:spacing w:val="0"/>
                <w:position w:val="0"/>
                <w:sz w:val="20"/>
                <w:szCs w:val="20"/>
                <w:shd w:val="clear" w:fill="auto"/>
              </w:rPr>
            </w:pPr>
            <w:r>
              <w:rPr>
                <w:rFonts w:ascii="宋体" w:hAnsi="宋体" w:eastAsia="宋体" w:cs="宋体"/>
                <w:color w:val="auto"/>
                <w:spacing w:val="0"/>
                <w:position w:val="0"/>
                <w:sz w:val="20"/>
                <w:szCs w:val="20"/>
                <w:shd w:val="clear" w:fill="auto"/>
              </w:rPr>
              <w:t>10*10方管,Q195B</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18"/>
                <w:szCs w:val="20"/>
                <w:shd w:val="clear" w:fill="auto"/>
              </w:rPr>
            </w:pPr>
            <w:r>
              <w:rPr>
                <w:rFonts w:ascii="宋体" w:hAnsi="宋体" w:eastAsia="宋体" w:cs="宋体"/>
                <w:color w:val="auto"/>
                <w:spacing w:val="0"/>
                <w:position w:val="0"/>
                <w:sz w:val="21"/>
                <w:szCs w:val="20"/>
                <w:shd w:val="clear" w:fill="auto"/>
              </w:rPr>
              <w:t>厚度2mm</w:t>
            </w:r>
          </w:p>
        </w:tc>
        <w:tc>
          <w:tcPr>
            <w:tcW w:w="92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hint="eastAsia" w:ascii="宋体" w:hAnsi="宋体" w:eastAsia="宋体" w:cs="宋体"/>
                <w:color w:val="auto"/>
                <w:spacing w:val="0"/>
                <w:position w:val="0"/>
                <w:sz w:val="18"/>
                <w:szCs w:val="20"/>
                <w:shd w:val="clear" w:fill="auto"/>
                <w:lang w:val="en-US" w:eastAsia="zh-CN"/>
              </w:rPr>
            </w:pPr>
            <w:r>
              <w:rPr>
                <w:rFonts w:hint="eastAsia" w:ascii="宋体" w:hAnsi="宋体" w:cs="宋体"/>
                <w:color w:val="auto"/>
                <w:spacing w:val="0"/>
                <w:position w:val="0"/>
                <w:sz w:val="18"/>
                <w:szCs w:val="20"/>
                <w:shd w:val="clear" w:fill="auto"/>
                <w:lang w:val="en-US" w:eastAsia="zh-CN"/>
              </w:rPr>
              <w:t>米</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hint="default" w:ascii="宋体" w:hAnsi="宋体" w:eastAsia="宋体" w:cs="宋体"/>
                <w:color w:val="auto"/>
                <w:spacing w:val="0"/>
                <w:position w:val="0"/>
                <w:sz w:val="20"/>
                <w:szCs w:val="20"/>
                <w:shd w:val="clear" w:fill="auto"/>
                <w:lang w:val="en-US" w:eastAsia="zh-CN"/>
              </w:rPr>
            </w:pPr>
            <w:r>
              <w:rPr>
                <w:rFonts w:hint="eastAsia" w:ascii="宋体" w:hAnsi="宋体" w:cs="宋体"/>
                <w:color w:val="auto"/>
                <w:spacing w:val="0"/>
                <w:position w:val="0"/>
                <w:sz w:val="20"/>
                <w:szCs w:val="20"/>
                <w:shd w:val="clear" w:fill="auto"/>
                <w:lang w:val="en-US" w:eastAsia="zh-CN"/>
              </w:rPr>
              <w:t>暂定2800</w:t>
            </w:r>
          </w:p>
        </w:tc>
        <w:tc>
          <w:tcPr>
            <w:tcW w:w="128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20"/>
                <w:szCs w:val="20"/>
                <w:shd w:val="clear" w:fill="auto"/>
              </w:rPr>
            </w:pPr>
            <w:r>
              <w:rPr>
                <w:rFonts w:hint="eastAsia" w:ascii="宋体" w:hAnsi="宋体" w:cs="宋体"/>
                <w:color w:val="auto"/>
                <w:spacing w:val="0"/>
                <w:position w:val="0"/>
                <w:sz w:val="20"/>
                <w:szCs w:val="20"/>
                <w:shd w:val="clear" w:fill="auto"/>
                <w:lang w:val="en-US" w:eastAsia="zh-CN"/>
              </w:rPr>
              <w:t>暂定3900</w:t>
            </w:r>
          </w:p>
        </w:tc>
      </w:tr>
      <w:tr>
        <w:tblPrEx>
          <w:tblCellMar>
            <w:top w:w="0" w:type="dxa"/>
            <w:left w:w="10" w:type="dxa"/>
            <w:bottom w:w="0" w:type="dxa"/>
            <w:right w:w="10" w:type="dxa"/>
          </w:tblCellMar>
        </w:tblPrEx>
        <w:trPr>
          <w:trHeight w:val="359" w:hRule="atLeast"/>
        </w:trPr>
        <w:tc>
          <w:tcPr>
            <w:tcW w:w="191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hd w:val="clear" w:fill="auto"/>
              </w:rPr>
            </w:pPr>
            <w:r>
              <w:rPr>
                <w:rFonts w:ascii="宋体" w:hAnsi="宋体" w:eastAsia="宋体" w:cs="宋体"/>
                <w:color w:val="auto"/>
                <w:spacing w:val="0"/>
                <w:position w:val="0"/>
                <w:sz w:val="24"/>
                <w:shd w:val="clear" w:fill="auto"/>
              </w:rPr>
              <w:t>镀锌方管</w:t>
            </w:r>
          </w:p>
        </w:tc>
        <w:tc>
          <w:tcPr>
            <w:tcW w:w="24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color w:val="auto"/>
                <w:spacing w:val="0"/>
                <w:position w:val="0"/>
                <w:sz w:val="20"/>
                <w:szCs w:val="20"/>
                <w:shd w:val="clear" w:fill="auto"/>
              </w:rPr>
            </w:pPr>
            <w:r>
              <w:rPr>
                <w:rFonts w:ascii="宋体" w:hAnsi="宋体" w:eastAsia="宋体" w:cs="宋体"/>
                <w:color w:val="auto"/>
                <w:spacing w:val="0"/>
                <w:position w:val="0"/>
                <w:sz w:val="20"/>
                <w:szCs w:val="20"/>
                <w:shd w:val="clear" w:fill="auto"/>
              </w:rPr>
              <w:t>5*10方管,Q195B</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18"/>
                <w:szCs w:val="20"/>
                <w:shd w:val="clear" w:fill="auto"/>
              </w:rPr>
            </w:pPr>
            <w:r>
              <w:rPr>
                <w:rFonts w:ascii="宋体" w:hAnsi="宋体" w:eastAsia="宋体" w:cs="宋体"/>
                <w:color w:val="auto"/>
                <w:spacing w:val="0"/>
                <w:position w:val="0"/>
                <w:sz w:val="21"/>
                <w:szCs w:val="20"/>
                <w:shd w:val="clear" w:fill="auto"/>
              </w:rPr>
              <w:t>厚度1.5mm</w:t>
            </w:r>
          </w:p>
        </w:tc>
        <w:tc>
          <w:tcPr>
            <w:tcW w:w="92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18"/>
                <w:szCs w:val="20"/>
                <w:shd w:val="clear" w:fill="auto"/>
              </w:rPr>
            </w:pPr>
            <w:r>
              <w:rPr>
                <w:rFonts w:hint="eastAsia" w:ascii="宋体" w:hAnsi="宋体" w:cs="宋体"/>
                <w:color w:val="auto"/>
                <w:spacing w:val="0"/>
                <w:position w:val="0"/>
                <w:sz w:val="18"/>
                <w:szCs w:val="20"/>
                <w:shd w:val="clear" w:fill="auto"/>
                <w:lang w:val="en-US" w:eastAsia="zh-CN"/>
              </w:rPr>
              <w:t>米</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20"/>
                <w:szCs w:val="20"/>
                <w:shd w:val="clear" w:fill="auto"/>
              </w:rPr>
            </w:pPr>
            <w:r>
              <w:rPr>
                <w:rFonts w:hint="eastAsia" w:ascii="宋体" w:hAnsi="宋体" w:cs="宋体"/>
                <w:color w:val="auto"/>
                <w:spacing w:val="0"/>
                <w:position w:val="0"/>
                <w:sz w:val="20"/>
                <w:szCs w:val="20"/>
                <w:shd w:val="clear" w:fill="auto"/>
                <w:lang w:val="en-US" w:eastAsia="zh-CN"/>
              </w:rPr>
              <w:t>暂定3500</w:t>
            </w:r>
          </w:p>
        </w:tc>
        <w:tc>
          <w:tcPr>
            <w:tcW w:w="128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20"/>
                <w:szCs w:val="20"/>
                <w:shd w:val="clear" w:fill="auto"/>
              </w:rPr>
            </w:pPr>
            <w:r>
              <w:rPr>
                <w:rFonts w:hint="eastAsia" w:ascii="宋体" w:hAnsi="宋体" w:cs="宋体"/>
                <w:color w:val="auto"/>
                <w:spacing w:val="0"/>
                <w:position w:val="0"/>
                <w:sz w:val="20"/>
                <w:szCs w:val="20"/>
                <w:shd w:val="clear" w:fill="auto"/>
                <w:lang w:val="en-US" w:eastAsia="zh-CN"/>
              </w:rPr>
              <w:t>暂定4900</w:t>
            </w:r>
          </w:p>
        </w:tc>
      </w:tr>
      <w:tr>
        <w:tblPrEx>
          <w:tblCellMar>
            <w:top w:w="0" w:type="dxa"/>
            <w:left w:w="10" w:type="dxa"/>
            <w:bottom w:w="0" w:type="dxa"/>
            <w:right w:w="10" w:type="dxa"/>
          </w:tblCellMar>
        </w:tblPrEx>
        <w:trPr>
          <w:trHeight w:val="359" w:hRule="atLeast"/>
        </w:trPr>
        <w:tc>
          <w:tcPr>
            <w:tcW w:w="191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hd w:val="clear" w:fill="auto"/>
              </w:rPr>
            </w:pPr>
            <w:r>
              <w:rPr>
                <w:rFonts w:ascii="宋体" w:hAnsi="宋体" w:eastAsia="宋体" w:cs="宋体"/>
                <w:color w:val="auto"/>
                <w:spacing w:val="0"/>
                <w:position w:val="0"/>
                <w:sz w:val="24"/>
                <w:shd w:val="clear" w:fill="auto"/>
              </w:rPr>
              <w:t>镀锌方管</w:t>
            </w:r>
          </w:p>
        </w:tc>
        <w:tc>
          <w:tcPr>
            <w:tcW w:w="24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color w:val="auto"/>
                <w:spacing w:val="0"/>
                <w:position w:val="0"/>
                <w:sz w:val="20"/>
                <w:szCs w:val="20"/>
                <w:shd w:val="clear" w:fill="auto"/>
              </w:rPr>
            </w:pPr>
            <w:r>
              <w:rPr>
                <w:rFonts w:ascii="宋体" w:hAnsi="宋体" w:eastAsia="宋体" w:cs="宋体"/>
                <w:color w:val="auto"/>
                <w:spacing w:val="0"/>
                <w:position w:val="0"/>
                <w:sz w:val="20"/>
                <w:szCs w:val="20"/>
                <w:shd w:val="clear" w:fill="auto"/>
              </w:rPr>
              <w:t>3*5方管,Q195B</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18"/>
                <w:szCs w:val="20"/>
                <w:shd w:val="clear" w:fill="auto"/>
              </w:rPr>
            </w:pPr>
            <w:r>
              <w:rPr>
                <w:rFonts w:ascii="宋体" w:hAnsi="宋体" w:eastAsia="宋体" w:cs="宋体"/>
                <w:color w:val="auto"/>
                <w:spacing w:val="0"/>
                <w:position w:val="0"/>
                <w:sz w:val="21"/>
                <w:szCs w:val="20"/>
                <w:shd w:val="clear" w:fill="auto"/>
              </w:rPr>
              <w:t>厚度1.5mm</w:t>
            </w:r>
          </w:p>
        </w:tc>
        <w:tc>
          <w:tcPr>
            <w:tcW w:w="92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18"/>
                <w:szCs w:val="20"/>
                <w:shd w:val="clear" w:fill="auto"/>
              </w:rPr>
            </w:pPr>
            <w:r>
              <w:rPr>
                <w:rFonts w:hint="eastAsia" w:ascii="宋体" w:hAnsi="宋体" w:cs="宋体"/>
                <w:color w:val="auto"/>
                <w:spacing w:val="0"/>
                <w:position w:val="0"/>
                <w:sz w:val="18"/>
                <w:szCs w:val="20"/>
                <w:shd w:val="clear" w:fill="auto"/>
                <w:lang w:val="en-US" w:eastAsia="zh-CN"/>
              </w:rPr>
              <w:t>米</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20"/>
                <w:szCs w:val="20"/>
                <w:shd w:val="clear" w:fill="auto"/>
              </w:rPr>
            </w:pPr>
            <w:r>
              <w:rPr>
                <w:rFonts w:hint="eastAsia" w:ascii="宋体" w:hAnsi="宋体" w:cs="宋体"/>
                <w:color w:val="auto"/>
                <w:spacing w:val="0"/>
                <w:position w:val="0"/>
                <w:sz w:val="20"/>
                <w:szCs w:val="20"/>
                <w:shd w:val="clear" w:fill="auto"/>
                <w:lang w:val="en-US" w:eastAsia="zh-CN"/>
              </w:rPr>
              <w:t>暂定1600</w:t>
            </w:r>
          </w:p>
        </w:tc>
        <w:tc>
          <w:tcPr>
            <w:tcW w:w="128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20"/>
                <w:szCs w:val="20"/>
                <w:shd w:val="clear" w:fill="auto"/>
              </w:rPr>
            </w:pPr>
            <w:r>
              <w:rPr>
                <w:rFonts w:hint="eastAsia" w:ascii="宋体" w:hAnsi="宋体" w:cs="宋体"/>
                <w:color w:val="auto"/>
                <w:spacing w:val="0"/>
                <w:position w:val="0"/>
                <w:sz w:val="20"/>
                <w:szCs w:val="20"/>
                <w:shd w:val="clear" w:fill="auto"/>
                <w:lang w:val="en-US" w:eastAsia="zh-CN"/>
              </w:rPr>
              <w:t>暂定2200</w:t>
            </w:r>
          </w:p>
        </w:tc>
      </w:tr>
      <w:tr>
        <w:tblPrEx>
          <w:tblCellMar>
            <w:top w:w="0" w:type="dxa"/>
            <w:left w:w="10" w:type="dxa"/>
            <w:bottom w:w="0" w:type="dxa"/>
            <w:right w:w="10" w:type="dxa"/>
          </w:tblCellMar>
        </w:tblPrEx>
        <w:trPr>
          <w:trHeight w:val="359" w:hRule="atLeast"/>
        </w:trPr>
        <w:tc>
          <w:tcPr>
            <w:tcW w:w="191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hd w:val="clear" w:fill="auto"/>
              </w:rPr>
            </w:pPr>
            <w:r>
              <w:rPr>
                <w:rFonts w:ascii="宋体" w:hAnsi="宋体" w:eastAsia="宋体" w:cs="宋体"/>
                <w:color w:val="auto"/>
                <w:spacing w:val="0"/>
                <w:position w:val="0"/>
                <w:sz w:val="24"/>
                <w:shd w:val="clear" w:fill="auto"/>
              </w:rPr>
              <w:t>顶棚镀锌板</w:t>
            </w:r>
          </w:p>
        </w:tc>
        <w:tc>
          <w:tcPr>
            <w:tcW w:w="24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20"/>
                <w:szCs w:val="20"/>
                <w:shd w:val="clear" w:fill="auto"/>
              </w:rPr>
            </w:pP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18"/>
                <w:szCs w:val="20"/>
                <w:shd w:val="clear" w:fill="auto"/>
              </w:rPr>
            </w:pPr>
            <w:r>
              <w:rPr>
                <w:rFonts w:ascii="宋体" w:hAnsi="宋体" w:eastAsia="宋体" w:cs="宋体"/>
                <w:color w:val="auto"/>
                <w:spacing w:val="0"/>
                <w:position w:val="0"/>
                <w:sz w:val="21"/>
                <w:szCs w:val="20"/>
                <w:shd w:val="clear" w:fill="auto"/>
              </w:rPr>
              <w:t>厚度1.5mm</w:t>
            </w:r>
          </w:p>
        </w:tc>
        <w:tc>
          <w:tcPr>
            <w:tcW w:w="92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18"/>
                <w:szCs w:val="20"/>
                <w:shd w:val="clear" w:fill="auto"/>
              </w:rPr>
            </w:pPr>
            <w:r>
              <w:rPr>
                <w:rFonts w:ascii="宋体" w:hAnsi="宋体" w:eastAsia="宋体" w:cs="宋体"/>
                <w:color w:val="auto"/>
                <w:spacing w:val="0"/>
                <w:position w:val="0"/>
                <w:sz w:val="21"/>
                <w:szCs w:val="20"/>
                <w:shd w:val="clear" w:fill="auto"/>
              </w:rPr>
              <w:t>平方</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20"/>
                <w:szCs w:val="20"/>
                <w:shd w:val="clear" w:fill="auto"/>
              </w:rPr>
            </w:pPr>
            <w:r>
              <w:rPr>
                <w:rFonts w:hint="eastAsia" w:ascii="宋体" w:hAnsi="宋体" w:cs="宋体"/>
                <w:color w:val="auto"/>
                <w:spacing w:val="0"/>
                <w:position w:val="0"/>
                <w:sz w:val="20"/>
                <w:szCs w:val="20"/>
                <w:shd w:val="clear" w:fill="auto"/>
                <w:lang w:val="en-US" w:eastAsia="zh-CN"/>
              </w:rPr>
              <w:t>暂定1200</w:t>
            </w:r>
          </w:p>
        </w:tc>
        <w:tc>
          <w:tcPr>
            <w:tcW w:w="128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20"/>
                <w:szCs w:val="20"/>
                <w:shd w:val="clear" w:fill="auto"/>
              </w:rPr>
            </w:pPr>
            <w:r>
              <w:rPr>
                <w:rFonts w:hint="eastAsia" w:ascii="宋体" w:hAnsi="宋体" w:cs="宋体"/>
                <w:color w:val="auto"/>
                <w:spacing w:val="0"/>
                <w:position w:val="0"/>
                <w:sz w:val="20"/>
                <w:szCs w:val="20"/>
                <w:shd w:val="clear" w:fill="auto"/>
                <w:lang w:val="en-US" w:eastAsia="zh-CN"/>
              </w:rPr>
              <w:t>暂定1700</w:t>
            </w:r>
          </w:p>
        </w:tc>
      </w:tr>
      <w:tr>
        <w:tblPrEx>
          <w:tblCellMar>
            <w:top w:w="0" w:type="dxa"/>
            <w:left w:w="10" w:type="dxa"/>
            <w:bottom w:w="0" w:type="dxa"/>
            <w:right w:w="10" w:type="dxa"/>
          </w:tblCellMar>
        </w:tblPrEx>
        <w:trPr>
          <w:trHeight w:val="359" w:hRule="atLeast"/>
        </w:trPr>
        <w:tc>
          <w:tcPr>
            <w:tcW w:w="191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hd w:val="clear" w:fill="auto"/>
              </w:rPr>
            </w:pPr>
            <w:r>
              <w:rPr>
                <w:rFonts w:ascii="宋体" w:hAnsi="宋体" w:eastAsia="宋体" w:cs="宋体"/>
                <w:color w:val="auto"/>
                <w:spacing w:val="0"/>
                <w:position w:val="0"/>
                <w:sz w:val="24"/>
                <w:shd w:val="clear" w:fill="auto"/>
              </w:rPr>
              <w:t>雕花板</w:t>
            </w:r>
          </w:p>
        </w:tc>
        <w:tc>
          <w:tcPr>
            <w:tcW w:w="24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20"/>
                <w:szCs w:val="20"/>
                <w:shd w:val="clear" w:fill="auto"/>
              </w:rPr>
            </w:pP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18"/>
                <w:szCs w:val="20"/>
                <w:shd w:val="clear" w:fill="auto"/>
              </w:rPr>
            </w:pPr>
            <w:r>
              <w:rPr>
                <w:rFonts w:ascii="宋体" w:hAnsi="宋体" w:eastAsia="宋体" w:cs="宋体"/>
                <w:color w:val="auto"/>
                <w:spacing w:val="0"/>
                <w:position w:val="0"/>
                <w:sz w:val="21"/>
                <w:szCs w:val="20"/>
                <w:shd w:val="clear" w:fill="auto"/>
              </w:rPr>
              <w:t>1.6cm</w:t>
            </w:r>
          </w:p>
        </w:tc>
        <w:tc>
          <w:tcPr>
            <w:tcW w:w="92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18"/>
                <w:szCs w:val="20"/>
                <w:shd w:val="clear" w:fill="auto"/>
              </w:rPr>
            </w:pPr>
            <w:r>
              <w:rPr>
                <w:rFonts w:ascii="宋体" w:hAnsi="宋体" w:eastAsia="宋体" w:cs="宋体"/>
                <w:color w:val="auto"/>
                <w:spacing w:val="0"/>
                <w:position w:val="0"/>
                <w:sz w:val="21"/>
                <w:szCs w:val="20"/>
                <w:shd w:val="clear" w:fill="auto"/>
              </w:rPr>
              <w:t>平方</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20"/>
                <w:szCs w:val="20"/>
                <w:shd w:val="clear" w:fill="auto"/>
              </w:rPr>
            </w:pPr>
            <w:r>
              <w:rPr>
                <w:rFonts w:hint="eastAsia" w:ascii="宋体" w:hAnsi="宋体" w:cs="宋体"/>
                <w:color w:val="auto"/>
                <w:spacing w:val="0"/>
                <w:position w:val="0"/>
                <w:sz w:val="20"/>
                <w:szCs w:val="20"/>
                <w:shd w:val="clear" w:fill="auto"/>
                <w:lang w:val="en-US" w:eastAsia="zh-CN"/>
              </w:rPr>
              <w:t>暂定1700</w:t>
            </w:r>
          </w:p>
        </w:tc>
        <w:tc>
          <w:tcPr>
            <w:tcW w:w="128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20"/>
                <w:szCs w:val="20"/>
                <w:shd w:val="clear" w:fill="auto"/>
              </w:rPr>
            </w:pPr>
            <w:r>
              <w:rPr>
                <w:rFonts w:hint="eastAsia" w:ascii="宋体" w:hAnsi="宋体" w:cs="宋体"/>
                <w:color w:val="auto"/>
                <w:spacing w:val="0"/>
                <w:position w:val="0"/>
                <w:sz w:val="20"/>
                <w:szCs w:val="20"/>
                <w:shd w:val="clear" w:fill="auto"/>
                <w:lang w:val="en-US" w:eastAsia="zh-CN"/>
              </w:rPr>
              <w:t>暂定2500</w:t>
            </w:r>
          </w:p>
        </w:tc>
      </w:tr>
      <w:tr>
        <w:tblPrEx>
          <w:tblCellMar>
            <w:top w:w="0" w:type="dxa"/>
            <w:left w:w="10" w:type="dxa"/>
            <w:bottom w:w="0" w:type="dxa"/>
            <w:right w:w="10" w:type="dxa"/>
          </w:tblCellMar>
        </w:tblPrEx>
        <w:trPr>
          <w:trHeight w:val="359" w:hRule="atLeast"/>
        </w:trPr>
        <w:tc>
          <w:tcPr>
            <w:tcW w:w="191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hd w:val="clear" w:fill="auto"/>
              </w:rPr>
            </w:pPr>
            <w:r>
              <w:rPr>
                <w:rFonts w:ascii="宋体" w:hAnsi="宋体" w:eastAsia="宋体" w:cs="宋体"/>
                <w:color w:val="auto"/>
                <w:spacing w:val="0"/>
                <w:position w:val="0"/>
                <w:sz w:val="24"/>
                <w:shd w:val="clear" w:fill="auto"/>
              </w:rPr>
              <w:t>吊顶</w:t>
            </w:r>
          </w:p>
        </w:tc>
        <w:tc>
          <w:tcPr>
            <w:tcW w:w="24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20"/>
                <w:szCs w:val="20"/>
                <w:shd w:val="clear" w:fill="auto"/>
              </w:rPr>
            </w:pPr>
            <w:r>
              <w:rPr>
                <w:rFonts w:ascii="宋体" w:hAnsi="宋体" w:eastAsia="宋体" w:cs="宋体"/>
                <w:color w:val="auto"/>
                <w:spacing w:val="0"/>
                <w:position w:val="0"/>
                <w:sz w:val="20"/>
                <w:szCs w:val="20"/>
                <w:shd w:val="clear" w:fill="auto"/>
              </w:rPr>
              <w:t>pvc板</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18"/>
                <w:szCs w:val="20"/>
                <w:shd w:val="clear" w:fill="auto"/>
              </w:rPr>
            </w:pPr>
            <w:r>
              <w:rPr>
                <w:rFonts w:ascii="宋体" w:hAnsi="宋体" w:eastAsia="宋体" w:cs="宋体"/>
                <w:color w:val="auto"/>
                <w:spacing w:val="0"/>
                <w:position w:val="0"/>
                <w:sz w:val="21"/>
                <w:szCs w:val="20"/>
                <w:shd w:val="clear" w:fill="auto"/>
              </w:rPr>
              <w:t>0.8mm</w:t>
            </w:r>
          </w:p>
        </w:tc>
        <w:tc>
          <w:tcPr>
            <w:tcW w:w="92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18"/>
                <w:szCs w:val="20"/>
                <w:shd w:val="clear" w:fill="auto"/>
              </w:rPr>
            </w:pPr>
            <w:r>
              <w:rPr>
                <w:rFonts w:ascii="宋体" w:hAnsi="宋体" w:eastAsia="宋体" w:cs="宋体"/>
                <w:color w:val="auto"/>
                <w:spacing w:val="0"/>
                <w:position w:val="0"/>
                <w:sz w:val="21"/>
                <w:szCs w:val="20"/>
                <w:shd w:val="clear" w:fill="auto"/>
              </w:rPr>
              <w:t>平方</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hint="default" w:ascii="宋体" w:hAnsi="宋体" w:eastAsia="宋体" w:cs="宋体"/>
                <w:color w:val="auto"/>
                <w:spacing w:val="0"/>
                <w:position w:val="0"/>
                <w:sz w:val="20"/>
                <w:szCs w:val="20"/>
                <w:shd w:val="clear" w:fill="auto"/>
                <w:lang w:val="en-US"/>
              </w:rPr>
            </w:pPr>
            <w:r>
              <w:rPr>
                <w:rFonts w:hint="eastAsia" w:ascii="宋体" w:hAnsi="宋体" w:cs="宋体"/>
                <w:color w:val="auto"/>
                <w:spacing w:val="0"/>
                <w:position w:val="0"/>
                <w:sz w:val="20"/>
                <w:szCs w:val="20"/>
                <w:shd w:val="clear" w:fill="auto"/>
                <w:lang w:val="en-US" w:eastAsia="zh-CN"/>
              </w:rPr>
              <w:t>暂定660</w:t>
            </w:r>
          </w:p>
        </w:tc>
        <w:tc>
          <w:tcPr>
            <w:tcW w:w="128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hint="default" w:ascii="宋体" w:hAnsi="宋体" w:eastAsia="宋体" w:cs="宋体"/>
                <w:color w:val="auto"/>
                <w:spacing w:val="0"/>
                <w:position w:val="0"/>
                <w:sz w:val="20"/>
                <w:szCs w:val="20"/>
                <w:shd w:val="clear" w:fill="auto"/>
                <w:lang w:val="en-US"/>
              </w:rPr>
            </w:pPr>
            <w:r>
              <w:rPr>
                <w:rFonts w:hint="eastAsia" w:ascii="宋体" w:hAnsi="宋体" w:cs="宋体"/>
                <w:color w:val="auto"/>
                <w:spacing w:val="0"/>
                <w:position w:val="0"/>
                <w:sz w:val="20"/>
                <w:szCs w:val="20"/>
                <w:shd w:val="clear" w:fill="auto"/>
                <w:lang w:val="en-US" w:eastAsia="zh-CN"/>
              </w:rPr>
              <w:t>暂定954</w:t>
            </w:r>
          </w:p>
        </w:tc>
      </w:tr>
      <w:tr>
        <w:tblPrEx>
          <w:tblCellMar>
            <w:top w:w="0" w:type="dxa"/>
            <w:left w:w="10" w:type="dxa"/>
            <w:bottom w:w="0" w:type="dxa"/>
            <w:right w:w="10" w:type="dxa"/>
          </w:tblCellMar>
        </w:tblPrEx>
        <w:trPr>
          <w:trHeight w:val="359" w:hRule="atLeast"/>
        </w:trPr>
        <w:tc>
          <w:tcPr>
            <w:tcW w:w="191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hd w:val="clear" w:fill="auto"/>
              </w:rPr>
            </w:pPr>
            <w:r>
              <w:rPr>
                <w:rFonts w:ascii="宋体" w:hAnsi="宋体" w:eastAsia="宋体" w:cs="宋体"/>
                <w:color w:val="auto"/>
                <w:spacing w:val="0"/>
                <w:position w:val="0"/>
                <w:sz w:val="24"/>
                <w:shd w:val="clear" w:fill="auto"/>
              </w:rPr>
              <w:t>地面花纹铝板</w:t>
            </w:r>
          </w:p>
        </w:tc>
        <w:tc>
          <w:tcPr>
            <w:tcW w:w="24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20"/>
                <w:szCs w:val="20"/>
                <w:shd w:val="clear" w:fill="auto"/>
              </w:rPr>
            </w:pP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18"/>
                <w:szCs w:val="20"/>
                <w:shd w:val="clear" w:fill="auto"/>
              </w:rPr>
            </w:pPr>
            <w:r>
              <w:rPr>
                <w:rFonts w:ascii="宋体" w:hAnsi="宋体" w:eastAsia="宋体" w:cs="宋体"/>
                <w:color w:val="auto"/>
                <w:spacing w:val="0"/>
                <w:position w:val="0"/>
                <w:sz w:val="21"/>
                <w:szCs w:val="20"/>
                <w:shd w:val="clear" w:fill="auto"/>
              </w:rPr>
              <w:t>3mm</w:t>
            </w:r>
          </w:p>
        </w:tc>
        <w:tc>
          <w:tcPr>
            <w:tcW w:w="92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18"/>
                <w:szCs w:val="20"/>
                <w:shd w:val="clear" w:fill="auto"/>
              </w:rPr>
            </w:pPr>
            <w:r>
              <w:rPr>
                <w:rFonts w:ascii="宋体" w:hAnsi="宋体" w:eastAsia="宋体" w:cs="宋体"/>
                <w:color w:val="auto"/>
                <w:spacing w:val="0"/>
                <w:position w:val="0"/>
                <w:sz w:val="21"/>
                <w:szCs w:val="20"/>
                <w:shd w:val="clear" w:fill="auto"/>
              </w:rPr>
              <w:t>平方</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20"/>
                <w:szCs w:val="20"/>
                <w:shd w:val="clear" w:fill="auto"/>
              </w:rPr>
            </w:pPr>
            <w:r>
              <w:rPr>
                <w:rFonts w:hint="eastAsia" w:ascii="宋体" w:hAnsi="宋体" w:cs="宋体"/>
                <w:color w:val="auto"/>
                <w:spacing w:val="0"/>
                <w:position w:val="0"/>
                <w:sz w:val="20"/>
                <w:szCs w:val="20"/>
                <w:shd w:val="clear" w:fill="auto"/>
                <w:lang w:val="en-US" w:eastAsia="zh-CN"/>
              </w:rPr>
              <w:t>暂定2800</w:t>
            </w:r>
          </w:p>
        </w:tc>
        <w:tc>
          <w:tcPr>
            <w:tcW w:w="128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20"/>
                <w:szCs w:val="20"/>
                <w:shd w:val="clear" w:fill="auto"/>
              </w:rPr>
            </w:pPr>
            <w:r>
              <w:rPr>
                <w:rFonts w:hint="eastAsia" w:ascii="宋体" w:hAnsi="宋体" w:cs="宋体"/>
                <w:color w:val="auto"/>
                <w:spacing w:val="0"/>
                <w:position w:val="0"/>
                <w:sz w:val="20"/>
                <w:szCs w:val="20"/>
                <w:shd w:val="clear" w:fill="auto"/>
                <w:lang w:val="en-US" w:eastAsia="zh-CN"/>
              </w:rPr>
              <w:t>暂定2800</w:t>
            </w:r>
          </w:p>
        </w:tc>
      </w:tr>
      <w:tr>
        <w:tblPrEx>
          <w:tblCellMar>
            <w:top w:w="0" w:type="dxa"/>
            <w:left w:w="10" w:type="dxa"/>
            <w:bottom w:w="0" w:type="dxa"/>
            <w:right w:w="10" w:type="dxa"/>
          </w:tblCellMar>
        </w:tblPrEx>
        <w:trPr>
          <w:trHeight w:val="359" w:hRule="atLeast"/>
        </w:trPr>
        <w:tc>
          <w:tcPr>
            <w:tcW w:w="191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hd w:val="clear" w:fill="auto"/>
              </w:rPr>
            </w:pPr>
            <w:r>
              <w:rPr>
                <w:rFonts w:ascii="宋体" w:hAnsi="宋体" w:eastAsia="宋体" w:cs="宋体"/>
                <w:color w:val="auto"/>
                <w:spacing w:val="0"/>
                <w:position w:val="0"/>
                <w:sz w:val="24"/>
                <w:shd w:val="clear" w:fill="auto"/>
              </w:rPr>
              <w:t>铝制卷帘门</w:t>
            </w:r>
          </w:p>
        </w:tc>
        <w:tc>
          <w:tcPr>
            <w:tcW w:w="24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20"/>
                <w:szCs w:val="20"/>
                <w:shd w:val="clear" w:fill="auto"/>
              </w:rPr>
            </w:pPr>
            <w:r>
              <w:rPr>
                <w:rFonts w:ascii="宋体" w:hAnsi="宋体" w:eastAsia="宋体" w:cs="宋体"/>
                <w:color w:val="auto"/>
                <w:spacing w:val="0"/>
                <w:position w:val="0"/>
                <w:sz w:val="20"/>
                <w:szCs w:val="20"/>
                <w:shd w:val="clear" w:fill="auto"/>
              </w:rPr>
              <w:t>电动</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18"/>
                <w:szCs w:val="20"/>
                <w:shd w:val="clear" w:fill="auto"/>
              </w:rPr>
            </w:pPr>
            <w:r>
              <w:rPr>
                <w:rFonts w:ascii="宋体" w:hAnsi="宋体" w:eastAsia="宋体" w:cs="宋体"/>
                <w:color w:val="auto"/>
                <w:spacing w:val="0"/>
                <w:position w:val="0"/>
                <w:sz w:val="21"/>
                <w:szCs w:val="20"/>
                <w:shd w:val="clear" w:fill="auto"/>
              </w:rPr>
              <w:t>5型材</w:t>
            </w:r>
          </w:p>
        </w:tc>
        <w:tc>
          <w:tcPr>
            <w:tcW w:w="92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18"/>
                <w:szCs w:val="20"/>
                <w:shd w:val="clear" w:fill="auto"/>
              </w:rPr>
            </w:pPr>
            <w:r>
              <w:rPr>
                <w:rFonts w:ascii="宋体" w:hAnsi="宋体" w:eastAsia="宋体" w:cs="宋体"/>
                <w:color w:val="auto"/>
                <w:spacing w:val="0"/>
                <w:position w:val="0"/>
                <w:sz w:val="21"/>
                <w:szCs w:val="20"/>
                <w:shd w:val="clear" w:fill="auto"/>
              </w:rPr>
              <w:t>平方</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hint="default" w:ascii="宋体" w:hAnsi="宋体" w:eastAsia="宋体" w:cs="宋体"/>
                <w:color w:val="auto"/>
                <w:spacing w:val="0"/>
                <w:position w:val="0"/>
                <w:sz w:val="20"/>
                <w:szCs w:val="20"/>
                <w:shd w:val="clear" w:fill="auto"/>
                <w:lang w:val="en-US" w:eastAsia="zh-CN"/>
              </w:rPr>
            </w:pPr>
            <w:r>
              <w:rPr>
                <w:rFonts w:ascii="宋体" w:hAnsi="宋体" w:eastAsia="宋体" w:cs="宋体"/>
                <w:color w:val="auto"/>
                <w:spacing w:val="0"/>
                <w:position w:val="0"/>
                <w:sz w:val="20"/>
                <w:szCs w:val="20"/>
                <w:shd w:val="clear" w:fill="auto"/>
              </w:rPr>
              <w:t>暂定</w:t>
            </w:r>
            <w:r>
              <w:rPr>
                <w:rFonts w:hint="eastAsia" w:ascii="宋体" w:hAnsi="宋体" w:cs="宋体"/>
                <w:color w:val="auto"/>
                <w:spacing w:val="0"/>
                <w:position w:val="0"/>
                <w:sz w:val="20"/>
                <w:szCs w:val="20"/>
                <w:shd w:val="clear" w:fill="auto"/>
                <w:lang w:val="en-US" w:eastAsia="zh-CN"/>
              </w:rPr>
              <w:t>900</w:t>
            </w:r>
          </w:p>
        </w:tc>
        <w:tc>
          <w:tcPr>
            <w:tcW w:w="128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hint="default" w:ascii="宋体" w:hAnsi="宋体" w:eastAsia="宋体" w:cs="宋体"/>
                <w:color w:val="auto"/>
                <w:spacing w:val="0"/>
                <w:position w:val="0"/>
                <w:sz w:val="20"/>
                <w:szCs w:val="20"/>
                <w:shd w:val="clear" w:fill="auto"/>
                <w:lang w:val="en-US" w:eastAsia="zh-CN"/>
              </w:rPr>
            </w:pPr>
            <w:r>
              <w:rPr>
                <w:rFonts w:ascii="宋体" w:hAnsi="宋体" w:eastAsia="宋体" w:cs="宋体"/>
                <w:color w:val="auto"/>
                <w:spacing w:val="0"/>
                <w:position w:val="0"/>
                <w:sz w:val="20"/>
                <w:szCs w:val="20"/>
                <w:shd w:val="clear" w:fill="auto"/>
              </w:rPr>
              <w:t>暂定</w:t>
            </w:r>
            <w:r>
              <w:rPr>
                <w:rFonts w:hint="eastAsia" w:ascii="宋体" w:hAnsi="宋体" w:cs="宋体"/>
                <w:color w:val="auto"/>
                <w:spacing w:val="0"/>
                <w:position w:val="0"/>
                <w:sz w:val="20"/>
                <w:szCs w:val="20"/>
                <w:shd w:val="clear" w:fill="auto"/>
                <w:lang w:val="en-US" w:eastAsia="zh-CN"/>
              </w:rPr>
              <w:t>1300</w:t>
            </w:r>
          </w:p>
        </w:tc>
      </w:tr>
      <w:tr>
        <w:tblPrEx>
          <w:tblCellMar>
            <w:top w:w="0" w:type="dxa"/>
            <w:left w:w="10" w:type="dxa"/>
            <w:bottom w:w="0" w:type="dxa"/>
            <w:right w:w="10" w:type="dxa"/>
          </w:tblCellMar>
        </w:tblPrEx>
        <w:trPr>
          <w:trHeight w:val="359" w:hRule="atLeast"/>
        </w:trPr>
        <w:tc>
          <w:tcPr>
            <w:tcW w:w="191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hd w:val="clear" w:fill="auto"/>
              </w:rPr>
            </w:pPr>
            <w:r>
              <w:rPr>
                <w:rFonts w:ascii="宋体" w:hAnsi="宋体" w:eastAsia="宋体" w:cs="宋体"/>
                <w:color w:val="auto"/>
                <w:spacing w:val="0"/>
                <w:position w:val="0"/>
                <w:sz w:val="24"/>
                <w:shd w:val="clear" w:fill="auto"/>
              </w:rPr>
              <w:t>防盗门</w:t>
            </w:r>
          </w:p>
        </w:tc>
        <w:tc>
          <w:tcPr>
            <w:tcW w:w="24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20"/>
                <w:szCs w:val="20"/>
                <w:shd w:val="clear" w:fill="auto"/>
              </w:rPr>
            </w:pPr>
            <w:r>
              <w:rPr>
                <w:rFonts w:ascii="宋体" w:hAnsi="宋体" w:eastAsia="宋体" w:cs="宋体"/>
                <w:color w:val="auto"/>
                <w:spacing w:val="0"/>
                <w:position w:val="0"/>
                <w:sz w:val="18"/>
                <w:szCs w:val="18"/>
                <w:shd w:val="clear" w:fill="auto"/>
              </w:rPr>
              <w:t>白色，1970*860外包边</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20"/>
                <w:szCs w:val="20"/>
                <w:shd w:val="clear" w:fill="auto"/>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18"/>
                <w:szCs w:val="20"/>
                <w:shd w:val="clear" w:fill="auto"/>
              </w:rPr>
            </w:pPr>
            <w:r>
              <w:rPr>
                <w:rFonts w:ascii="宋体" w:hAnsi="宋体" w:eastAsia="宋体" w:cs="宋体"/>
                <w:color w:val="auto"/>
                <w:spacing w:val="0"/>
                <w:position w:val="0"/>
                <w:sz w:val="21"/>
                <w:szCs w:val="20"/>
                <w:shd w:val="clear" w:fill="auto"/>
              </w:rPr>
              <w:t>个</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20"/>
                <w:szCs w:val="20"/>
                <w:shd w:val="clear" w:fill="auto"/>
              </w:rPr>
            </w:pPr>
            <w:r>
              <w:rPr>
                <w:rFonts w:ascii="宋体" w:hAnsi="宋体" w:eastAsia="宋体" w:cs="宋体"/>
                <w:color w:val="auto"/>
                <w:spacing w:val="0"/>
                <w:position w:val="0"/>
                <w:sz w:val="20"/>
                <w:szCs w:val="20"/>
                <w:shd w:val="clear" w:fill="auto"/>
              </w:rPr>
              <w:t>48</w:t>
            </w:r>
          </w:p>
        </w:tc>
        <w:tc>
          <w:tcPr>
            <w:tcW w:w="128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20"/>
                <w:szCs w:val="20"/>
                <w:shd w:val="clear" w:fill="auto"/>
              </w:rPr>
            </w:pPr>
            <w:r>
              <w:rPr>
                <w:rFonts w:ascii="宋体" w:hAnsi="宋体" w:eastAsia="宋体" w:cs="宋体"/>
                <w:color w:val="auto"/>
                <w:spacing w:val="0"/>
                <w:position w:val="0"/>
                <w:sz w:val="20"/>
                <w:szCs w:val="20"/>
                <w:shd w:val="clear" w:fill="auto"/>
              </w:rPr>
              <w:t>75</w:t>
            </w:r>
          </w:p>
        </w:tc>
      </w:tr>
      <w:tr>
        <w:tblPrEx>
          <w:tblCellMar>
            <w:top w:w="0" w:type="dxa"/>
            <w:left w:w="10" w:type="dxa"/>
            <w:bottom w:w="0" w:type="dxa"/>
            <w:right w:w="10" w:type="dxa"/>
          </w:tblCellMar>
        </w:tblPrEx>
        <w:trPr>
          <w:trHeight w:val="359" w:hRule="atLeast"/>
        </w:trPr>
        <w:tc>
          <w:tcPr>
            <w:tcW w:w="191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hd w:val="clear" w:fill="auto"/>
              </w:rPr>
            </w:pPr>
            <w:r>
              <w:rPr>
                <w:rFonts w:ascii="宋体" w:hAnsi="宋体" w:eastAsia="宋体" w:cs="宋体"/>
                <w:color w:val="auto"/>
                <w:spacing w:val="0"/>
                <w:position w:val="0"/>
                <w:sz w:val="24"/>
                <w:shd w:val="clear" w:fill="auto"/>
              </w:rPr>
              <w:t>节能灯</w:t>
            </w:r>
          </w:p>
        </w:tc>
        <w:tc>
          <w:tcPr>
            <w:tcW w:w="24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20"/>
                <w:szCs w:val="20"/>
                <w:shd w:val="clear" w:fill="auto"/>
              </w:rPr>
            </w:pPr>
            <w:r>
              <w:rPr>
                <w:rFonts w:ascii="宋体" w:hAnsi="宋体" w:eastAsia="宋体" w:cs="宋体"/>
                <w:color w:val="auto"/>
                <w:spacing w:val="0"/>
                <w:position w:val="0"/>
                <w:sz w:val="20"/>
                <w:szCs w:val="20"/>
                <w:shd w:val="clear" w:fill="auto"/>
              </w:rPr>
              <w:t>36W</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20"/>
                <w:szCs w:val="20"/>
                <w:shd w:val="clear" w:fill="auto"/>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18"/>
                <w:szCs w:val="20"/>
                <w:shd w:val="clear" w:fill="auto"/>
              </w:rPr>
            </w:pPr>
            <w:r>
              <w:rPr>
                <w:rFonts w:ascii="宋体" w:hAnsi="宋体" w:eastAsia="宋体" w:cs="宋体"/>
                <w:color w:val="auto"/>
                <w:spacing w:val="0"/>
                <w:position w:val="0"/>
                <w:sz w:val="21"/>
                <w:szCs w:val="20"/>
                <w:shd w:val="clear" w:fill="auto"/>
              </w:rPr>
              <w:t>个</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18"/>
                <w:szCs w:val="20"/>
                <w:shd w:val="clear" w:fill="auto"/>
              </w:rPr>
            </w:pPr>
            <w:r>
              <w:rPr>
                <w:rFonts w:ascii="宋体" w:hAnsi="宋体" w:eastAsia="宋体" w:cs="宋体"/>
                <w:color w:val="auto"/>
                <w:spacing w:val="0"/>
                <w:position w:val="0"/>
                <w:sz w:val="21"/>
                <w:szCs w:val="20"/>
                <w:shd w:val="clear" w:fill="auto"/>
              </w:rPr>
              <w:t>暂定165</w:t>
            </w:r>
          </w:p>
        </w:tc>
        <w:tc>
          <w:tcPr>
            <w:tcW w:w="128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18"/>
                <w:szCs w:val="20"/>
                <w:shd w:val="clear" w:fill="auto"/>
              </w:rPr>
            </w:pPr>
            <w:r>
              <w:rPr>
                <w:rFonts w:ascii="宋体" w:hAnsi="宋体" w:eastAsia="宋体" w:cs="宋体"/>
                <w:color w:val="auto"/>
                <w:spacing w:val="0"/>
                <w:position w:val="0"/>
                <w:sz w:val="21"/>
                <w:szCs w:val="20"/>
                <w:shd w:val="clear" w:fill="auto"/>
              </w:rPr>
              <w:t>暂定270</w:t>
            </w:r>
          </w:p>
        </w:tc>
      </w:tr>
      <w:tr>
        <w:tblPrEx>
          <w:tblCellMar>
            <w:top w:w="0" w:type="dxa"/>
            <w:left w:w="10" w:type="dxa"/>
            <w:bottom w:w="0" w:type="dxa"/>
            <w:right w:w="10" w:type="dxa"/>
          </w:tblCellMar>
        </w:tblPrEx>
        <w:trPr>
          <w:trHeight w:val="359" w:hRule="atLeast"/>
        </w:trPr>
        <w:tc>
          <w:tcPr>
            <w:tcW w:w="191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hd w:val="clear" w:fill="auto"/>
              </w:rPr>
            </w:pPr>
            <w:r>
              <w:rPr>
                <w:rFonts w:ascii="宋体" w:hAnsi="宋体" w:eastAsia="宋体" w:cs="宋体"/>
                <w:color w:val="auto"/>
                <w:spacing w:val="0"/>
                <w:position w:val="0"/>
                <w:sz w:val="24"/>
                <w:shd w:val="clear" w:fill="auto"/>
              </w:rPr>
              <w:t>筒灯</w:t>
            </w:r>
          </w:p>
        </w:tc>
        <w:tc>
          <w:tcPr>
            <w:tcW w:w="24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20"/>
                <w:szCs w:val="20"/>
                <w:shd w:val="clear" w:fill="auto"/>
              </w:rPr>
            </w:pPr>
            <w:r>
              <w:rPr>
                <w:rFonts w:ascii="宋体" w:hAnsi="宋体" w:eastAsia="宋体" w:cs="宋体"/>
                <w:color w:val="auto"/>
                <w:spacing w:val="0"/>
                <w:position w:val="0"/>
                <w:sz w:val="20"/>
                <w:szCs w:val="20"/>
                <w:shd w:val="clear" w:fill="auto"/>
              </w:rPr>
              <w:t>7W</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20"/>
                <w:szCs w:val="20"/>
                <w:shd w:val="clear" w:fill="auto"/>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18"/>
                <w:szCs w:val="20"/>
                <w:shd w:val="clear" w:fill="auto"/>
              </w:rPr>
            </w:pPr>
            <w:r>
              <w:rPr>
                <w:rFonts w:ascii="宋体" w:hAnsi="宋体" w:eastAsia="宋体" w:cs="宋体"/>
                <w:color w:val="auto"/>
                <w:spacing w:val="0"/>
                <w:position w:val="0"/>
                <w:sz w:val="21"/>
                <w:szCs w:val="20"/>
                <w:shd w:val="clear" w:fill="auto"/>
              </w:rPr>
              <w:t>个</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18"/>
                <w:szCs w:val="20"/>
                <w:shd w:val="clear" w:fill="auto"/>
              </w:rPr>
            </w:pPr>
            <w:r>
              <w:rPr>
                <w:rFonts w:ascii="宋体" w:hAnsi="宋体" w:eastAsia="宋体" w:cs="宋体"/>
                <w:color w:val="auto"/>
                <w:spacing w:val="0"/>
                <w:position w:val="0"/>
                <w:sz w:val="21"/>
                <w:szCs w:val="20"/>
                <w:shd w:val="clear" w:fill="auto"/>
              </w:rPr>
              <w:t>暂定335</w:t>
            </w:r>
          </w:p>
        </w:tc>
        <w:tc>
          <w:tcPr>
            <w:tcW w:w="128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18"/>
                <w:szCs w:val="20"/>
                <w:shd w:val="clear" w:fill="auto"/>
              </w:rPr>
            </w:pPr>
            <w:r>
              <w:rPr>
                <w:rFonts w:ascii="宋体" w:hAnsi="宋体" w:eastAsia="宋体" w:cs="宋体"/>
                <w:color w:val="auto"/>
                <w:spacing w:val="0"/>
                <w:position w:val="0"/>
                <w:sz w:val="21"/>
                <w:szCs w:val="20"/>
                <w:shd w:val="clear" w:fill="auto"/>
              </w:rPr>
              <w:t>暂定365</w:t>
            </w:r>
          </w:p>
        </w:tc>
      </w:tr>
      <w:tr>
        <w:tblPrEx>
          <w:tblCellMar>
            <w:top w:w="0" w:type="dxa"/>
            <w:left w:w="10" w:type="dxa"/>
            <w:bottom w:w="0" w:type="dxa"/>
            <w:right w:w="10" w:type="dxa"/>
          </w:tblCellMar>
        </w:tblPrEx>
        <w:trPr>
          <w:trHeight w:val="1404" w:hRule="atLeast"/>
        </w:trPr>
        <w:tc>
          <w:tcPr>
            <w:tcW w:w="191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hd w:val="clear" w:fill="auto"/>
              </w:rPr>
            </w:pPr>
            <w:r>
              <w:rPr>
                <w:rFonts w:ascii="宋体" w:hAnsi="宋体" w:eastAsia="宋体" w:cs="宋体"/>
                <w:color w:val="auto"/>
                <w:spacing w:val="0"/>
                <w:position w:val="0"/>
                <w:sz w:val="24"/>
                <w:shd w:val="clear" w:fill="auto"/>
              </w:rPr>
              <w:t>洗手盆</w:t>
            </w:r>
          </w:p>
        </w:tc>
        <w:tc>
          <w:tcPr>
            <w:tcW w:w="24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both"/>
              <w:rPr>
                <w:color w:val="auto"/>
                <w:spacing w:val="0"/>
                <w:position w:val="0"/>
                <w:sz w:val="18"/>
                <w:szCs w:val="20"/>
                <w:shd w:val="clear" w:fill="auto"/>
              </w:rPr>
            </w:pPr>
            <w:r>
              <w:rPr>
                <w:rFonts w:ascii="宋体" w:hAnsi="宋体" w:eastAsia="宋体" w:cs="宋体"/>
                <w:color w:val="auto"/>
                <w:spacing w:val="0"/>
                <w:position w:val="0"/>
                <w:sz w:val="20"/>
                <w:szCs w:val="20"/>
                <w:shd w:val="clear" w:fill="auto"/>
              </w:rPr>
              <w:t>陶瓷，台上盆，60cm*45cm,铁质支架，方便推拉更换，包含上下水系统</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20"/>
                <w:szCs w:val="20"/>
                <w:shd w:val="clear" w:fill="auto"/>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18"/>
                <w:szCs w:val="20"/>
                <w:shd w:val="clear" w:fill="auto"/>
              </w:rPr>
            </w:pPr>
            <w:r>
              <w:rPr>
                <w:rFonts w:ascii="宋体" w:hAnsi="宋体" w:eastAsia="宋体" w:cs="宋体"/>
                <w:color w:val="auto"/>
                <w:spacing w:val="0"/>
                <w:position w:val="0"/>
                <w:sz w:val="21"/>
                <w:szCs w:val="20"/>
                <w:shd w:val="clear" w:fill="auto"/>
              </w:rPr>
              <w:t>套</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18"/>
                <w:szCs w:val="20"/>
                <w:shd w:val="clear" w:fill="auto"/>
              </w:rPr>
            </w:pPr>
            <w:r>
              <w:rPr>
                <w:rFonts w:ascii="宋体" w:hAnsi="宋体" w:eastAsia="宋体" w:cs="宋体"/>
                <w:color w:val="auto"/>
                <w:spacing w:val="0"/>
                <w:position w:val="0"/>
                <w:sz w:val="21"/>
                <w:szCs w:val="20"/>
                <w:shd w:val="clear" w:fill="auto"/>
              </w:rPr>
              <w:t>67</w:t>
            </w:r>
          </w:p>
        </w:tc>
        <w:tc>
          <w:tcPr>
            <w:tcW w:w="128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18"/>
                <w:szCs w:val="20"/>
                <w:shd w:val="clear" w:fill="auto"/>
              </w:rPr>
            </w:pPr>
            <w:r>
              <w:rPr>
                <w:rFonts w:ascii="宋体" w:hAnsi="宋体" w:eastAsia="宋体" w:cs="宋体"/>
                <w:color w:val="auto"/>
                <w:spacing w:val="0"/>
                <w:position w:val="0"/>
                <w:sz w:val="21"/>
                <w:szCs w:val="20"/>
                <w:shd w:val="clear" w:fill="auto"/>
              </w:rPr>
              <w:t>73</w:t>
            </w:r>
          </w:p>
        </w:tc>
      </w:tr>
      <w:tr>
        <w:tblPrEx>
          <w:tblCellMar>
            <w:top w:w="0" w:type="dxa"/>
            <w:left w:w="10" w:type="dxa"/>
            <w:bottom w:w="0" w:type="dxa"/>
            <w:right w:w="10" w:type="dxa"/>
          </w:tblCellMar>
        </w:tblPrEx>
        <w:trPr>
          <w:trHeight w:val="1056" w:hRule="atLeast"/>
        </w:trPr>
        <w:tc>
          <w:tcPr>
            <w:tcW w:w="191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hd w:val="clear" w:fill="auto"/>
              </w:rPr>
            </w:pPr>
            <w:r>
              <w:rPr>
                <w:rFonts w:ascii="宋体" w:hAnsi="宋体" w:eastAsia="宋体" w:cs="宋体"/>
                <w:color w:val="auto"/>
                <w:spacing w:val="0"/>
                <w:position w:val="0"/>
                <w:sz w:val="24"/>
                <w:shd w:val="clear" w:fill="auto"/>
              </w:rPr>
              <w:t>窗户</w:t>
            </w:r>
          </w:p>
        </w:tc>
        <w:tc>
          <w:tcPr>
            <w:tcW w:w="24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left"/>
              <w:rPr>
                <w:rFonts w:ascii="宋体" w:hAnsi="宋体" w:eastAsia="宋体" w:cs="宋体"/>
                <w:color w:val="auto"/>
                <w:spacing w:val="0"/>
                <w:position w:val="0"/>
                <w:sz w:val="20"/>
                <w:szCs w:val="20"/>
                <w:shd w:val="clear" w:fill="auto"/>
              </w:rPr>
            </w:pPr>
            <w:r>
              <w:rPr>
                <w:rFonts w:ascii="宋体" w:hAnsi="宋体" w:eastAsia="宋体" w:cs="宋体"/>
                <w:color w:val="auto"/>
                <w:spacing w:val="0"/>
                <w:position w:val="0"/>
                <w:sz w:val="20"/>
                <w:szCs w:val="20"/>
                <w:shd w:val="clear" w:fill="auto"/>
              </w:rPr>
              <w:t>材质：铝合金，厚度1.2mm,玻璃厚度3mm,尺寸120*90cm</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20"/>
                <w:szCs w:val="20"/>
                <w:shd w:val="clear" w:fill="auto"/>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18"/>
                <w:szCs w:val="20"/>
                <w:shd w:val="clear" w:fill="auto"/>
              </w:rPr>
            </w:pPr>
            <w:r>
              <w:rPr>
                <w:rFonts w:ascii="宋体" w:hAnsi="宋体" w:eastAsia="宋体" w:cs="宋体"/>
                <w:color w:val="auto"/>
                <w:spacing w:val="0"/>
                <w:position w:val="0"/>
                <w:sz w:val="21"/>
                <w:szCs w:val="20"/>
                <w:shd w:val="clear" w:fill="auto"/>
              </w:rPr>
              <w:t>平方米</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20"/>
                <w:szCs w:val="20"/>
                <w:shd w:val="clear" w:fill="auto"/>
              </w:rPr>
            </w:pPr>
            <w:r>
              <w:rPr>
                <w:rFonts w:ascii="宋体" w:hAnsi="宋体" w:eastAsia="宋体" w:cs="宋体"/>
                <w:color w:val="auto"/>
                <w:spacing w:val="0"/>
                <w:position w:val="0"/>
                <w:sz w:val="20"/>
                <w:szCs w:val="20"/>
                <w:shd w:val="clear" w:fill="auto"/>
              </w:rPr>
              <w:t>暂定73</w:t>
            </w:r>
          </w:p>
        </w:tc>
        <w:tc>
          <w:tcPr>
            <w:tcW w:w="128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20"/>
                <w:szCs w:val="20"/>
                <w:shd w:val="clear" w:fill="auto"/>
              </w:rPr>
            </w:pPr>
            <w:r>
              <w:rPr>
                <w:rFonts w:ascii="宋体" w:hAnsi="宋体" w:eastAsia="宋体" w:cs="宋体"/>
                <w:color w:val="auto"/>
                <w:spacing w:val="0"/>
                <w:position w:val="0"/>
                <w:sz w:val="20"/>
                <w:szCs w:val="20"/>
                <w:shd w:val="clear" w:fill="auto"/>
              </w:rPr>
              <w:t>暂定79</w:t>
            </w:r>
          </w:p>
        </w:tc>
      </w:tr>
      <w:tr>
        <w:tblPrEx>
          <w:tblCellMar>
            <w:top w:w="0" w:type="dxa"/>
            <w:left w:w="10" w:type="dxa"/>
            <w:bottom w:w="0" w:type="dxa"/>
            <w:right w:w="10" w:type="dxa"/>
          </w:tblCellMar>
        </w:tblPrEx>
        <w:trPr>
          <w:trHeight w:val="359" w:hRule="atLeast"/>
        </w:trPr>
        <w:tc>
          <w:tcPr>
            <w:tcW w:w="191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hd w:val="clear" w:fill="auto"/>
              </w:rPr>
            </w:pPr>
            <w:r>
              <w:rPr>
                <w:rFonts w:ascii="宋体" w:hAnsi="宋体" w:eastAsia="宋体" w:cs="宋体"/>
                <w:color w:val="auto"/>
                <w:spacing w:val="0"/>
                <w:position w:val="0"/>
                <w:sz w:val="24"/>
                <w:shd w:val="clear" w:fill="auto"/>
              </w:rPr>
              <w:t>沥青瓦</w:t>
            </w:r>
          </w:p>
        </w:tc>
        <w:tc>
          <w:tcPr>
            <w:tcW w:w="24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20"/>
                <w:szCs w:val="20"/>
                <w:shd w:val="clear" w:fill="auto"/>
              </w:rPr>
            </w:pP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18"/>
                <w:szCs w:val="20"/>
                <w:shd w:val="clear" w:fill="auto"/>
              </w:rPr>
            </w:pPr>
            <w:r>
              <w:rPr>
                <w:rFonts w:ascii="宋体" w:hAnsi="宋体" w:eastAsia="宋体" w:cs="宋体"/>
                <w:color w:val="auto"/>
                <w:spacing w:val="0"/>
                <w:position w:val="0"/>
                <w:sz w:val="21"/>
                <w:szCs w:val="20"/>
                <w:shd w:val="clear" w:fill="auto"/>
              </w:rPr>
              <w:t>4mm</w:t>
            </w:r>
          </w:p>
        </w:tc>
        <w:tc>
          <w:tcPr>
            <w:tcW w:w="92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18"/>
                <w:szCs w:val="20"/>
                <w:shd w:val="clear" w:fill="auto"/>
              </w:rPr>
            </w:pPr>
            <w:r>
              <w:rPr>
                <w:rFonts w:ascii="宋体" w:hAnsi="宋体" w:eastAsia="宋体" w:cs="宋体"/>
                <w:color w:val="auto"/>
                <w:spacing w:val="0"/>
                <w:position w:val="0"/>
                <w:sz w:val="21"/>
                <w:szCs w:val="20"/>
                <w:shd w:val="clear" w:fill="auto"/>
              </w:rPr>
              <w:t>平方米</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18"/>
                <w:szCs w:val="20"/>
                <w:shd w:val="clear" w:fill="auto"/>
              </w:rPr>
            </w:pPr>
            <w:r>
              <w:rPr>
                <w:rFonts w:ascii="宋体" w:hAnsi="宋体" w:eastAsia="宋体" w:cs="宋体"/>
                <w:color w:val="auto"/>
                <w:spacing w:val="0"/>
                <w:position w:val="0"/>
                <w:sz w:val="21"/>
                <w:szCs w:val="20"/>
                <w:shd w:val="clear" w:fill="auto"/>
              </w:rPr>
              <w:t>暂定858</w:t>
            </w:r>
          </w:p>
        </w:tc>
        <w:tc>
          <w:tcPr>
            <w:tcW w:w="128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18"/>
                <w:szCs w:val="20"/>
                <w:shd w:val="clear" w:fill="auto"/>
              </w:rPr>
            </w:pPr>
            <w:r>
              <w:rPr>
                <w:rFonts w:ascii="宋体" w:hAnsi="宋体" w:eastAsia="宋体" w:cs="宋体"/>
                <w:color w:val="auto"/>
                <w:spacing w:val="0"/>
                <w:position w:val="0"/>
                <w:sz w:val="21"/>
                <w:szCs w:val="20"/>
                <w:shd w:val="clear" w:fill="auto"/>
              </w:rPr>
              <w:t>暂定1240</w:t>
            </w:r>
          </w:p>
        </w:tc>
      </w:tr>
      <w:tr>
        <w:tblPrEx>
          <w:tblCellMar>
            <w:top w:w="0" w:type="dxa"/>
            <w:left w:w="10" w:type="dxa"/>
            <w:bottom w:w="0" w:type="dxa"/>
            <w:right w:w="10" w:type="dxa"/>
          </w:tblCellMar>
        </w:tblPrEx>
        <w:trPr>
          <w:trHeight w:val="359" w:hRule="atLeast"/>
        </w:trPr>
        <w:tc>
          <w:tcPr>
            <w:tcW w:w="191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hd w:val="clear" w:fill="auto"/>
              </w:rPr>
            </w:pPr>
            <w:r>
              <w:rPr>
                <w:rFonts w:ascii="宋体" w:hAnsi="宋体" w:eastAsia="宋体" w:cs="宋体"/>
                <w:color w:val="auto"/>
                <w:spacing w:val="0"/>
                <w:position w:val="0"/>
                <w:sz w:val="24"/>
                <w:shd w:val="clear" w:fill="auto"/>
              </w:rPr>
              <w:t>发光字</w:t>
            </w:r>
          </w:p>
        </w:tc>
        <w:tc>
          <w:tcPr>
            <w:tcW w:w="24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20"/>
                <w:szCs w:val="20"/>
                <w:shd w:val="clear" w:fill="auto"/>
              </w:rPr>
            </w:pP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20"/>
                <w:szCs w:val="20"/>
                <w:shd w:val="clear" w:fill="auto"/>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18"/>
                <w:szCs w:val="20"/>
                <w:shd w:val="clear" w:fill="auto"/>
              </w:rPr>
            </w:pPr>
            <w:r>
              <w:rPr>
                <w:rFonts w:ascii="宋体" w:hAnsi="宋体" w:eastAsia="宋体" w:cs="宋体"/>
                <w:color w:val="auto"/>
                <w:spacing w:val="0"/>
                <w:position w:val="0"/>
                <w:sz w:val="21"/>
                <w:szCs w:val="20"/>
                <w:shd w:val="clear" w:fill="auto"/>
              </w:rPr>
              <w:t>平方</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20"/>
                <w:szCs w:val="20"/>
                <w:shd w:val="clear" w:fill="auto"/>
              </w:rPr>
            </w:pPr>
            <w:r>
              <w:rPr>
                <w:rFonts w:ascii="宋体" w:hAnsi="宋体" w:eastAsia="宋体" w:cs="宋体"/>
                <w:color w:val="auto"/>
                <w:spacing w:val="0"/>
                <w:position w:val="0"/>
                <w:sz w:val="20"/>
                <w:szCs w:val="20"/>
                <w:shd w:val="clear" w:fill="auto"/>
              </w:rPr>
              <w:t>暂定605</w:t>
            </w:r>
          </w:p>
        </w:tc>
        <w:tc>
          <w:tcPr>
            <w:tcW w:w="128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20"/>
                <w:szCs w:val="20"/>
                <w:shd w:val="clear" w:fill="auto"/>
              </w:rPr>
            </w:pPr>
            <w:r>
              <w:rPr>
                <w:rFonts w:ascii="宋体" w:hAnsi="宋体" w:eastAsia="宋体" w:cs="宋体"/>
                <w:color w:val="auto"/>
                <w:spacing w:val="0"/>
                <w:position w:val="0"/>
                <w:sz w:val="20"/>
                <w:szCs w:val="20"/>
                <w:shd w:val="clear" w:fill="auto"/>
              </w:rPr>
              <w:t>暂定870</w:t>
            </w:r>
          </w:p>
        </w:tc>
      </w:tr>
      <w:tr>
        <w:tblPrEx>
          <w:tblCellMar>
            <w:top w:w="0" w:type="dxa"/>
            <w:left w:w="10" w:type="dxa"/>
            <w:bottom w:w="0" w:type="dxa"/>
            <w:right w:w="10" w:type="dxa"/>
          </w:tblCellMar>
        </w:tblPrEx>
        <w:trPr>
          <w:trHeight w:val="570" w:hRule="atLeast"/>
        </w:trPr>
        <w:tc>
          <w:tcPr>
            <w:tcW w:w="191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440" w:lineRule="auto"/>
              <w:ind w:left="0" w:right="0" w:firstLine="0"/>
              <w:jc w:val="center"/>
              <w:rPr>
                <w:rFonts w:ascii="宋体" w:hAnsi="宋体" w:eastAsia="宋体" w:cs="宋体"/>
                <w:color w:val="auto"/>
                <w:spacing w:val="0"/>
                <w:position w:val="0"/>
                <w:shd w:val="clear" w:fill="auto"/>
              </w:rPr>
            </w:pPr>
            <w:r>
              <w:rPr>
                <w:rFonts w:ascii="宋体" w:hAnsi="宋体" w:eastAsia="宋体" w:cs="宋体"/>
                <w:color w:val="auto"/>
                <w:spacing w:val="0"/>
                <w:position w:val="0"/>
                <w:sz w:val="24"/>
                <w:shd w:val="clear" w:fill="auto"/>
              </w:rPr>
              <w:t>标识</w:t>
            </w:r>
          </w:p>
        </w:tc>
        <w:tc>
          <w:tcPr>
            <w:tcW w:w="24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20"/>
                <w:szCs w:val="20"/>
                <w:shd w:val="clear" w:fill="auto"/>
              </w:rPr>
            </w:pPr>
            <w:r>
              <w:rPr>
                <w:rFonts w:ascii="宋体" w:hAnsi="宋体" w:eastAsia="宋体" w:cs="宋体"/>
                <w:color w:val="auto"/>
                <w:spacing w:val="0"/>
                <w:position w:val="0"/>
                <w:sz w:val="20"/>
                <w:szCs w:val="20"/>
                <w:shd w:val="clear" w:fill="auto"/>
              </w:rPr>
              <w:t>PVC表面UV</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20"/>
                <w:szCs w:val="20"/>
                <w:shd w:val="clear" w:fill="auto"/>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20"/>
                <w:szCs w:val="20"/>
                <w:shd w:val="clear" w:fill="auto"/>
              </w:rPr>
            </w:pPr>
            <w:r>
              <w:rPr>
                <w:rFonts w:ascii="宋体" w:hAnsi="宋体" w:eastAsia="宋体" w:cs="宋体"/>
                <w:color w:val="auto"/>
                <w:spacing w:val="0"/>
                <w:position w:val="0"/>
                <w:sz w:val="20"/>
                <w:szCs w:val="20"/>
                <w:shd w:val="clear" w:fill="auto"/>
              </w:rPr>
              <w:t>平方</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20"/>
                <w:szCs w:val="20"/>
                <w:shd w:val="clear" w:fill="auto"/>
              </w:rPr>
            </w:pPr>
            <w:r>
              <w:rPr>
                <w:rFonts w:ascii="宋体" w:hAnsi="宋体" w:eastAsia="宋体" w:cs="宋体"/>
                <w:color w:val="auto"/>
                <w:spacing w:val="0"/>
                <w:position w:val="0"/>
                <w:sz w:val="20"/>
                <w:szCs w:val="20"/>
                <w:shd w:val="clear" w:fill="auto"/>
              </w:rPr>
              <w:t>暂定300</w:t>
            </w:r>
          </w:p>
        </w:tc>
        <w:tc>
          <w:tcPr>
            <w:tcW w:w="128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20"/>
                <w:szCs w:val="20"/>
                <w:shd w:val="clear" w:fill="auto"/>
              </w:rPr>
            </w:pPr>
            <w:r>
              <w:rPr>
                <w:rFonts w:ascii="宋体" w:hAnsi="宋体" w:eastAsia="宋体" w:cs="宋体"/>
                <w:color w:val="auto"/>
                <w:spacing w:val="0"/>
                <w:position w:val="0"/>
                <w:sz w:val="20"/>
                <w:szCs w:val="20"/>
                <w:shd w:val="clear" w:fill="auto"/>
              </w:rPr>
              <w:t>暂定420</w:t>
            </w:r>
          </w:p>
        </w:tc>
      </w:tr>
      <w:tr>
        <w:tblPrEx>
          <w:tblCellMar>
            <w:top w:w="0" w:type="dxa"/>
            <w:left w:w="10" w:type="dxa"/>
            <w:bottom w:w="0" w:type="dxa"/>
            <w:right w:w="10" w:type="dxa"/>
          </w:tblCellMar>
        </w:tblPrEx>
        <w:trPr>
          <w:trHeight w:val="661" w:hRule="atLeast"/>
        </w:trPr>
        <w:tc>
          <w:tcPr>
            <w:tcW w:w="191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440" w:lineRule="auto"/>
              <w:ind w:left="0" w:right="0" w:firstLine="0"/>
              <w:jc w:val="center"/>
              <w:rPr>
                <w:rFonts w:ascii="宋体" w:hAnsi="宋体" w:eastAsia="宋体" w:cs="宋体"/>
                <w:color w:val="auto"/>
                <w:spacing w:val="0"/>
                <w:position w:val="0"/>
                <w:shd w:val="clear" w:fill="auto"/>
              </w:rPr>
            </w:pPr>
            <w:r>
              <w:rPr>
                <w:rFonts w:ascii="宋体" w:hAnsi="宋体" w:eastAsia="宋体" w:cs="宋体"/>
                <w:color w:val="auto"/>
                <w:spacing w:val="0"/>
                <w:position w:val="0"/>
                <w:sz w:val="24"/>
                <w:shd w:val="clear" w:fill="auto"/>
              </w:rPr>
              <w:t>配电箱</w:t>
            </w:r>
          </w:p>
        </w:tc>
        <w:tc>
          <w:tcPr>
            <w:tcW w:w="24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left"/>
              <w:rPr>
                <w:color w:val="auto"/>
                <w:spacing w:val="0"/>
                <w:position w:val="0"/>
                <w:sz w:val="18"/>
                <w:szCs w:val="20"/>
                <w:shd w:val="clear" w:fill="auto"/>
              </w:rPr>
            </w:pPr>
            <w:r>
              <w:rPr>
                <w:rFonts w:ascii="宋体" w:hAnsi="宋体" w:eastAsia="宋体" w:cs="宋体"/>
                <w:color w:val="auto"/>
                <w:spacing w:val="0"/>
                <w:position w:val="0"/>
                <w:sz w:val="20"/>
                <w:szCs w:val="20"/>
                <w:shd w:val="clear" w:fill="auto"/>
              </w:rPr>
              <w:t>要求：防雷防水，一个总控，3组空开，2组插座</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20"/>
                <w:szCs w:val="20"/>
                <w:shd w:val="clear" w:fill="auto"/>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20"/>
                <w:szCs w:val="20"/>
                <w:shd w:val="clear" w:fill="auto"/>
              </w:rPr>
            </w:pPr>
            <w:r>
              <w:rPr>
                <w:rFonts w:ascii="宋体" w:hAnsi="宋体" w:eastAsia="宋体" w:cs="宋体"/>
                <w:color w:val="auto"/>
                <w:spacing w:val="0"/>
                <w:position w:val="0"/>
                <w:sz w:val="20"/>
                <w:szCs w:val="20"/>
                <w:shd w:val="clear" w:fill="auto"/>
              </w:rPr>
              <w:t>个</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20"/>
                <w:szCs w:val="20"/>
                <w:shd w:val="clear" w:fill="auto"/>
              </w:rPr>
            </w:pPr>
            <w:r>
              <w:rPr>
                <w:rFonts w:ascii="宋体" w:hAnsi="宋体" w:eastAsia="宋体" w:cs="宋体"/>
                <w:color w:val="auto"/>
                <w:spacing w:val="0"/>
                <w:position w:val="0"/>
                <w:sz w:val="20"/>
                <w:szCs w:val="20"/>
                <w:shd w:val="clear" w:fill="auto"/>
              </w:rPr>
              <w:t>67</w:t>
            </w:r>
          </w:p>
        </w:tc>
        <w:tc>
          <w:tcPr>
            <w:tcW w:w="128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20"/>
                <w:szCs w:val="20"/>
                <w:shd w:val="clear" w:fill="auto"/>
              </w:rPr>
            </w:pPr>
            <w:r>
              <w:rPr>
                <w:rFonts w:ascii="宋体" w:hAnsi="宋体" w:eastAsia="宋体" w:cs="宋体"/>
                <w:color w:val="auto"/>
                <w:spacing w:val="0"/>
                <w:position w:val="0"/>
                <w:sz w:val="20"/>
                <w:szCs w:val="20"/>
                <w:shd w:val="clear" w:fill="auto"/>
              </w:rPr>
              <w:t>73</w:t>
            </w:r>
          </w:p>
        </w:tc>
      </w:tr>
      <w:tr>
        <w:tblPrEx>
          <w:tblCellMar>
            <w:top w:w="0" w:type="dxa"/>
            <w:left w:w="10" w:type="dxa"/>
            <w:bottom w:w="0" w:type="dxa"/>
            <w:right w:w="10" w:type="dxa"/>
          </w:tblCellMar>
        </w:tblPrEx>
        <w:trPr>
          <w:trHeight w:val="1130" w:hRule="atLeast"/>
        </w:trPr>
        <w:tc>
          <w:tcPr>
            <w:tcW w:w="191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440" w:lineRule="auto"/>
              <w:ind w:left="0" w:right="0" w:firstLine="0"/>
              <w:jc w:val="center"/>
              <w:rPr>
                <w:rFonts w:ascii="宋体" w:hAnsi="宋体" w:eastAsia="宋体" w:cs="宋体"/>
                <w:color w:val="auto"/>
                <w:spacing w:val="0"/>
                <w:position w:val="0"/>
                <w:shd w:val="clear" w:fill="auto"/>
              </w:rPr>
            </w:pPr>
            <w:r>
              <w:rPr>
                <w:rFonts w:ascii="宋体" w:hAnsi="宋体" w:eastAsia="宋体" w:cs="宋体"/>
                <w:color w:val="auto"/>
                <w:spacing w:val="0"/>
                <w:position w:val="0"/>
                <w:sz w:val="24"/>
                <w:shd w:val="clear" w:fill="auto"/>
              </w:rPr>
              <w:t>电焊条、打磨片等耗材</w:t>
            </w:r>
          </w:p>
        </w:tc>
        <w:tc>
          <w:tcPr>
            <w:tcW w:w="24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20"/>
                <w:szCs w:val="20"/>
                <w:shd w:val="clear" w:fill="auto"/>
              </w:rPr>
            </w:pP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18"/>
                <w:szCs w:val="20"/>
                <w:shd w:val="clear" w:fill="auto"/>
              </w:rPr>
            </w:pPr>
            <w:r>
              <w:rPr>
                <w:rFonts w:ascii="宋体" w:hAnsi="宋体" w:eastAsia="宋体" w:cs="宋体"/>
                <w:color w:val="auto"/>
                <w:spacing w:val="0"/>
                <w:position w:val="0"/>
                <w:sz w:val="18"/>
                <w:szCs w:val="16"/>
                <w:shd w:val="clear" w:fill="auto"/>
              </w:rPr>
              <w:t>焊条.发电机.切割片.燕尾丝.汽油等</w:t>
            </w:r>
          </w:p>
        </w:tc>
        <w:tc>
          <w:tcPr>
            <w:tcW w:w="92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18"/>
                <w:szCs w:val="20"/>
                <w:shd w:val="clear" w:fill="auto"/>
              </w:rPr>
            </w:pPr>
            <w:r>
              <w:rPr>
                <w:rFonts w:ascii="宋体" w:hAnsi="宋体" w:eastAsia="宋体" w:cs="宋体"/>
                <w:color w:val="auto"/>
                <w:spacing w:val="0"/>
                <w:position w:val="0"/>
                <w:sz w:val="21"/>
                <w:szCs w:val="20"/>
                <w:shd w:val="clear" w:fill="auto"/>
              </w:rPr>
              <w:t>项</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20"/>
                <w:szCs w:val="20"/>
                <w:shd w:val="clear" w:fill="auto"/>
              </w:rPr>
            </w:pPr>
            <w:r>
              <w:rPr>
                <w:rFonts w:hint="eastAsia" w:ascii="宋体" w:hAnsi="宋体" w:eastAsia="宋体" w:cs="宋体"/>
                <w:color w:val="auto"/>
                <w:spacing w:val="0"/>
                <w:position w:val="0"/>
                <w:sz w:val="20"/>
                <w:szCs w:val="20"/>
                <w:shd w:val="clear" w:fill="auto"/>
                <w:lang w:val="en-US" w:eastAsia="zh-CN"/>
              </w:rPr>
              <w:t>自行考虑</w:t>
            </w:r>
          </w:p>
        </w:tc>
        <w:tc>
          <w:tcPr>
            <w:tcW w:w="128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hint="eastAsia" w:ascii="宋体" w:hAnsi="宋体" w:eastAsia="宋体" w:cs="宋体"/>
                <w:color w:val="auto"/>
                <w:spacing w:val="0"/>
                <w:position w:val="0"/>
                <w:sz w:val="20"/>
                <w:szCs w:val="20"/>
                <w:shd w:val="clear" w:fill="auto"/>
                <w:lang w:val="en-US" w:eastAsia="zh-CN"/>
              </w:rPr>
            </w:pPr>
            <w:r>
              <w:rPr>
                <w:rFonts w:hint="eastAsia" w:ascii="宋体" w:hAnsi="宋体" w:eastAsia="宋体" w:cs="宋体"/>
                <w:color w:val="auto"/>
                <w:spacing w:val="0"/>
                <w:position w:val="0"/>
                <w:sz w:val="20"/>
                <w:szCs w:val="20"/>
                <w:shd w:val="clear" w:fill="auto"/>
                <w:lang w:val="en-US" w:eastAsia="zh-CN"/>
              </w:rPr>
              <w:t>自行考虑</w:t>
            </w:r>
          </w:p>
        </w:tc>
      </w:tr>
      <w:tr>
        <w:tblPrEx>
          <w:tblCellMar>
            <w:top w:w="0" w:type="dxa"/>
            <w:left w:w="10" w:type="dxa"/>
            <w:bottom w:w="0" w:type="dxa"/>
            <w:right w:w="10" w:type="dxa"/>
          </w:tblCellMar>
        </w:tblPrEx>
        <w:trPr>
          <w:trHeight w:val="359" w:hRule="atLeast"/>
        </w:trPr>
        <w:tc>
          <w:tcPr>
            <w:tcW w:w="1911" w:type="dxa"/>
            <w:vMerge w:val="restart"/>
            <w:tcBorders>
              <w:top w:val="single" w:color="000000" w:sz="4" w:space="0"/>
              <w:left w:val="single" w:color="000000" w:sz="4" w:space="0"/>
              <w:bottom w:val="single" w:color="000000" w:sz="0" w:space="0"/>
              <w:right w:val="single" w:color="000000" w:sz="4" w:space="0"/>
            </w:tcBorders>
            <w:shd w:val="clear" w:color="auto" w:fill="auto"/>
            <w:tcMar>
              <w:left w:w="108" w:type="dxa"/>
              <w:right w:w="108" w:type="dxa"/>
            </w:tcMar>
            <w:vAlign w:val="center"/>
          </w:tcPr>
          <w:p>
            <w:pPr>
              <w:spacing w:before="0" w:after="0" w:line="440" w:lineRule="auto"/>
              <w:ind w:left="0" w:right="0" w:firstLine="0"/>
              <w:jc w:val="center"/>
              <w:rPr>
                <w:rFonts w:ascii="宋体" w:hAnsi="宋体" w:eastAsia="宋体" w:cs="宋体"/>
                <w:color w:val="auto"/>
                <w:spacing w:val="0"/>
                <w:position w:val="0"/>
                <w:shd w:val="clear" w:fill="auto"/>
              </w:rPr>
            </w:pPr>
            <w:r>
              <w:rPr>
                <w:rFonts w:ascii="宋体" w:hAnsi="宋体" w:eastAsia="宋体" w:cs="宋体"/>
                <w:color w:val="auto"/>
                <w:spacing w:val="0"/>
                <w:position w:val="0"/>
                <w:sz w:val="24"/>
                <w:shd w:val="clear" w:fill="auto"/>
              </w:rPr>
              <w:t>喷漆</w:t>
            </w:r>
          </w:p>
        </w:tc>
        <w:tc>
          <w:tcPr>
            <w:tcW w:w="24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20"/>
                <w:szCs w:val="20"/>
                <w:shd w:val="clear" w:fill="auto"/>
              </w:rPr>
            </w:pPr>
            <w:r>
              <w:rPr>
                <w:rFonts w:ascii="宋体" w:hAnsi="宋体" w:eastAsia="宋体" w:cs="宋体"/>
                <w:color w:val="auto"/>
                <w:spacing w:val="0"/>
                <w:position w:val="0"/>
                <w:sz w:val="20"/>
                <w:szCs w:val="20"/>
                <w:shd w:val="clear" w:fill="auto"/>
              </w:rPr>
              <w:t>底漆</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20"/>
                <w:szCs w:val="20"/>
                <w:shd w:val="clear" w:fill="auto"/>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18"/>
                <w:szCs w:val="20"/>
                <w:shd w:val="clear" w:fill="auto"/>
              </w:rPr>
            </w:pPr>
            <w:r>
              <w:rPr>
                <w:rFonts w:ascii="宋体" w:hAnsi="宋体" w:eastAsia="宋体" w:cs="宋体"/>
                <w:color w:val="auto"/>
                <w:spacing w:val="0"/>
                <w:position w:val="0"/>
                <w:sz w:val="21"/>
                <w:szCs w:val="20"/>
                <w:shd w:val="clear" w:fill="auto"/>
              </w:rPr>
              <w:t>公斤</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18"/>
                <w:szCs w:val="20"/>
                <w:shd w:val="clear" w:fill="auto"/>
              </w:rPr>
            </w:pPr>
            <w:r>
              <w:rPr>
                <w:rFonts w:ascii="宋体" w:hAnsi="宋体" w:eastAsia="宋体" w:cs="宋体"/>
                <w:color w:val="auto"/>
                <w:spacing w:val="0"/>
                <w:position w:val="0"/>
                <w:sz w:val="21"/>
                <w:szCs w:val="20"/>
                <w:shd w:val="clear" w:fill="auto"/>
              </w:rPr>
              <w:t>暂定100</w:t>
            </w:r>
          </w:p>
        </w:tc>
        <w:tc>
          <w:tcPr>
            <w:tcW w:w="128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20"/>
                <w:szCs w:val="20"/>
                <w:shd w:val="clear" w:fill="auto"/>
              </w:rPr>
            </w:pPr>
            <w:r>
              <w:rPr>
                <w:rFonts w:ascii="宋体" w:hAnsi="宋体" w:eastAsia="宋体" w:cs="宋体"/>
                <w:color w:val="auto"/>
                <w:spacing w:val="0"/>
                <w:position w:val="0"/>
                <w:sz w:val="20"/>
                <w:szCs w:val="20"/>
                <w:shd w:val="clear" w:fill="auto"/>
              </w:rPr>
              <w:t>暂定145</w:t>
            </w:r>
          </w:p>
        </w:tc>
      </w:tr>
      <w:tr>
        <w:tblPrEx>
          <w:tblCellMar>
            <w:top w:w="0" w:type="dxa"/>
            <w:left w:w="10" w:type="dxa"/>
            <w:bottom w:w="0" w:type="dxa"/>
            <w:right w:w="10" w:type="dxa"/>
          </w:tblCellMar>
        </w:tblPrEx>
        <w:trPr>
          <w:trHeight w:val="359" w:hRule="atLeast"/>
        </w:trPr>
        <w:tc>
          <w:tcPr>
            <w:tcW w:w="1911" w:type="dxa"/>
            <w:vMerge w:val="continue"/>
            <w:tcBorders>
              <w:top w:val="single" w:color="000000" w:sz="0" w:space="0"/>
              <w:left w:val="single" w:color="000000" w:sz="4" w:space="0"/>
              <w:bottom w:val="single" w:color="000000" w:sz="0" w:space="0"/>
              <w:right w:val="single" w:color="000000" w:sz="4" w:space="0"/>
            </w:tcBorders>
            <w:shd w:val="clear" w:color="auto" w:fill="auto"/>
            <w:tcMar>
              <w:left w:w="108" w:type="dxa"/>
              <w:right w:w="108" w:type="dxa"/>
            </w:tcMar>
            <w:vAlign w:val="center"/>
          </w:tcPr>
          <w:p>
            <w:pPr>
              <w:spacing w:before="0" w:after="200" w:line="276" w:lineRule="auto"/>
              <w:ind w:left="0" w:right="0" w:firstLine="0"/>
              <w:jc w:val="left"/>
              <w:rPr>
                <w:rFonts w:ascii="宋体" w:hAnsi="宋体" w:eastAsia="宋体" w:cs="宋体"/>
                <w:color w:val="auto"/>
                <w:spacing w:val="0"/>
                <w:position w:val="0"/>
                <w:sz w:val="22"/>
                <w:shd w:val="clear" w:fill="auto"/>
              </w:rPr>
            </w:pPr>
          </w:p>
        </w:tc>
        <w:tc>
          <w:tcPr>
            <w:tcW w:w="24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20"/>
                <w:szCs w:val="20"/>
                <w:shd w:val="clear" w:fill="auto"/>
              </w:rPr>
            </w:pPr>
            <w:r>
              <w:rPr>
                <w:rFonts w:ascii="宋体" w:hAnsi="宋体" w:eastAsia="宋体" w:cs="宋体"/>
                <w:color w:val="auto"/>
                <w:spacing w:val="0"/>
                <w:position w:val="0"/>
                <w:sz w:val="20"/>
                <w:szCs w:val="20"/>
                <w:shd w:val="clear" w:fill="auto"/>
              </w:rPr>
              <w:t>面漆</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20"/>
                <w:szCs w:val="20"/>
                <w:shd w:val="clear" w:fill="auto"/>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18"/>
                <w:szCs w:val="20"/>
                <w:shd w:val="clear" w:fill="auto"/>
              </w:rPr>
            </w:pPr>
            <w:r>
              <w:rPr>
                <w:rFonts w:ascii="宋体" w:hAnsi="宋体" w:eastAsia="宋体" w:cs="宋体"/>
                <w:color w:val="auto"/>
                <w:spacing w:val="0"/>
                <w:position w:val="0"/>
                <w:sz w:val="21"/>
                <w:szCs w:val="20"/>
                <w:shd w:val="clear" w:fill="auto"/>
              </w:rPr>
              <w:t>公斤</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18"/>
                <w:szCs w:val="20"/>
                <w:shd w:val="clear" w:fill="auto"/>
              </w:rPr>
            </w:pPr>
            <w:r>
              <w:rPr>
                <w:rFonts w:ascii="宋体" w:hAnsi="宋体" w:eastAsia="宋体" w:cs="宋体"/>
                <w:color w:val="auto"/>
                <w:spacing w:val="0"/>
                <w:position w:val="0"/>
                <w:sz w:val="21"/>
                <w:szCs w:val="20"/>
                <w:shd w:val="clear" w:fill="auto"/>
              </w:rPr>
              <w:t>暂定200</w:t>
            </w:r>
          </w:p>
        </w:tc>
        <w:tc>
          <w:tcPr>
            <w:tcW w:w="128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20"/>
                <w:szCs w:val="20"/>
                <w:shd w:val="clear" w:fill="auto"/>
              </w:rPr>
            </w:pPr>
            <w:r>
              <w:rPr>
                <w:rFonts w:ascii="宋体" w:hAnsi="宋体" w:eastAsia="宋体" w:cs="宋体"/>
                <w:color w:val="auto"/>
                <w:spacing w:val="0"/>
                <w:position w:val="0"/>
                <w:sz w:val="20"/>
                <w:szCs w:val="20"/>
                <w:shd w:val="clear" w:fill="auto"/>
              </w:rPr>
              <w:t>暂定290</w:t>
            </w:r>
          </w:p>
        </w:tc>
      </w:tr>
      <w:tr>
        <w:tblPrEx>
          <w:tblCellMar>
            <w:top w:w="0" w:type="dxa"/>
            <w:left w:w="10" w:type="dxa"/>
            <w:bottom w:w="0" w:type="dxa"/>
            <w:right w:w="10" w:type="dxa"/>
          </w:tblCellMar>
        </w:tblPrEx>
        <w:trPr>
          <w:trHeight w:val="359" w:hRule="atLeast"/>
        </w:trPr>
        <w:tc>
          <w:tcPr>
            <w:tcW w:w="1911" w:type="dxa"/>
            <w:vMerge w:val="continue"/>
            <w:tcBorders>
              <w:top w:val="single" w:color="000000" w:sz="0" w:space="0"/>
              <w:left w:val="single" w:color="000000" w:sz="4" w:space="0"/>
              <w:bottom w:val="single" w:color="000000" w:sz="0" w:space="0"/>
              <w:right w:val="single" w:color="000000" w:sz="4" w:space="0"/>
            </w:tcBorders>
            <w:shd w:val="clear" w:color="auto" w:fill="auto"/>
            <w:tcMar>
              <w:left w:w="108" w:type="dxa"/>
              <w:right w:w="108" w:type="dxa"/>
            </w:tcMar>
            <w:vAlign w:val="center"/>
          </w:tcPr>
          <w:p>
            <w:pPr>
              <w:spacing w:before="0" w:after="200" w:line="276" w:lineRule="auto"/>
              <w:ind w:left="0" w:right="0" w:firstLine="0"/>
              <w:jc w:val="left"/>
              <w:rPr>
                <w:rFonts w:ascii="宋体" w:hAnsi="宋体" w:eastAsia="宋体" w:cs="宋体"/>
                <w:color w:val="auto"/>
                <w:spacing w:val="0"/>
                <w:position w:val="0"/>
                <w:sz w:val="22"/>
                <w:shd w:val="clear" w:fill="auto"/>
              </w:rPr>
            </w:pPr>
          </w:p>
        </w:tc>
        <w:tc>
          <w:tcPr>
            <w:tcW w:w="24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20"/>
                <w:szCs w:val="20"/>
                <w:shd w:val="clear" w:fill="auto"/>
              </w:rPr>
            </w:pPr>
            <w:r>
              <w:rPr>
                <w:rFonts w:ascii="宋体" w:hAnsi="宋体" w:eastAsia="宋体" w:cs="宋体"/>
                <w:color w:val="auto"/>
                <w:spacing w:val="0"/>
                <w:position w:val="0"/>
                <w:sz w:val="20"/>
                <w:szCs w:val="20"/>
                <w:shd w:val="clear" w:fill="auto"/>
              </w:rPr>
              <w:t>固化剂</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20"/>
                <w:szCs w:val="20"/>
                <w:shd w:val="clear" w:fill="auto"/>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18"/>
                <w:szCs w:val="20"/>
                <w:shd w:val="clear" w:fill="auto"/>
              </w:rPr>
            </w:pPr>
            <w:r>
              <w:rPr>
                <w:rFonts w:ascii="宋体" w:hAnsi="宋体" w:eastAsia="宋体" w:cs="宋体"/>
                <w:color w:val="auto"/>
                <w:spacing w:val="0"/>
                <w:position w:val="0"/>
                <w:sz w:val="21"/>
                <w:szCs w:val="20"/>
                <w:shd w:val="clear" w:fill="auto"/>
              </w:rPr>
              <w:t>公斤</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18"/>
                <w:szCs w:val="20"/>
                <w:shd w:val="clear" w:fill="auto"/>
              </w:rPr>
            </w:pPr>
            <w:r>
              <w:rPr>
                <w:rFonts w:ascii="宋体" w:hAnsi="宋体" w:eastAsia="宋体" w:cs="宋体"/>
                <w:color w:val="auto"/>
                <w:spacing w:val="0"/>
                <w:position w:val="0"/>
                <w:sz w:val="21"/>
                <w:szCs w:val="20"/>
                <w:shd w:val="clear" w:fill="auto"/>
              </w:rPr>
              <w:t>暂定150</w:t>
            </w:r>
          </w:p>
        </w:tc>
        <w:tc>
          <w:tcPr>
            <w:tcW w:w="128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20"/>
                <w:szCs w:val="20"/>
                <w:shd w:val="clear" w:fill="auto"/>
              </w:rPr>
            </w:pPr>
            <w:r>
              <w:rPr>
                <w:rFonts w:ascii="宋体" w:hAnsi="宋体" w:eastAsia="宋体" w:cs="宋体"/>
                <w:color w:val="auto"/>
                <w:spacing w:val="0"/>
                <w:position w:val="0"/>
                <w:sz w:val="20"/>
                <w:szCs w:val="20"/>
                <w:shd w:val="clear" w:fill="auto"/>
              </w:rPr>
              <w:t>暂定220</w:t>
            </w:r>
          </w:p>
        </w:tc>
      </w:tr>
      <w:tr>
        <w:tblPrEx>
          <w:tblCellMar>
            <w:top w:w="0" w:type="dxa"/>
            <w:left w:w="10" w:type="dxa"/>
            <w:bottom w:w="0" w:type="dxa"/>
            <w:right w:w="10" w:type="dxa"/>
          </w:tblCellMar>
        </w:tblPrEx>
        <w:trPr>
          <w:trHeight w:val="359" w:hRule="atLeast"/>
        </w:trPr>
        <w:tc>
          <w:tcPr>
            <w:tcW w:w="1911" w:type="dxa"/>
            <w:vMerge w:val="continue"/>
            <w:tcBorders>
              <w:top w:val="single" w:color="000000" w:sz="0"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200" w:line="276" w:lineRule="auto"/>
              <w:ind w:left="0" w:right="0" w:firstLine="0"/>
              <w:jc w:val="left"/>
              <w:rPr>
                <w:rFonts w:ascii="宋体" w:hAnsi="宋体" w:eastAsia="宋体" w:cs="宋体"/>
                <w:color w:val="auto"/>
                <w:spacing w:val="0"/>
                <w:position w:val="0"/>
                <w:sz w:val="22"/>
                <w:shd w:val="clear" w:fill="auto"/>
              </w:rPr>
            </w:pPr>
          </w:p>
        </w:tc>
        <w:tc>
          <w:tcPr>
            <w:tcW w:w="24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20"/>
                <w:szCs w:val="20"/>
                <w:shd w:val="clear" w:fill="auto"/>
              </w:rPr>
            </w:pPr>
            <w:r>
              <w:rPr>
                <w:rFonts w:ascii="宋体" w:hAnsi="宋体" w:eastAsia="宋体" w:cs="宋体"/>
                <w:color w:val="auto"/>
                <w:spacing w:val="0"/>
                <w:position w:val="0"/>
                <w:sz w:val="20"/>
                <w:szCs w:val="20"/>
                <w:shd w:val="clear" w:fill="auto"/>
              </w:rPr>
              <w:t>稀料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20"/>
                <w:szCs w:val="20"/>
                <w:shd w:val="clear" w:fill="auto"/>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18"/>
                <w:szCs w:val="20"/>
                <w:shd w:val="clear" w:fill="auto"/>
              </w:rPr>
            </w:pPr>
            <w:r>
              <w:rPr>
                <w:rFonts w:ascii="宋体" w:hAnsi="宋体" w:eastAsia="宋体" w:cs="宋体"/>
                <w:color w:val="auto"/>
                <w:spacing w:val="0"/>
                <w:position w:val="0"/>
                <w:sz w:val="21"/>
                <w:szCs w:val="20"/>
                <w:shd w:val="clear" w:fill="auto"/>
              </w:rPr>
              <w:t>公斤</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18"/>
                <w:szCs w:val="20"/>
                <w:shd w:val="clear" w:fill="auto"/>
              </w:rPr>
            </w:pPr>
            <w:r>
              <w:rPr>
                <w:rFonts w:ascii="宋体" w:hAnsi="宋体" w:eastAsia="宋体" w:cs="宋体"/>
                <w:color w:val="auto"/>
                <w:spacing w:val="0"/>
                <w:position w:val="0"/>
                <w:sz w:val="21"/>
                <w:szCs w:val="20"/>
                <w:shd w:val="clear" w:fill="auto"/>
              </w:rPr>
              <w:t>暂定75</w:t>
            </w:r>
          </w:p>
        </w:tc>
        <w:tc>
          <w:tcPr>
            <w:tcW w:w="128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20"/>
                <w:szCs w:val="20"/>
                <w:shd w:val="clear" w:fill="auto"/>
              </w:rPr>
            </w:pPr>
            <w:r>
              <w:rPr>
                <w:rFonts w:ascii="宋体" w:hAnsi="宋体" w:eastAsia="宋体" w:cs="宋体"/>
                <w:color w:val="auto"/>
                <w:spacing w:val="0"/>
                <w:position w:val="0"/>
                <w:sz w:val="20"/>
                <w:szCs w:val="20"/>
                <w:shd w:val="clear" w:fill="auto"/>
              </w:rPr>
              <w:t>暂定110</w:t>
            </w:r>
          </w:p>
        </w:tc>
      </w:tr>
      <w:tr>
        <w:tblPrEx>
          <w:tblCellMar>
            <w:top w:w="0" w:type="dxa"/>
            <w:left w:w="10" w:type="dxa"/>
            <w:bottom w:w="0" w:type="dxa"/>
            <w:right w:w="10" w:type="dxa"/>
          </w:tblCellMar>
        </w:tblPrEx>
        <w:trPr>
          <w:trHeight w:val="580" w:hRule="atLeast"/>
        </w:trPr>
        <w:tc>
          <w:tcPr>
            <w:tcW w:w="191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440" w:lineRule="auto"/>
              <w:ind w:left="0" w:right="0" w:firstLine="0"/>
              <w:jc w:val="center"/>
              <w:rPr>
                <w:rFonts w:ascii="宋体" w:hAnsi="宋体" w:eastAsia="宋体" w:cs="宋体"/>
                <w:color w:val="auto"/>
                <w:spacing w:val="0"/>
                <w:position w:val="0"/>
                <w:shd w:val="clear" w:fill="auto"/>
              </w:rPr>
            </w:pPr>
            <w:r>
              <w:rPr>
                <w:rFonts w:ascii="宋体" w:hAnsi="宋体" w:eastAsia="宋体" w:cs="宋体"/>
                <w:color w:val="auto"/>
                <w:spacing w:val="0"/>
                <w:position w:val="0"/>
                <w:sz w:val="24"/>
                <w:shd w:val="clear" w:fill="auto"/>
              </w:rPr>
              <w:t>反光防撞条</w:t>
            </w:r>
          </w:p>
        </w:tc>
        <w:tc>
          <w:tcPr>
            <w:tcW w:w="24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20"/>
                <w:szCs w:val="20"/>
                <w:shd w:val="clear" w:fill="auto"/>
              </w:rPr>
            </w:pPr>
            <w:r>
              <w:rPr>
                <w:rFonts w:ascii="宋体" w:hAnsi="宋体" w:eastAsia="宋体" w:cs="宋体"/>
                <w:color w:val="auto"/>
                <w:spacing w:val="0"/>
                <w:position w:val="0"/>
                <w:sz w:val="20"/>
                <w:szCs w:val="20"/>
                <w:shd w:val="clear" w:fill="auto"/>
              </w:rPr>
              <w:t>60*8*0.8cm</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20"/>
                <w:szCs w:val="20"/>
                <w:shd w:val="clear" w:fill="auto"/>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18"/>
                <w:szCs w:val="20"/>
                <w:shd w:val="clear" w:fill="auto"/>
              </w:rPr>
            </w:pPr>
            <w:r>
              <w:rPr>
                <w:rFonts w:ascii="宋体" w:hAnsi="宋体" w:eastAsia="宋体" w:cs="宋体"/>
                <w:color w:val="auto"/>
                <w:spacing w:val="0"/>
                <w:position w:val="0"/>
                <w:sz w:val="21"/>
                <w:szCs w:val="20"/>
                <w:shd w:val="clear" w:fill="auto"/>
              </w:rPr>
              <w:t>个</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18"/>
                <w:szCs w:val="20"/>
                <w:shd w:val="clear" w:fill="auto"/>
              </w:rPr>
            </w:pPr>
            <w:r>
              <w:rPr>
                <w:rFonts w:ascii="宋体" w:hAnsi="宋体" w:eastAsia="宋体" w:cs="宋体"/>
                <w:color w:val="auto"/>
                <w:spacing w:val="0"/>
                <w:position w:val="0"/>
                <w:sz w:val="21"/>
                <w:szCs w:val="20"/>
                <w:shd w:val="clear" w:fill="auto"/>
              </w:rPr>
              <w:t>134</w:t>
            </w:r>
          </w:p>
        </w:tc>
        <w:tc>
          <w:tcPr>
            <w:tcW w:w="128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18"/>
                <w:szCs w:val="20"/>
                <w:shd w:val="clear" w:fill="auto"/>
              </w:rPr>
            </w:pPr>
            <w:r>
              <w:rPr>
                <w:rFonts w:ascii="宋体" w:hAnsi="宋体" w:eastAsia="宋体" w:cs="宋体"/>
                <w:color w:val="auto"/>
                <w:spacing w:val="0"/>
                <w:position w:val="0"/>
                <w:sz w:val="21"/>
                <w:szCs w:val="20"/>
                <w:shd w:val="clear" w:fill="auto"/>
              </w:rPr>
              <w:t>146</w:t>
            </w:r>
          </w:p>
        </w:tc>
      </w:tr>
      <w:tr>
        <w:tblPrEx>
          <w:tblCellMar>
            <w:top w:w="0" w:type="dxa"/>
            <w:left w:w="10" w:type="dxa"/>
            <w:bottom w:w="0" w:type="dxa"/>
            <w:right w:w="10" w:type="dxa"/>
          </w:tblCellMar>
        </w:tblPrEx>
        <w:trPr>
          <w:trHeight w:val="580" w:hRule="atLeast"/>
        </w:trPr>
        <w:tc>
          <w:tcPr>
            <w:tcW w:w="191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440" w:lineRule="auto"/>
              <w:ind w:left="0" w:right="0" w:firstLine="0"/>
              <w:jc w:val="center"/>
              <w:rPr>
                <w:rFonts w:hint="default" w:ascii="宋体" w:hAnsi="宋体" w:eastAsia="宋体" w:cs="宋体"/>
                <w:color w:val="auto"/>
                <w:spacing w:val="0"/>
                <w:position w:val="0"/>
                <w:sz w:val="24"/>
                <w:shd w:val="clear" w:fill="auto"/>
                <w:lang w:val="en-US" w:eastAsia="zh-CN"/>
              </w:rPr>
            </w:pPr>
            <w:r>
              <w:rPr>
                <w:rFonts w:hint="eastAsia" w:ascii="宋体" w:hAnsi="宋体" w:cs="宋体"/>
                <w:color w:val="auto"/>
                <w:spacing w:val="0"/>
                <w:position w:val="0"/>
                <w:sz w:val="24"/>
                <w:shd w:val="clear" w:fill="auto"/>
                <w:lang w:val="en-US" w:eastAsia="zh-CN"/>
              </w:rPr>
              <w:t>空气净化器</w:t>
            </w:r>
          </w:p>
        </w:tc>
        <w:tc>
          <w:tcPr>
            <w:tcW w:w="24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numPr>
                <w:ilvl w:val="0"/>
                <w:numId w:val="6"/>
              </w:numPr>
              <w:spacing w:before="0" w:after="0" w:line="274" w:lineRule="auto"/>
              <w:ind w:left="0" w:right="0" w:firstLine="0"/>
              <w:jc w:val="both"/>
              <w:rPr>
                <w:rFonts w:hint="eastAsia" w:ascii="宋体" w:hAnsi="宋体" w:cs="宋体"/>
                <w:color w:val="auto"/>
                <w:spacing w:val="0"/>
                <w:position w:val="0"/>
                <w:sz w:val="16"/>
                <w:szCs w:val="16"/>
                <w:shd w:val="clear" w:fill="auto"/>
                <w:lang w:val="en-US" w:eastAsia="zh-CN"/>
              </w:rPr>
            </w:pPr>
            <w:r>
              <w:rPr>
                <w:rFonts w:hint="eastAsia" w:ascii="宋体" w:hAnsi="宋体" w:cs="宋体"/>
                <w:color w:val="auto"/>
                <w:spacing w:val="0"/>
                <w:position w:val="0"/>
                <w:sz w:val="16"/>
                <w:szCs w:val="16"/>
                <w:shd w:val="clear" w:fill="auto"/>
                <w:lang w:val="en-US" w:eastAsia="zh-CN"/>
              </w:rPr>
              <w:t xml:space="preserve">产品尺寸：150*60*60  </w:t>
            </w:r>
          </w:p>
          <w:p>
            <w:pPr>
              <w:numPr>
                <w:ilvl w:val="0"/>
                <w:numId w:val="0"/>
              </w:numPr>
              <w:spacing w:before="0" w:after="0" w:line="274" w:lineRule="auto"/>
              <w:ind w:leftChars="0" w:right="0" w:rightChars="0"/>
              <w:jc w:val="both"/>
              <w:rPr>
                <w:rFonts w:hint="default" w:ascii="宋体" w:hAnsi="宋体" w:eastAsia="宋体" w:cs="宋体"/>
                <w:color w:val="auto"/>
                <w:spacing w:val="0"/>
                <w:position w:val="0"/>
                <w:sz w:val="20"/>
                <w:szCs w:val="20"/>
                <w:shd w:val="clear" w:fill="auto"/>
                <w:lang w:val="en-US" w:eastAsia="zh-CN"/>
              </w:rPr>
            </w:pPr>
            <w:r>
              <w:rPr>
                <w:rFonts w:hint="eastAsia" w:ascii="宋体" w:hAnsi="宋体" w:cs="宋体"/>
                <w:color w:val="auto"/>
                <w:spacing w:val="0"/>
                <w:position w:val="0"/>
                <w:sz w:val="16"/>
                <w:szCs w:val="16"/>
                <w:shd w:val="clear" w:fill="auto"/>
                <w:lang w:val="en-US" w:eastAsia="zh-CN"/>
              </w:rPr>
              <w:t>2、产品功能：杀菌、消毒、除异味。3、臭氧输出：200mg/h</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ascii="宋体" w:hAnsi="宋体" w:eastAsia="宋体" w:cs="宋体"/>
                <w:color w:val="auto"/>
                <w:spacing w:val="0"/>
                <w:position w:val="0"/>
                <w:sz w:val="20"/>
                <w:szCs w:val="20"/>
                <w:shd w:val="clear" w:fill="auto"/>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hint="eastAsia" w:ascii="宋体" w:hAnsi="宋体" w:eastAsia="宋体" w:cs="宋体"/>
                <w:color w:val="auto"/>
                <w:spacing w:val="0"/>
                <w:position w:val="0"/>
                <w:sz w:val="21"/>
                <w:szCs w:val="20"/>
                <w:shd w:val="clear" w:fill="auto"/>
                <w:lang w:val="en-US" w:eastAsia="zh-CN"/>
              </w:rPr>
            </w:pPr>
            <w:r>
              <w:rPr>
                <w:rFonts w:hint="eastAsia" w:ascii="宋体" w:hAnsi="宋体" w:cs="宋体"/>
                <w:color w:val="auto"/>
                <w:spacing w:val="0"/>
                <w:position w:val="0"/>
                <w:sz w:val="21"/>
                <w:szCs w:val="20"/>
                <w:shd w:val="clear" w:fill="auto"/>
                <w:lang w:val="en-US" w:eastAsia="zh-CN"/>
              </w:rPr>
              <w:t>台</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hint="default" w:ascii="宋体" w:hAnsi="宋体" w:eastAsia="宋体" w:cs="宋体"/>
                <w:color w:val="auto"/>
                <w:spacing w:val="0"/>
                <w:position w:val="0"/>
                <w:sz w:val="21"/>
                <w:szCs w:val="20"/>
                <w:shd w:val="clear" w:fill="auto"/>
                <w:lang w:val="en-US" w:eastAsia="zh-CN"/>
              </w:rPr>
            </w:pPr>
            <w:r>
              <w:rPr>
                <w:rFonts w:hint="eastAsia" w:ascii="宋体" w:hAnsi="宋体" w:cs="宋体"/>
                <w:color w:val="auto"/>
                <w:spacing w:val="0"/>
                <w:position w:val="0"/>
                <w:sz w:val="21"/>
                <w:szCs w:val="20"/>
                <w:shd w:val="clear" w:fill="auto"/>
                <w:lang w:val="en-US" w:eastAsia="zh-CN"/>
              </w:rPr>
              <w:t>67</w:t>
            </w:r>
          </w:p>
        </w:tc>
        <w:tc>
          <w:tcPr>
            <w:tcW w:w="128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0" w:firstLine="0"/>
              <w:jc w:val="center"/>
              <w:rPr>
                <w:rFonts w:hint="default" w:ascii="宋体" w:hAnsi="宋体" w:eastAsia="宋体" w:cs="宋体"/>
                <w:color w:val="auto"/>
                <w:spacing w:val="0"/>
                <w:position w:val="0"/>
                <w:sz w:val="21"/>
                <w:szCs w:val="20"/>
                <w:shd w:val="clear" w:fill="auto"/>
                <w:lang w:val="en-US" w:eastAsia="zh-CN"/>
              </w:rPr>
            </w:pPr>
            <w:r>
              <w:rPr>
                <w:rFonts w:hint="eastAsia" w:ascii="宋体" w:hAnsi="宋体" w:cs="宋体"/>
                <w:color w:val="auto"/>
                <w:spacing w:val="0"/>
                <w:position w:val="0"/>
                <w:sz w:val="21"/>
                <w:szCs w:val="20"/>
                <w:shd w:val="clear" w:fill="auto"/>
                <w:lang w:val="en-US" w:eastAsia="zh-CN"/>
              </w:rPr>
              <w:t>73</w:t>
            </w:r>
          </w:p>
        </w:tc>
      </w:tr>
    </w:tbl>
    <w:p>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jc w:val="both"/>
        <w:textAlignment w:val="auto"/>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注：</w:t>
      </w:r>
    </w:p>
    <w:p>
      <w:pPr>
        <w:keepNext w:val="0"/>
        <w:keepLines w:val="0"/>
        <w:pageBreakBefore w:val="0"/>
        <w:widowControl w:val="0"/>
        <w:numPr>
          <w:ilvl w:val="0"/>
          <w:numId w:val="7"/>
        </w:numPr>
        <w:kinsoku/>
        <w:wordWrap/>
        <w:overflowPunct/>
        <w:topLinePunct w:val="0"/>
        <w:autoSpaceDE/>
        <w:autoSpaceDN/>
        <w:bidi w:val="0"/>
        <w:adjustRightInd/>
        <w:snapToGrid/>
        <w:spacing w:before="0" w:after="0" w:line="400" w:lineRule="exact"/>
        <w:ind w:left="0" w:right="0" w:firstLine="0"/>
        <w:jc w:val="both"/>
        <w:textAlignment w:val="auto"/>
        <w:rPr>
          <w:rFonts w:ascii="宋体" w:hAnsi="宋体" w:eastAsia="宋体" w:cs="宋体"/>
          <w:color w:val="auto"/>
          <w:spacing w:val="0"/>
          <w:position w:val="0"/>
          <w:sz w:val="24"/>
          <w:shd w:val="clear" w:fill="auto"/>
        </w:rPr>
      </w:pPr>
      <w:r>
        <w:rPr>
          <w:rFonts w:hint="eastAsia" w:ascii="宋体" w:hAnsi="宋体" w:eastAsia="宋体" w:cs="宋体"/>
          <w:color w:val="auto"/>
          <w:spacing w:val="0"/>
          <w:position w:val="0"/>
          <w:sz w:val="24"/>
          <w:shd w:val="clear" w:fill="auto"/>
          <w:lang w:eastAsia="zh-CN"/>
        </w:rPr>
        <w:t>投标人</w:t>
      </w:r>
      <w:r>
        <w:rPr>
          <w:rFonts w:ascii="宋体" w:hAnsi="宋体" w:eastAsia="宋体" w:cs="宋体"/>
          <w:color w:val="auto"/>
          <w:spacing w:val="0"/>
          <w:position w:val="0"/>
          <w:sz w:val="24"/>
          <w:shd w:val="clear" w:fill="auto"/>
        </w:rPr>
        <w:t>须按照本项目的技术参数要求提供产品，所提供的所有产品均须符合国家产品的有关质量标准。</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ind w:leftChars="0" w:right="0" w:rightChars="0"/>
        <w:jc w:val="both"/>
        <w:textAlignment w:val="auto"/>
        <w:rPr>
          <w:rFonts w:hint="default" w:ascii="宋体" w:hAnsi="宋体" w:eastAsia="宋体" w:cs="宋体"/>
          <w:color w:val="auto"/>
          <w:spacing w:val="0"/>
          <w:position w:val="0"/>
          <w:sz w:val="24"/>
          <w:shd w:val="clear" w:fill="auto"/>
          <w:lang w:val="en-US" w:eastAsia="zh-CN"/>
        </w:rPr>
      </w:pPr>
      <w:r>
        <w:rPr>
          <w:rFonts w:ascii="宋体" w:hAnsi="宋体" w:eastAsia="宋体" w:cs="宋体"/>
          <w:b/>
          <w:color w:val="auto"/>
          <w:spacing w:val="0"/>
          <w:position w:val="0"/>
          <w:sz w:val="24"/>
          <w:shd w:val="clear" w:fill="auto"/>
        </w:rPr>
        <w:t>★</w:t>
      </w:r>
      <w:r>
        <w:rPr>
          <w:rFonts w:hint="eastAsia" w:ascii="宋体" w:hAnsi="宋体" w:eastAsia="宋体" w:cs="宋体"/>
          <w:b/>
          <w:color w:val="auto"/>
          <w:spacing w:val="0"/>
          <w:position w:val="0"/>
          <w:sz w:val="24"/>
          <w:shd w:val="clear" w:fill="auto"/>
          <w:lang w:val="en-US" w:eastAsia="zh-CN"/>
        </w:rPr>
        <w:t>并</w:t>
      </w:r>
      <w:r>
        <w:rPr>
          <w:rFonts w:ascii="宋体" w:hAnsi="宋体" w:eastAsia="宋体" w:cs="宋体"/>
          <w:b/>
          <w:color w:val="auto"/>
          <w:spacing w:val="0"/>
          <w:position w:val="0"/>
          <w:sz w:val="24"/>
          <w:shd w:val="clear" w:fill="auto"/>
        </w:rPr>
        <w:t>提供</w:t>
      </w:r>
      <w:r>
        <w:rPr>
          <w:rFonts w:hint="eastAsia" w:ascii="宋体" w:hAnsi="宋体" w:eastAsia="宋体" w:cs="宋体"/>
          <w:b/>
          <w:color w:val="auto"/>
          <w:spacing w:val="0"/>
          <w:position w:val="0"/>
          <w:sz w:val="24"/>
          <w:shd w:val="clear" w:fill="auto"/>
          <w:lang w:val="en-US" w:eastAsia="zh-CN"/>
        </w:rPr>
        <w:t>所报</w:t>
      </w:r>
      <w:r>
        <w:rPr>
          <w:rFonts w:ascii="宋体" w:hAnsi="宋体" w:eastAsia="宋体" w:cs="宋体"/>
          <w:b/>
          <w:color w:val="auto"/>
          <w:spacing w:val="0"/>
          <w:position w:val="0"/>
          <w:sz w:val="24"/>
          <w:shd w:val="clear" w:fill="auto"/>
        </w:rPr>
        <w:t>产品</w:t>
      </w:r>
      <w:r>
        <w:rPr>
          <w:rFonts w:hint="eastAsia" w:ascii="宋体" w:hAnsi="宋体" w:eastAsia="宋体" w:cs="宋体"/>
          <w:b/>
          <w:color w:val="auto"/>
          <w:spacing w:val="0"/>
          <w:position w:val="0"/>
          <w:sz w:val="24"/>
          <w:shd w:val="clear" w:fill="auto"/>
          <w:lang w:val="en-US" w:eastAsia="zh-CN"/>
        </w:rPr>
        <w:t>的</w:t>
      </w:r>
      <w:r>
        <w:rPr>
          <w:rFonts w:ascii="宋体" w:hAnsi="宋体" w:eastAsia="宋体" w:cs="宋体"/>
          <w:b/>
          <w:color w:val="auto"/>
          <w:spacing w:val="0"/>
          <w:position w:val="0"/>
          <w:sz w:val="24"/>
          <w:shd w:val="clear" w:fill="auto"/>
        </w:rPr>
        <w:t>CAD</w:t>
      </w:r>
      <w:r>
        <w:rPr>
          <w:rFonts w:hint="eastAsia" w:ascii="宋体" w:hAnsi="宋体" w:eastAsia="宋体" w:cs="宋体"/>
          <w:b/>
          <w:color w:val="auto"/>
          <w:spacing w:val="0"/>
          <w:position w:val="0"/>
          <w:sz w:val="24"/>
          <w:shd w:val="clear" w:fill="auto"/>
          <w:lang w:val="en-US" w:eastAsia="zh-CN"/>
        </w:rPr>
        <w:t>施工</w:t>
      </w:r>
      <w:r>
        <w:rPr>
          <w:rFonts w:ascii="宋体" w:hAnsi="宋体" w:eastAsia="宋体" w:cs="宋体"/>
          <w:b/>
          <w:color w:val="auto"/>
          <w:spacing w:val="0"/>
          <w:position w:val="0"/>
          <w:sz w:val="24"/>
          <w:shd w:val="clear" w:fill="auto"/>
        </w:rPr>
        <w:t>图纸</w:t>
      </w:r>
      <w:r>
        <w:rPr>
          <w:rFonts w:hint="eastAsia" w:ascii="宋体" w:hAnsi="宋体" w:eastAsia="宋体" w:cs="宋体"/>
          <w:b/>
          <w:color w:val="auto"/>
          <w:spacing w:val="0"/>
          <w:position w:val="0"/>
          <w:sz w:val="24"/>
          <w:shd w:val="clear" w:fill="auto"/>
          <w:lang w:eastAsia="zh-CN"/>
        </w:rPr>
        <w:t>，</w:t>
      </w:r>
      <w:r>
        <w:rPr>
          <w:rFonts w:hint="eastAsia" w:ascii="宋体" w:hAnsi="宋体" w:eastAsia="宋体" w:cs="宋体"/>
          <w:b/>
          <w:color w:val="auto"/>
          <w:spacing w:val="0"/>
          <w:position w:val="0"/>
          <w:sz w:val="24"/>
          <w:shd w:val="clear" w:fill="auto"/>
          <w:lang w:val="en-US" w:eastAsia="zh-CN"/>
        </w:rPr>
        <w:t>根据参考图片自行设计。</w:t>
      </w:r>
    </w:p>
    <w:p>
      <w:pPr>
        <w:keepNext w:val="0"/>
        <w:keepLines w:val="0"/>
        <w:pageBreakBefore w:val="0"/>
        <w:widowControl w:val="0"/>
        <w:numPr>
          <w:ilvl w:val="0"/>
          <w:numId w:val="7"/>
        </w:numPr>
        <w:kinsoku/>
        <w:wordWrap/>
        <w:overflowPunct/>
        <w:topLinePunct w:val="0"/>
        <w:autoSpaceDE/>
        <w:autoSpaceDN/>
        <w:bidi w:val="0"/>
        <w:adjustRightInd/>
        <w:snapToGrid/>
        <w:spacing w:before="0" w:after="0" w:line="400" w:lineRule="exact"/>
        <w:ind w:left="0" w:leftChars="0" w:right="6" w:firstLine="0" w:firstLineChars="0"/>
        <w:jc w:val="both"/>
        <w:textAlignment w:val="auto"/>
        <w:rPr>
          <w:rFonts w:ascii="宋体" w:hAnsi="宋体" w:eastAsia="宋体" w:cs="宋体"/>
          <w:color w:val="auto"/>
          <w:spacing w:val="0"/>
          <w:position w:val="0"/>
          <w:sz w:val="24"/>
          <w:shd w:val="clear" w:fill="auto"/>
        </w:rPr>
      </w:pPr>
      <w:r>
        <w:rPr>
          <w:rFonts w:hint="eastAsia" w:ascii="宋体" w:hAnsi="宋体" w:eastAsia="宋体" w:cs="宋体"/>
          <w:color w:val="auto"/>
          <w:spacing w:val="0"/>
          <w:position w:val="0"/>
          <w:sz w:val="24"/>
          <w:shd w:val="clear" w:fill="auto"/>
          <w:lang w:eastAsia="zh-CN"/>
        </w:rPr>
        <w:t>投标人</w:t>
      </w:r>
      <w:r>
        <w:rPr>
          <w:rFonts w:ascii="宋体" w:hAnsi="宋体" w:eastAsia="宋体" w:cs="宋体"/>
          <w:color w:val="auto"/>
          <w:spacing w:val="0"/>
          <w:position w:val="0"/>
          <w:sz w:val="24"/>
          <w:shd w:val="clear" w:fill="auto"/>
        </w:rPr>
        <w:t>所提供的</w:t>
      </w:r>
      <w:r>
        <w:rPr>
          <w:rFonts w:hint="eastAsia" w:ascii="宋体" w:hAnsi="宋体" w:cs="宋体"/>
          <w:color w:val="auto"/>
          <w:spacing w:val="0"/>
          <w:position w:val="0"/>
          <w:sz w:val="24"/>
          <w:shd w:val="clear" w:fill="auto"/>
          <w:lang w:eastAsia="zh-CN"/>
        </w:rPr>
        <w:t>投标文件</w:t>
      </w:r>
      <w:r>
        <w:rPr>
          <w:rFonts w:ascii="宋体" w:hAnsi="宋体" w:eastAsia="宋体" w:cs="宋体"/>
          <w:color w:val="auto"/>
          <w:spacing w:val="0"/>
          <w:position w:val="0"/>
          <w:sz w:val="24"/>
          <w:shd w:val="clear" w:fill="auto"/>
        </w:rPr>
        <w:t>应满足</w:t>
      </w:r>
      <w:r>
        <w:rPr>
          <w:rFonts w:hint="eastAsia" w:ascii="宋体" w:hAnsi="宋体" w:cs="宋体"/>
          <w:color w:val="auto"/>
          <w:spacing w:val="0"/>
          <w:position w:val="0"/>
          <w:sz w:val="24"/>
          <w:shd w:val="clear" w:fill="auto"/>
          <w:lang w:eastAsia="zh-CN"/>
        </w:rPr>
        <w:t>招标文件</w:t>
      </w:r>
      <w:r>
        <w:rPr>
          <w:rFonts w:ascii="宋体" w:hAnsi="宋体" w:eastAsia="宋体" w:cs="宋体"/>
          <w:color w:val="auto"/>
          <w:spacing w:val="0"/>
          <w:position w:val="0"/>
          <w:sz w:val="24"/>
          <w:shd w:val="clear" w:fill="auto"/>
        </w:rPr>
        <w:t>要求，本项目不接受替代方案或其他备选方案。</w:t>
      </w:r>
    </w:p>
    <w:p>
      <w:pPr>
        <w:keepNext w:val="0"/>
        <w:keepLines w:val="0"/>
        <w:pageBreakBefore w:val="0"/>
        <w:widowControl w:val="0"/>
        <w:kinsoku/>
        <w:wordWrap/>
        <w:overflowPunct/>
        <w:topLinePunct w:val="0"/>
        <w:autoSpaceDE/>
        <w:autoSpaceDN/>
        <w:bidi w:val="0"/>
        <w:adjustRightInd/>
        <w:snapToGrid/>
        <w:spacing w:before="0" w:after="0" w:line="400" w:lineRule="exact"/>
        <w:ind w:left="-1" w:right="6" w:hanging="112"/>
        <w:jc w:val="both"/>
        <w:textAlignment w:val="auto"/>
        <w:rPr>
          <w:rFonts w:ascii="宋体" w:hAnsi="宋体" w:eastAsia="宋体" w:cs="宋体"/>
          <w:b/>
          <w:bCs/>
          <w:color w:val="auto"/>
          <w:spacing w:val="0"/>
          <w:position w:val="0"/>
          <w:sz w:val="24"/>
          <w:shd w:val="clear" w:fill="auto"/>
        </w:rPr>
      </w:pPr>
      <w:r>
        <w:rPr>
          <w:rFonts w:ascii="宋体" w:hAnsi="宋体" w:eastAsia="宋体" w:cs="宋体"/>
          <w:b/>
          <w:bCs/>
          <w:color w:val="auto"/>
          <w:spacing w:val="0"/>
          <w:position w:val="0"/>
          <w:sz w:val="24"/>
          <w:shd w:val="clear" w:fill="auto"/>
        </w:rPr>
        <w:t>六、售后服务及配送安装要求</w:t>
      </w:r>
    </w:p>
    <w:p>
      <w:pPr>
        <w:keepNext w:val="0"/>
        <w:keepLines w:val="0"/>
        <w:pageBreakBefore w:val="0"/>
        <w:widowControl w:val="0"/>
        <w:kinsoku/>
        <w:wordWrap/>
        <w:overflowPunct/>
        <w:topLinePunct w:val="0"/>
        <w:autoSpaceDE/>
        <w:autoSpaceDN/>
        <w:bidi w:val="0"/>
        <w:adjustRightInd/>
        <w:snapToGrid/>
        <w:spacing w:before="0" w:after="0" w:line="400" w:lineRule="exact"/>
        <w:ind w:left="-1" w:right="6" w:hanging="112"/>
        <w:jc w:val="both"/>
        <w:textAlignment w:val="auto"/>
        <w:rPr>
          <w:rFonts w:ascii="仿宋_GB2312" w:hAnsi="仿宋_GB2312" w:eastAsia="仿宋_GB2312" w:cs="仿宋_GB2312"/>
          <w:b/>
          <w:color w:val="auto"/>
          <w:spacing w:val="0"/>
          <w:position w:val="0"/>
          <w:sz w:val="24"/>
          <w:shd w:val="clear" w:fill="auto"/>
        </w:rPr>
      </w:pPr>
      <w:r>
        <w:rPr>
          <w:rFonts w:ascii="宋体" w:hAnsi="宋体" w:eastAsia="宋体" w:cs="宋体"/>
          <w:color w:val="auto"/>
          <w:spacing w:val="0"/>
          <w:position w:val="0"/>
          <w:sz w:val="24"/>
          <w:shd w:val="clear" w:fill="auto"/>
        </w:rPr>
        <w:t>1.服务时间：接到使用方报修电话后，2 小时内予以响应并到达现场，4 小时内解决问题；否则，使用方将自行采取必要的措施，由此产生的风险和费用应由</w:t>
      </w:r>
      <w:r>
        <w:rPr>
          <w:rFonts w:hint="eastAsia" w:ascii="宋体" w:hAnsi="宋体" w:cs="宋体"/>
          <w:color w:val="auto"/>
          <w:spacing w:val="0"/>
          <w:position w:val="0"/>
          <w:sz w:val="24"/>
          <w:shd w:val="clear" w:fill="auto"/>
          <w:lang w:eastAsia="zh-CN"/>
        </w:rPr>
        <w:t>中标</w:t>
      </w:r>
      <w:r>
        <w:rPr>
          <w:rFonts w:hint="eastAsia" w:ascii="宋体" w:hAnsi="宋体" w:eastAsia="宋体" w:cs="宋体"/>
          <w:color w:val="auto"/>
          <w:spacing w:val="0"/>
          <w:position w:val="0"/>
          <w:sz w:val="24"/>
          <w:shd w:val="clear" w:fill="auto"/>
          <w:lang w:eastAsia="zh-CN"/>
        </w:rPr>
        <w:t>人</w:t>
      </w:r>
      <w:r>
        <w:rPr>
          <w:rFonts w:ascii="宋体" w:hAnsi="宋体" w:eastAsia="宋体" w:cs="宋体"/>
          <w:color w:val="auto"/>
          <w:spacing w:val="0"/>
          <w:position w:val="0"/>
          <w:sz w:val="24"/>
          <w:shd w:val="clear" w:fill="auto"/>
        </w:rPr>
        <w:t>承担；提供 24 小时报修服务电话，保证 24 小时开通。</w:t>
      </w:r>
    </w:p>
    <w:p>
      <w:pPr>
        <w:keepNext w:val="0"/>
        <w:keepLines w:val="0"/>
        <w:pageBreakBefore w:val="0"/>
        <w:widowControl w:val="0"/>
        <w:kinsoku/>
        <w:wordWrap/>
        <w:overflowPunct/>
        <w:topLinePunct w:val="0"/>
        <w:autoSpaceDE/>
        <w:autoSpaceDN/>
        <w:bidi w:val="0"/>
        <w:adjustRightInd/>
        <w:snapToGrid/>
        <w:spacing w:before="0" w:after="0" w:line="400" w:lineRule="exact"/>
        <w:ind w:left="-1" w:right="6" w:hanging="112"/>
        <w:jc w:val="both"/>
        <w:textAlignment w:val="auto"/>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2.质保期：提供不少于</w:t>
      </w:r>
      <w:r>
        <w:rPr>
          <w:rFonts w:hint="eastAsia" w:ascii="宋体" w:hAnsi="宋体" w:eastAsia="宋体" w:cs="宋体"/>
          <w:color w:val="auto"/>
          <w:spacing w:val="0"/>
          <w:position w:val="0"/>
          <w:sz w:val="24"/>
          <w:shd w:val="clear" w:fill="auto"/>
          <w:lang w:val="en-US" w:eastAsia="zh-CN"/>
        </w:rPr>
        <w:t>一</w:t>
      </w:r>
      <w:r>
        <w:rPr>
          <w:rFonts w:ascii="宋体" w:hAnsi="宋体" w:eastAsia="宋体" w:cs="宋体"/>
          <w:color w:val="auto"/>
          <w:spacing w:val="0"/>
          <w:position w:val="0"/>
          <w:sz w:val="24"/>
          <w:shd w:val="clear" w:fill="auto"/>
        </w:rPr>
        <w:t>年的免费质量保证期。质保期内一切维修、保养所产生的人工费、材料费等均由</w:t>
      </w:r>
      <w:r>
        <w:rPr>
          <w:rFonts w:hint="eastAsia" w:ascii="宋体" w:hAnsi="宋体" w:cs="宋体"/>
          <w:color w:val="auto"/>
          <w:spacing w:val="0"/>
          <w:position w:val="0"/>
          <w:sz w:val="24"/>
          <w:shd w:val="clear" w:fill="auto"/>
          <w:lang w:eastAsia="zh-CN"/>
        </w:rPr>
        <w:t>中标</w:t>
      </w:r>
      <w:r>
        <w:rPr>
          <w:rFonts w:hint="eastAsia" w:ascii="宋体" w:hAnsi="宋体" w:eastAsia="宋体" w:cs="宋体"/>
          <w:color w:val="auto"/>
          <w:spacing w:val="0"/>
          <w:position w:val="0"/>
          <w:sz w:val="24"/>
          <w:shd w:val="clear" w:fill="auto"/>
          <w:lang w:eastAsia="zh-CN"/>
        </w:rPr>
        <w:t>人</w:t>
      </w:r>
      <w:r>
        <w:rPr>
          <w:rFonts w:ascii="宋体" w:hAnsi="宋体" w:eastAsia="宋体" w:cs="宋体"/>
          <w:color w:val="auto"/>
          <w:spacing w:val="0"/>
          <w:position w:val="0"/>
          <w:sz w:val="24"/>
          <w:shd w:val="clear" w:fill="auto"/>
        </w:rPr>
        <w:t>承担。在质保期内，同一产品、同一质量问题连续两次维修仍无法正常使用的，须更换同品牌、同型号新产品，并对产品质量实行“三包”服务。在质保期外,提供产品的更换、维修只收取配件成本费用,不收取人工技术费用。</w:t>
      </w:r>
    </w:p>
    <w:p>
      <w:pPr>
        <w:keepNext w:val="0"/>
        <w:keepLines w:val="0"/>
        <w:pageBreakBefore w:val="0"/>
        <w:widowControl w:val="0"/>
        <w:kinsoku/>
        <w:wordWrap/>
        <w:overflowPunct/>
        <w:topLinePunct w:val="0"/>
        <w:autoSpaceDE/>
        <w:autoSpaceDN/>
        <w:bidi w:val="0"/>
        <w:adjustRightInd/>
        <w:snapToGrid/>
        <w:spacing w:before="0" w:after="0" w:line="400" w:lineRule="exact"/>
        <w:ind w:left="-1" w:right="6" w:hanging="112"/>
        <w:jc w:val="both"/>
        <w:textAlignment w:val="auto"/>
        <w:rPr>
          <w:rFonts w:ascii="仿宋_GB2312" w:hAnsi="仿宋_GB2312" w:eastAsia="仿宋_GB2312" w:cs="仿宋_GB2312"/>
          <w:b/>
          <w:color w:val="auto"/>
          <w:spacing w:val="0"/>
          <w:position w:val="0"/>
          <w:sz w:val="24"/>
          <w:shd w:val="clear" w:fill="auto"/>
        </w:rPr>
      </w:pPr>
      <w:r>
        <w:rPr>
          <w:rFonts w:ascii="宋体" w:hAnsi="宋体" w:eastAsia="宋体" w:cs="宋体"/>
          <w:color w:val="auto"/>
          <w:spacing w:val="0"/>
          <w:position w:val="0"/>
          <w:sz w:val="24"/>
          <w:shd w:val="clear" w:fill="auto"/>
        </w:rPr>
        <w:t>3.所投产品出现质量问题 2 天内不能修复的，须免费提供备用产品。</w:t>
      </w:r>
    </w:p>
    <w:p>
      <w:pPr>
        <w:keepNext w:val="0"/>
        <w:keepLines w:val="0"/>
        <w:pageBreakBefore w:val="0"/>
        <w:widowControl w:val="0"/>
        <w:kinsoku/>
        <w:wordWrap/>
        <w:overflowPunct/>
        <w:topLinePunct w:val="0"/>
        <w:autoSpaceDE/>
        <w:autoSpaceDN/>
        <w:bidi w:val="0"/>
        <w:adjustRightInd/>
        <w:snapToGrid/>
        <w:spacing w:before="0" w:after="0" w:line="400" w:lineRule="exact"/>
        <w:ind w:left="-1" w:right="6" w:hanging="112"/>
        <w:jc w:val="both"/>
        <w:textAlignment w:val="auto"/>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4.质保期满后的服务：质保期满后</w:t>
      </w:r>
      <w:r>
        <w:rPr>
          <w:rFonts w:hint="eastAsia" w:ascii="宋体" w:hAnsi="宋体" w:cs="宋体"/>
          <w:color w:val="auto"/>
          <w:spacing w:val="0"/>
          <w:position w:val="0"/>
          <w:sz w:val="24"/>
          <w:shd w:val="clear" w:fill="auto"/>
          <w:lang w:eastAsia="zh-CN"/>
        </w:rPr>
        <w:t>中标</w:t>
      </w:r>
      <w:r>
        <w:rPr>
          <w:rFonts w:hint="eastAsia" w:ascii="宋体" w:hAnsi="宋体" w:eastAsia="宋体" w:cs="宋体"/>
          <w:color w:val="auto"/>
          <w:spacing w:val="0"/>
          <w:position w:val="0"/>
          <w:sz w:val="24"/>
          <w:shd w:val="clear" w:fill="auto"/>
          <w:lang w:eastAsia="zh-CN"/>
        </w:rPr>
        <w:t>人</w:t>
      </w:r>
      <w:r>
        <w:rPr>
          <w:rFonts w:ascii="宋体" w:hAnsi="宋体" w:eastAsia="宋体" w:cs="宋体"/>
          <w:color w:val="auto"/>
          <w:spacing w:val="0"/>
          <w:position w:val="0"/>
          <w:sz w:val="24"/>
          <w:shd w:val="clear" w:fill="auto"/>
        </w:rPr>
        <w:t>必须继续提供终生保养服务，并提供优惠的修理服务与免费的指导修理服务。</w:t>
      </w:r>
    </w:p>
    <w:p>
      <w:pPr>
        <w:keepNext w:val="0"/>
        <w:keepLines w:val="0"/>
        <w:pageBreakBefore w:val="0"/>
        <w:widowControl w:val="0"/>
        <w:kinsoku/>
        <w:wordWrap/>
        <w:overflowPunct/>
        <w:topLinePunct w:val="0"/>
        <w:autoSpaceDE/>
        <w:autoSpaceDN/>
        <w:bidi w:val="0"/>
        <w:adjustRightInd/>
        <w:snapToGrid/>
        <w:spacing w:before="0" w:after="0" w:line="400" w:lineRule="exact"/>
        <w:ind w:left="-1" w:right="6" w:hanging="112"/>
        <w:jc w:val="both"/>
        <w:textAlignment w:val="auto"/>
        <w:rPr>
          <w:rFonts w:ascii="仿宋_GB2312" w:hAnsi="仿宋_GB2312" w:eastAsia="仿宋_GB2312" w:cs="仿宋_GB2312"/>
          <w:b/>
          <w:color w:val="auto"/>
          <w:spacing w:val="0"/>
          <w:position w:val="0"/>
          <w:sz w:val="24"/>
          <w:shd w:val="clear" w:fill="auto"/>
        </w:rPr>
      </w:pPr>
      <w:r>
        <w:rPr>
          <w:rFonts w:ascii="宋体" w:hAnsi="宋体" w:eastAsia="宋体" w:cs="宋体"/>
          <w:color w:val="auto"/>
          <w:spacing w:val="0"/>
          <w:position w:val="0"/>
          <w:sz w:val="24"/>
          <w:shd w:val="clear" w:fill="auto"/>
        </w:rPr>
        <w:t>5.提供验收标准、货物清单。货物按照采购人要求运输至发标方指定地点由发标方指定负责人进行验收、签字。</w:t>
      </w:r>
    </w:p>
    <w:p>
      <w:pPr>
        <w:keepNext w:val="0"/>
        <w:keepLines w:val="0"/>
        <w:pageBreakBefore w:val="0"/>
        <w:widowControl w:val="0"/>
        <w:kinsoku/>
        <w:wordWrap/>
        <w:overflowPunct/>
        <w:topLinePunct w:val="0"/>
        <w:autoSpaceDE/>
        <w:autoSpaceDN/>
        <w:bidi w:val="0"/>
        <w:adjustRightInd/>
        <w:snapToGrid/>
        <w:spacing w:before="0" w:after="0" w:line="400" w:lineRule="exact"/>
        <w:ind w:left="-1" w:right="6" w:hanging="112"/>
        <w:jc w:val="both"/>
        <w:textAlignment w:val="auto"/>
        <w:rPr>
          <w:rFonts w:ascii="仿宋_GB2312" w:hAnsi="仿宋_GB2312" w:eastAsia="仿宋_GB2312" w:cs="仿宋_GB2312"/>
          <w:b/>
          <w:color w:val="auto"/>
          <w:spacing w:val="0"/>
          <w:position w:val="0"/>
          <w:sz w:val="24"/>
          <w:shd w:val="clear" w:fill="auto"/>
        </w:rPr>
      </w:pPr>
      <w:r>
        <w:rPr>
          <w:rFonts w:ascii="宋体" w:hAnsi="宋体" w:eastAsia="宋体" w:cs="宋体"/>
          <w:color w:val="auto"/>
          <w:spacing w:val="0"/>
          <w:position w:val="0"/>
          <w:sz w:val="24"/>
          <w:shd w:val="clear" w:fill="auto"/>
        </w:rPr>
        <w:t>6.在产品的设计使用寿命周期内，</w:t>
      </w:r>
      <w:r>
        <w:rPr>
          <w:rFonts w:hint="eastAsia" w:ascii="宋体" w:hAnsi="宋体" w:cs="宋体"/>
          <w:color w:val="auto"/>
          <w:spacing w:val="0"/>
          <w:position w:val="0"/>
          <w:sz w:val="24"/>
          <w:shd w:val="clear" w:fill="auto"/>
          <w:lang w:eastAsia="zh-CN"/>
        </w:rPr>
        <w:t>中标</w:t>
      </w:r>
      <w:r>
        <w:rPr>
          <w:rFonts w:hint="eastAsia" w:ascii="宋体" w:hAnsi="宋体" w:eastAsia="宋体" w:cs="宋体"/>
          <w:color w:val="auto"/>
          <w:spacing w:val="0"/>
          <w:position w:val="0"/>
          <w:sz w:val="24"/>
          <w:shd w:val="clear" w:fill="auto"/>
          <w:lang w:eastAsia="zh-CN"/>
        </w:rPr>
        <w:t>人</w:t>
      </w:r>
      <w:r>
        <w:rPr>
          <w:rFonts w:ascii="宋体" w:hAnsi="宋体" w:eastAsia="宋体" w:cs="宋体"/>
          <w:color w:val="auto"/>
          <w:spacing w:val="0"/>
          <w:position w:val="0"/>
          <w:sz w:val="24"/>
          <w:shd w:val="clear" w:fill="auto"/>
        </w:rPr>
        <w:t>应能保证使用单位更换到原厂正宗的备件材料，确保设备的正常使用。</w:t>
      </w:r>
    </w:p>
    <w:p>
      <w:pPr>
        <w:keepNext w:val="0"/>
        <w:keepLines w:val="0"/>
        <w:pageBreakBefore w:val="0"/>
        <w:widowControl w:val="0"/>
        <w:kinsoku/>
        <w:wordWrap/>
        <w:overflowPunct/>
        <w:topLinePunct w:val="0"/>
        <w:autoSpaceDE/>
        <w:autoSpaceDN/>
        <w:bidi w:val="0"/>
        <w:adjustRightInd/>
        <w:snapToGrid/>
        <w:spacing w:before="0" w:after="0" w:line="400" w:lineRule="exact"/>
        <w:ind w:left="-1" w:right="6" w:hanging="112"/>
        <w:jc w:val="both"/>
        <w:textAlignment w:val="auto"/>
        <w:rPr>
          <w:rFonts w:ascii="仿宋_GB2312" w:hAnsi="仿宋_GB2312" w:eastAsia="仿宋_GB2312" w:cs="仿宋_GB2312"/>
          <w:b/>
          <w:color w:val="auto"/>
          <w:spacing w:val="0"/>
          <w:position w:val="0"/>
          <w:sz w:val="24"/>
          <w:shd w:val="clear" w:fill="auto"/>
        </w:rPr>
      </w:pPr>
      <w:r>
        <w:rPr>
          <w:rFonts w:ascii="宋体" w:hAnsi="宋体" w:eastAsia="宋体" w:cs="宋体"/>
          <w:color w:val="auto"/>
          <w:spacing w:val="0"/>
          <w:position w:val="0"/>
          <w:sz w:val="24"/>
          <w:shd w:val="clear" w:fill="auto"/>
        </w:rPr>
        <w:t>7.项目完成后，将项目的全部有关技术文件、资料及测试、验收报告等文档汇集成册交付给采购人留存或存档。</w:t>
      </w:r>
    </w:p>
    <w:p>
      <w:pPr>
        <w:keepNext w:val="0"/>
        <w:keepLines w:val="0"/>
        <w:pageBreakBefore w:val="0"/>
        <w:widowControl w:val="0"/>
        <w:kinsoku/>
        <w:wordWrap/>
        <w:overflowPunct/>
        <w:topLinePunct w:val="0"/>
        <w:autoSpaceDE/>
        <w:autoSpaceDN/>
        <w:bidi w:val="0"/>
        <w:adjustRightInd/>
        <w:snapToGrid/>
        <w:spacing w:before="0" w:after="0" w:line="400" w:lineRule="exact"/>
        <w:ind w:left="-1" w:right="6" w:hanging="112"/>
        <w:jc w:val="both"/>
        <w:textAlignment w:val="auto"/>
        <w:rPr>
          <w:rFonts w:ascii="仿宋_GB2312" w:hAnsi="仿宋_GB2312" w:eastAsia="仿宋_GB2312" w:cs="仿宋_GB2312"/>
          <w:b/>
          <w:color w:val="auto"/>
          <w:spacing w:val="0"/>
          <w:position w:val="0"/>
          <w:sz w:val="24"/>
          <w:shd w:val="clear" w:fill="auto"/>
        </w:rPr>
      </w:pPr>
      <w:r>
        <w:rPr>
          <w:rFonts w:ascii="宋体" w:hAnsi="宋体" w:eastAsia="宋体" w:cs="宋体"/>
          <w:color w:val="auto"/>
          <w:spacing w:val="0"/>
          <w:position w:val="0"/>
          <w:sz w:val="24"/>
          <w:shd w:val="clear" w:fill="auto"/>
        </w:rPr>
        <w:t>8.其它增值服务。</w:t>
      </w:r>
    </w:p>
    <w:p>
      <w:pPr>
        <w:keepNext w:val="0"/>
        <w:keepLines w:val="0"/>
        <w:pageBreakBefore w:val="0"/>
        <w:widowControl w:val="0"/>
        <w:kinsoku/>
        <w:wordWrap/>
        <w:overflowPunct/>
        <w:topLinePunct w:val="0"/>
        <w:autoSpaceDE/>
        <w:autoSpaceDN/>
        <w:bidi w:val="0"/>
        <w:adjustRightInd/>
        <w:snapToGrid/>
        <w:spacing w:before="0" w:after="0" w:line="400" w:lineRule="exact"/>
        <w:ind w:left="-1" w:right="6" w:hanging="112"/>
        <w:jc w:val="both"/>
        <w:textAlignment w:val="auto"/>
        <w:rPr>
          <w:rFonts w:ascii="宋体" w:hAnsi="宋体" w:eastAsia="宋体" w:cs="宋体"/>
          <w:b/>
          <w:bCs/>
          <w:color w:val="auto"/>
          <w:spacing w:val="0"/>
          <w:position w:val="0"/>
          <w:sz w:val="24"/>
          <w:shd w:val="clear" w:fill="auto"/>
        </w:rPr>
      </w:pPr>
      <w:r>
        <w:rPr>
          <w:rFonts w:ascii="宋体" w:hAnsi="宋体" w:eastAsia="宋体" w:cs="宋体"/>
          <w:b/>
          <w:bCs/>
          <w:color w:val="auto"/>
          <w:spacing w:val="0"/>
          <w:position w:val="0"/>
          <w:sz w:val="24"/>
          <w:shd w:val="clear" w:fill="auto"/>
        </w:rPr>
        <w:t>七、项目实施要求：</w:t>
      </w:r>
    </w:p>
    <w:p>
      <w:pPr>
        <w:keepNext w:val="0"/>
        <w:keepLines w:val="0"/>
        <w:pageBreakBefore w:val="0"/>
        <w:widowControl w:val="0"/>
        <w:kinsoku/>
        <w:wordWrap/>
        <w:overflowPunct/>
        <w:topLinePunct w:val="0"/>
        <w:autoSpaceDE/>
        <w:autoSpaceDN/>
        <w:bidi w:val="0"/>
        <w:adjustRightInd/>
        <w:snapToGrid/>
        <w:spacing w:before="0" w:after="0" w:line="400" w:lineRule="exact"/>
        <w:ind w:left="-1" w:right="6" w:hanging="112"/>
        <w:jc w:val="both"/>
        <w:textAlignment w:val="auto"/>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1、垃圾分类收集亭的外观和颜色由采购人确认，</w:t>
      </w:r>
      <w:r>
        <w:rPr>
          <w:rFonts w:hint="eastAsia" w:ascii="宋体" w:hAnsi="宋体" w:cs="宋体"/>
          <w:color w:val="auto"/>
          <w:spacing w:val="0"/>
          <w:position w:val="0"/>
          <w:sz w:val="24"/>
          <w:shd w:val="clear" w:fill="auto"/>
          <w:lang w:eastAsia="zh-CN"/>
        </w:rPr>
        <w:t>中标</w:t>
      </w:r>
      <w:r>
        <w:rPr>
          <w:rFonts w:ascii="宋体" w:hAnsi="宋体" w:eastAsia="宋体" w:cs="宋体"/>
          <w:color w:val="auto"/>
          <w:spacing w:val="0"/>
          <w:position w:val="0"/>
          <w:sz w:val="24"/>
          <w:shd w:val="clear" w:fill="auto"/>
        </w:rPr>
        <w:t>后，</w:t>
      </w:r>
      <w:r>
        <w:rPr>
          <w:rFonts w:hint="eastAsia" w:ascii="宋体" w:hAnsi="宋体" w:cs="宋体"/>
          <w:color w:val="auto"/>
          <w:spacing w:val="0"/>
          <w:position w:val="0"/>
          <w:sz w:val="24"/>
          <w:shd w:val="clear" w:fill="auto"/>
          <w:lang w:eastAsia="zh-CN"/>
        </w:rPr>
        <w:t>中标</w:t>
      </w:r>
      <w:r>
        <w:rPr>
          <w:rFonts w:hint="eastAsia" w:ascii="宋体" w:hAnsi="宋体" w:eastAsia="宋体" w:cs="宋体"/>
          <w:color w:val="auto"/>
          <w:spacing w:val="0"/>
          <w:position w:val="0"/>
          <w:sz w:val="24"/>
          <w:shd w:val="clear" w:fill="auto"/>
          <w:lang w:eastAsia="zh-CN"/>
        </w:rPr>
        <w:t>人</w:t>
      </w:r>
      <w:r>
        <w:rPr>
          <w:rFonts w:ascii="宋体" w:hAnsi="宋体" w:eastAsia="宋体" w:cs="宋体"/>
          <w:color w:val="auto"/>
          <w:spacing w:val="0"/>
          <w:position w:val="0"/>
          <w:sz w:val="24"/>
          <w:shd w:val="clear" w:fill="auto"/>
        </w:rPr>
        <w:t>应向采购人确认垃圾分类收集亭外观和颜色，确认无误后方可投入生产，</w:t>
      </w:r>
      <w:r>
        <w:rPr>
          <w:rFonts w:hint="eastAsia" w:ascii="宋体" w:hAnsi="宋体" w:cs="宋体"/>
          <w:color w:val="auto"/>
          <w:spacing w:val="0"/>
          <w:position w:val="0"/>
          <w:sz w:val="24"/>
          <w:shd w:val="clear" w:fill="auto"/>
          <w:lang w:eastAsia="zh-CN"/>
        </w:rPr>
        <w:t>中标</w:t>
      </w:r>
      <w:r>
        <w:rPr>
          <w:rFonts w:hint="eastAsia" w:ascii="宋体" w:hAnsi="宋体" w:eastAsia="宋体" w:cs="宋体"/>
          <w:color w:val="auto"/>
          <w:spacing w:val="0"/>
          <w:position w:val="0"/>
          <w:sz w:val="24"/>
          <w:shd w:val="clear" w:fill="auto"/>
          <w:lang w:eastAsia="zh-CN"/>
        </w:rPr>
        <w:t>人</w:t>
      </w:r>
      <w:r>
        <w:rPr>
          <w:rFonts w:ascii="宋体" w:hAnsi="宋体" w:eastAsia="宋体" w:cs="宋体"/>
          <w:color w:val="auto"/>
          <w:spacing w:val="0"/>
          <w:position w:val="0"/>
          <w:sz w:val="24"/>
          <w:shd w:val="clear" w:fill="auto"/>
        </w:rPr>
        <w:t>提供所投产品必须是全新、合格产品，符合采购人需求，完全符合国家规定的质量标准、厂方的标准以及</w:t>
      </w:r>
      <w:r>
        <w:rPr>
          <w:rFonts w:hint="eastAsia" w:ascii="宋体" w:hAnsi="宋体" w:cs="宋体"/>
          <w:color w:val="auto"/>
          <w:spacing w:val="0"/>
          <w:position w:val="0"/>
          <w:sz w:val="24"/>
          <w:shd w:val="clear" w:fill="auto"/>
          <w:lang w:eastAsia="zh-CN"/>
        </w:rPr>
        <w:t>招标文件</w:t>
      </w:r>
      <w:r>
        <w:rPr>
          <w:rFonts w:ascii="宋体" w:hAnsi="宋体" w:eastAsia="宋体" w:cs="宋体"/>
          <w:color w:val="auto"/>
          <w:spacing w:val="0"/>
          <w:position w:val="0"/>
          <w:sz w:val="24"/>
          <w:shd w:val="clear" w:fill="auto"/>
        </w:rPr>
        <w:t>对所投产品的标准要求。设备到达安装现场（具体以采购人指定地点为准）后，</w:t>
      </w:r>
      <w:r>
        <w:rPr>
          <w:rFonts w:hint="eastAsia" w:ascii="宋体" w:hAnsi="宋体" w:cs="宋体"/>
          <w:color w:val="auto"/>
          <w:spacing w:val="0"/>
          <w:position w:val="0"/>
          <w:sz w:val="24"/>
          <w:shd w:val="clear" w:fill="auto"/>
          <w:lang w:eastAsia="zh-CN"/>
        </w:rPr>
        <w:t>中标</w:t>
      </w:r>
      <w:r>
        <w:rPr>
          <w:rFonts w:hint="eastAsia" w:ascii="宋体" w:hAnsi="宋体" w:eastAsia="宋体" w:cs="宋体"/>
          <w:color w:val="auto"/>
          <w:spacing w:val="0"/>
          <w:position w:val="0"/>
          <w:sz w:val="24"/>
          <w:shd w:val="clear" w:fill="auto"/>
          <w:lang w:eastAsia="zh-CN"/>
        </w:rPr>
        <w:t>人</w:t>
      </w:r>
      <w:r>
        <w:rPr>
          <w:rFonts w:ascii="宋体" w:hAnsi="宋体" w:eastAsia="宋体" w:cs="宋体"/>
          <w:color w:val="auto"/>
          <w:spacing w:val="0"/>
          <w:position w:val="0"/>
          <w:sz w:val="24"/>
          <w:shd w:val="clear" w:fill="auto"/>
        </w:rPr>
        <w:t>应提供详细发货清单，由</w:t>
      </w:r>
      <w:r>
        <w:rPr>
          <w:rFonts w:hint="eastAsia" w:ascii="宋体" w:hAnsi="宋体" w:cs="宋体"/>
          <w:color w:val="auto"/>
          <w:spacing w:val="0"/>
          <w:position w:val="0"/>
          <w:sz w:val="24"/>
          <w:shd w:val="clear" w:fill="auto"/>
          <w:lang w:eastAsia="zh-CN"/>
        </w:rPr>
        <w:t>中标</w:t>
      </w:r>
      <w:r>
        <w:rPr>
          <w:rFonts w:hint="eastAsia" w:ascii="宋体" w:hAnsi="宋体" w:eastAsia="宋体" w:cs="宋体"/>
          <w:color w:val="auto"/>
          <w:spacing w:val="0"/>
          <w:position w:val="0"/>
          <w:sz w:val="24"/>
          <w:shd w:val="clear" w:fill="auto"/>
          <w:lang w:eastAsia="zh-CN"/>
        </w:rPr>
        <w:t>人</w:t>
      </w:r>
      <w:r>
        <w:rPr>
          <w:rFonts w:ascii="宋体" w:hAnsi="宋体" w:eastAsia="宋体" w:cs="宋体"/>
          <w:color w:val="auto"/>
          <w:spacing w:val="0"/>
          <w:position w:val="0"/>
          <w:sz w:val="24"/>
          <w:shd w:val="clear" w:fill="auto"/>
        </w:rPr>
        <w:t>和采购人共同验货、检查货物数量。如果货物质量或技术规格与合同不符，或货物有明显损坏，</w:t>
      </w:r>
      <w:r>
        <w:rPr>
          <w:rFonts w:hint="eastAsia" w:ascii="宋体" w:hAnsi="宋体" w:cs="宋体"/>
          <w:color w:val="auto"/>
          <w:spacing w:val="0"/>
          <w:position w:val="0"/>
          <w:sz w:val="24"/>
          <w:shd w:val="clear" w:fill="auto"/>
          <w:lang w:eastAsia="zh-CN"/>
        </w:rPr>
        <w:t>中标</w:t>
      </w:r>
      <w:r>
        <w:rPr>
          <w:rFonts w:hint="eastAsia" w:ascii="宋体" w:hAnsi="宋体" w:eastAsia="宋体" w:cs="宋体"/>
          <w:color w:val="auto"/>
          <w:spacing w:val="0"/>
          <w:position w:val="0"/>
          <w:sz w:val="24"/>
          <w:shd w:val="clear" w:fill="auto"/>
          <w:lang w:eastAsia="zh-CN"/>
        </w:rPr>
        <w:t>人</w:t>
      </w:r>
      <w:r>
        <w:rPr>
          <w:rFonts w:ascii="宋体" w:hAnsi="宋体" w:eastAsia="宋体" w:cs="宋体"/>
          <w:color w:val="auto"/>
          <w:spacing w:val="0"/>
          <w:position w:val="0"/>
          <w:sz w:val="24"/>
          <w:shd w:val="clear" w:fill="auto"/>
        </w:rPr>
        <w:t>必须更换，采购人有权提出索赔。验货合格后，双方共同签署设备合格证明。</w:t>
      </w:r>
    </w:p>
    <w:p>
      <w:pPr>
        <w:keepNext w:val="0"/>
        <w:keepLines w:val="0"/>
        <w:pageBreakBefore w:val="0"/>
        <w:widowControl w:val="0"/>
        <w:kinsoku/>
        <w:wordWrap/>
        <w:overflowPunct/>
        <w:topLinePunct w:val="0"/>
        <w:autoSpaceDE/>
        <w:autoSpaceDN/>
        <w:bidi w:val="0"/>
        <w:adjustRightInd/>
        <w:snapToGrid/>
        <w:spacing w:before="0" w:after="0" w:line="400" w:lineRule="exact"/>
        <w:ind w:left="-1" w:right="6" w:hanging="112"/>
        <w:jc w:val="both"/>
        <w:textAlignment w:val="auto"/>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2、焊接技术要求：对口质量要求内壁齐平，如有错口，错口值不应超过壁厚的10%，且不大于1cm，对口应将焊口表面、外壁的油、漆、垢及氧化层等清理干净，直至露出金属光泽。采购人在制作施工中随时抽查，如发现工艺达不到验收标准或合同规定的性能指标，</w:t>
      </w:r>
      <w:r>
        <w:rPr>
          <w:rFonts w:hint="eastAsia" w:ascii="宋体" w:hAnsi="宋体" w:cs="宋体"/>
          <w:color w:val="auto"/>
          <w:spacing w:val="0"/>
          <w:position w:val="0"/>
          <w:sz w:val="24"/>
          <w:shd w:val="clear" w:fill="auto"/>
          <w:lang w:eastAsia="zh-CN"/>
        </w:rPr>
        <w:t>中标</w:t>
      </w:r>
      <w:r>
        <w:rPr>
          <w:rFonts w:hint="eastAsia" w:ascii="宋体" w:hAnsi="宋体" w:eastAsia="宋体" w:cs="宋体"/>
          <w:color w:val="auto"/>
          <w:spacing w:val="0"/>
          <w:position w:val="0"/>
          <w:sz w:val="24"/>
          <w:shd w:val="clear" w:fill="auto"/>
          <w:lang w:eastAsia="zh-CN"/>
        </w:rPr>
        <w:t>人</w:t>
      </w:r>
      <w:r>
        <w:rPr>
          <w:rFonts w:ascii="宋体" w:hAnsi="宋体" w:eastAsia="宋体" w:cs="宋体"/>
          <w:color w:val="auto"/>
          <w:spacing w:val="0"/>
          <w:position w:val="0"/>
          <w:sz w:val="24"/>
          <w:shd w:val="clear" w:fill="auto"/>
        </w:rPr>
        <w:t>必须更换，并且赔偿由此给采购人造成的损失。</w:t>
      </w:r>
    </w:p>
    <w:p>
      <w:pPr>
        <w:keepNext w:val="0"/>
        <w:keepLines w:val="0"/>
        <w:pageBreakBefore w:val="0"/>
        <w:widowControl w:val="0"/>
        <w:kinsoku/>
        <w:wordWrap/>
        <w:overflowPunct/>
        <w:topLinePunct w:val="0"/>
        <w:autoSpaceDE/>
        <w:autoSpaceDN/>
        <w:bidi w:val="0"/>
        <w:adjustRightInd/>
        <w:snapToGrid/>
        <w:spacing w:before="0" w:after="0" w:line="400" w:lineRule="exact"/>
        <w:ind w:left="-1" w:right="6" w:hanging="112"/>
        <w:jc w:val="both"/>
        <w:textAlignment w:val="auto"/>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3、打磨技术要求：被打磨表面要求平滑，无明显突出物；不伤母材，以母材的被去除量不超过0.2mm为标准，被打磨部分表面纹路要求一致，严禁无规律打磨。对焊接飞溅物打磨要求打磨出金属光泽，保证焊接区域没有飞溅物；打磨纹路与焊缝方向平行。</w:t>
      </w:r>
    </w:p>
    <w:p>
      <w:pPr>
        <w:keepNext w:val="0"/>
        <w:keepLines w:val="0"/>
        <w:pageBreakBefore w:val="0"/>
        <w:widowControl w:val="0"/>
        <w:kinsoku/>
        <w:wordWrap/>
        <w:overflowPunct/>
        <w:topLinePunct w:val="0"/>
        <w:autoSpaceDE/>
        <w:autoSpaceDN/>
        <w:bidi w:val="0"/>
        <w:adjustRightInd/>
        <w:snapToGrid/>
        <w:spacing w:before="0" w:after="0" w:line="400" w:lineRule="exact"/>
        <w:ind w:left="-1" w:right="6" w:hanging="112"/>
        <w:jc w:val="both"/>
        <w:textAlignment w:val="auto"/>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4、喷漆技术要求：喷漆表面要求颜色相同，无色差；光泽度要求一样，不允许朋光泽的差别，目测为准（产品距检查者50cm），色差在1.5△E以内为合格。厚度漆厚度要均匀，漆膜附着力产品不允许有漆膜剥离情况。表面污浊不允许有，不可脱落，刮（划）痕整个喷漆面不允许有，漏喷不允许有。漆膜表面光滑平整，无塌陷、无暗坑裂缝、无流坠、无明显喷涂的大点，外表没有或者极少数小颗粒。</w:t>
      </w:r>
    </w:p>
    <w:p>
      <w:pPr>
        <w:keepNext w:val="0"/>
        <w:keepLines w:val="0"/>
        <w:pageBreakBefore w:val="0"/>
        <w:widowControl w:val="0"/>
        <w:kinsoku/>
        <w:wordWrap/>
        <w:overflowPunct/>
        <w:topLinePunct w:val="0"/>
        <w:autoSpaceDE/>
        <w:autoSpaceDN/>
        <w:bidi w:val="0"/>
        <w:adjustRightInd/>
        <w:snapToGrid/>
        <w:spacing w:before="0" w:after="0" w:line="400" w:lineRule="exact"/>
        <w:ind w:left="-1" w:right="6" w:hanging="112"/>
        <w:jc w:val="both"/>
        <w:textAlignment w:val="auto"/>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5、</w:t>
      </w:r>
      <w:r>
        <w:rPr>
          <w:rFonts w:hint="eastAsia" w:ascii="宋体" w:hAnsi="宋体" w:eastAsia="宋体" w:cs="宋体"/>
          <w:color w:val="auto"/>
          <w:spacing w:val="0"/>
          <w:position w:val="0"/>
          <w:sz w:val="24"/>
          <w:shd w:val="clear" w:fill="auto"/>
          <w:lang w:eastAsia="zh-CN"/>
        </w:rPr>
        <w:t>投标人</w:t>
      </w:r>
      <w:r>
        <w:rPr>
          <w:rFonts w:ascii="宋体" w:hAnsi="宋体" w:eastAsia="宋体" w:cs="宋体"/>
          <w:color w:val="auto"/>
          <w:spacing w:val="0"/>
          <w:position w:val="0"/>
          <w:sz w:val="24"/>
          <w:shd w:val="clear" w:fill="auto"/>
        </w:rPr>
        <w:t>应列出详细项目实施方案，包含送货方式、安装计划、验收方案，必须指派具有丰富经验的安装人员安装设备。</w:t>
      </w:r>
      <w:r>
        <w:rPr>
          <w:rFonts w:hint="eastAsia" w:ascii="宋体" w:hAnsi="宋体" w:eastAsia="宋体" w:cs="宋体"/>
          <w:color w:val="auto"/>
          <w:spacing w:val="0"/>
          <w:position w:val="0"/>
          <w:sz w:val="24"/>
          <w:shd w:val="clear" w:fill="auto"/>
          <w:lang w:eastAsia="zh-CN"/>
        </w:rPr>
        <w:t>投标人</w:t>
      </w:r>
      <w:r>
        <w:rPr>
          <w:rFonts w:ascii="宋体" w:hAnsi="宋体" w:eastAsia="宋体" w:cs="宋体"/>
          <w:color w:val="auto"/>
          <w:spacing w:val="0"/>
          <w:position w:val="0"/>
          <w:sz w:val="24"/>
          <w:shd w:val="clear" w:fill="auto"/>
        </w:rPr>
        <w:t>在</w:t>
      </w:r>
      <w:r>
        <w:rPr>
          <w:rFonts w:hint="eastAsia" w:ascii="宋体" w:hAnsi="宋体" w:cs="宋体"/>
          <w:color w:val="auto"/>
          <w:spacing w:val="0"/>
          <w:position w:val="0"/>
          <w:sz w:val="24"/>
          <w:shd w:val="clear" w:fill="auto"/>
          <w:lang w:eastAsia="zh-CN"/>
        </w:rPr>
        <w:t>中标</w:t>
      </w:r>
      <w:r>
        <w:rPr>
          <w:rFonts w:ascii="宋体" w:hAnsi="宋体" w:eastAsia="宋体" w:cs="宋体"/>
          <w:color w:val="auto"/>
          <w:spacing w:val="0"/>
          <w:position w:val="0"/>
          <w:sz w:val="24"/>
          <w:shd w:val="clear" w:fill="auto"/>
        </w:rPr>
        <w:t>后，应允许采购人的工作人员自实施工作开始即参与本项目的安装调试等工作并在实施方案中提出协同工作计划。</w:t>
      </w:r>
    </w:p>
    <w:p>
      <w:pPr>
        <w:keepNext w:val="0"/>
        <w:keepLines w:val="0"/>
        <w:pageBreakBefore w:val="0"/>
        <w:widowControl w:val="0"/>
        <w:kinsoku/>
        <w:wordWrap/>
        <w:overflowPunct/>
        <w:topLinePunct w:val="0"/>
        <w:autoSpaceDE/>
        <w:autoSpaceDN/>
        <w:bidi w:val="0"/>
        <w:adjustRightInd/>
        <w:snapToGrid/>
        <w:spacing w:before="0" w:after="0" w:line="400" w:lineRule="exact"/>
        <w:ind w:left="-1" w:right="6" w:hanging="112"/>
        <w:jc w:val="both"/>
        <w:textAlignment w:val="auto"/>
        <w:rPr>
          <w:rFonts w:hint="eastAsia" w:ascii="宋体" w:hAnsi="宋体" w:eastAsia="宋体" w:cs="宋体"/>
          <w:color w:val="auto"/>
          <w:spacing w:val="0"/>
          <w:position w:val="0"/>
          <w:sz w:val="24"/>
          <w:shd w:val="clear" w:fill="auto"/>
          <w:lang w:eastAsia="zh-CN"/>
        </w:rPr>
      </w:pPr>
      <w:r>
        <w:rPr>
          <w:rFonts w:ascii="宋体" w:hAnsi="宋体" w:eastAsia="宋体" w:cs="宋体"/>
          <w:color w:val="auto"/>
          <w:spacing w:val="0"/>
          <w:position w:val="0"/>
          <w:sz w:val="24"/>
          <w:shd w:val="clear" w:fill="auto"/>
        </w:rPr>
        <w:t>6、</w:t>
      </w:r>
      <w:r>
        <w:rPr>
          <w:rFonts w:hint="eastAsia" w:ascii="宋体" w:hAnsi="宋体" w:cs="宋体"/>
          <w:color w:val="auto"/>
          <w:spacing w:val="0"/>
          <w:position w:val="0"/>
          <w:sz w:val="24"/>
          <w:shd w:val="clear" w:fill="auto"/>
          <w:lang w:eastAsia="zh-CN"/>
        </w:rPr>
        <w:t>中标</w:t>
      </w:r>
      <w:r>
        <w:rPr>
          <w:rFonts w:hint="eastAsia" w:ascii="宋体" w:hAnsi="宋体" w:eastAsia="宋体" w:cs="宋体"/>
          <w:color w:val="auto"/>
          <w:spacing w:val="0"/>
          <w:position w:val="0"/>
          <w:sz w:val="24"/>
          <w:shd w:val="clear" w:fill="auto"/>
          <w:lang w:eastAsia="zh-CN"/>
        </w:rPr>
        <w:t>人</w:t>
      </w:r>
      <w:r>
        <w:rPr>
          <w:rFonts w:ascii="宋体" w:hAnsi="宋体" w:eastAsia="宋体" w:cs="宋体"/>
          <w:color w:val="auto"/>
          <w:spacing w:val="0"/>
          <w:position w:val="0"/>
          <w:sz w:val="24"/>
          <w:shd w:val="clear" w:fill="auto"/>
        </w:rPr>
        <w:t>应服从采购人的管理，保证产品及人身安全，只能在项目实施现场操作，不得进入采购人其他场所，不得损坏采购人财物，如有损失由</w:t>
      </w:r>
      <w:r>
        <w:rPr>
          <w:rFonts w:hint="eastAsia" w:ascii="宋体" w:hAnsi="宋体" w:eastAsia="宋体" w:cs="宋体"/>
          <w:color w:val="auto"/>
          <w:spacing w:val="0"/>
          <w:position w:val="0"/>
          <w:sz w:val="24"/>
          <w:shd w:val="clear" w:fill="auto"/>
          <w:lang w:eastAsia="zh-CN"/>
        </w:rPr>
        <w:t>中标人</w:t>
      </w:r>
      <w:r>
        <w:rPr>
          <w:rFonts w:ascii="宋体" w:hAnsi="宋体" w:eastAsia="宋体" w:cs="宋体"/>
          <w:color w:val="auto"/>
          <w:spacing w:val="0"/>
          <w:position w:val="0"/>
          <w:sz w:val="24"/>
          <w:shd w:val="clear" w:fill="auto"/>
        </w:rPr>
        <w:t>照价赔偿</w:t>
      </w:r>
      <w:r>
        <w:rPr>
          <w:rFonts w:hint="eastAsia" w:ascii="宋体" w:hAnsi="宋体" w:cs="宋体"/>
          <w:color w:val="auto"/>
          <w:spacing w:val="0"/>
          <w:position w:val="0"/>
          <w:sz w:val="24"/>
          <w:shd w:val="clear" w:fill="auto"/>
          <w:lang w:eastAsia="zh-CN"/>
        </w:rPr>
        <w:t>。</w:t>
      </w:r>
    </w:p>
    <w:p>
      <w:pPr>
        <w:keepNext w:val="0"/>
        <w:keepLines w:val="0"/>
        <w:pageBreakBefore w:val="0"/>
        <w:widowControl w:val="0"/>
        <w:kinsoku/>
        <w:wordWrap/>
        <w:overflowPunct/>
        <w:topLinePunct w:val="0"/>
        <w:autoSpaceDE/>
        <w:autoSpaceDN/>
        <w:bidi w:val="0"/>
        <w:adjustRightInd/>
        <w:snapToGrid/>
        <w:spacing w:before="0" w:after="0" w:line="400" w:lineRule="exact"/>
        <w:ind w:left="-1" w:right="6" w:hanging="112"/>
        <w:jc w:val="both"/>
        <w:textAlignment w:val="auto"/>
        <w:rPr>
          <w:rFonts w:hint="eastAsia" w:ascii="宋体" w:hAnsi="宋体" w:eastAsia="宋体" w:cs="宋体"/>
          <w:b/>
          <w:bCs/>
          <w:color w:val="auto"/>
          <w:spacing w:val="0"/>
          <w:position w:val="0"/>
          <w:sz w:val="24"/>
          <w:shd w:val="clear" w:fill="auto"/>
          <w:lang w:eastAsia="zh-CN"/>
        </w:rPr>
      </w:pPr>
      <w:r>
        <w:rPr>
          <w:rFonts w:hint="eastAsia" w:ascii="宋体" w:hAnsi="宋体" w:eastAsia="宋体" w:cs="宋体"/>
          <w:b/>
          <w:bCs/>
          <w:color w:val="auto"/>
          <w:spacing w:val="0"/>
          <w:position w:val="0"/>
          <w:sz w:val="24"/>
          <w:shd w:val="clear" w:fill="auto"/>
          <w:lang w:val="en-US" w:eastAsia="zh-CN"/>
        </w:rPr>
        <w:t>八</w:t>
      </w:r>
      <w:r>
        <w:rPr>
          <w:rFonts w:hint="eastAsia" w:ascii="宋体" w:hAnsi="宋体" w:eastAsia="宋体" w:cs="宋体"/>
          <w:b/>
          <w:bCs/>
          <w:color w:val="auto"/>
          <w:spacing w:val="0"/>
          <w:position w:val="0"/>
          <w:sz w:val="24"/>
          <w:shd w:val="clear" w:fill="auto"/>
          <w:lang w:eastAsia="zh-CN"/>
        </w:rPr>
        <w:t>、验收标准（验收要求、验收标准和程序）要求：</w:t>
      </w:r>
    </w:p>
    <w:p>
      <w:pPr>
        <w:keepNext w:val="0"/>
        <w:keepLines w:val="0"/>
        <w:pageBreakBefore w:val="0"/>
        <w:widowControl w:val="0"/>
        <w:kinsoku/>
        <w:wordWrap/>
        <w:overflowPunct/>
        <w:topLinePunct w:val="0"/>
        <w:autoSpaceDE/>
        <w:autoSpaceDN/>
        <w:bidi w:val="0"/>
        <w:adjustRightInd/>
        <w:snapToGrid/>
        <w:spacing w:before="0" w:after="0" w:line="400" w:lineRule="exact"/>
        <w:ind w:left="-1" w:right="6" w:hanging="112"/>
        <w:jc w:val="both"/>
        <w:textAlignment w:val="auto"/>
        <w:rPr>
          <w:rFonts w:hint="eastAsia" w:ascii="宋体" w:hAnsi="宋体" w:eastAsia="宋体" w:cs="宋体"/>
          <w:color w:val="auto"/>
          <w:spacing w:val="0"/>
          <w:position w:val="0"/>
          <w:sz w:val="24"/>
          <w:shd w:val="clear" w:fill="auto"/>
          <w:lang w:val="en-US" w:eastAsia="zh-CN"/>
        </w:rPr>
      </w:pPr>
      <w:r>
        <w:rPr>
          <w:rFonts w:hint="eastAsia" w:ascii="宋体" w:hAnsi="宋体" w:eastAsia="宋体" w:cs="宋体"/>
          <w:color w:val="auto"/>
          <w:spacing w:val="0"/>
          <w:position w:val="0"/>
          <w:sz w:val="24"/>
          <w:shd w:val="clear" w:fill="auto"/>
          <w:lang w:val="en-US" w:eastAsia="zh-CN"/>
        </w:rPr>
        <w:t>1.技术标准按国家、行业的相关标准及双方签订的《采购合同》执行。</w:t>
      </w:r>
    </w:p>
    <w:p>
      <w:pPr>
        <w:keepNext w:val="0"/>
        <w:keepLines w:val="0"/>
        <w:pageBreakBefore w:val="0"/>
        <w:widowControl w:val="0"/>
        <w:kinsoku/>
        <w:wordWrap/>
        <w:overflowPunct/>
        <w:topLinePunct w:val="0"/>
        <w:autoSpaceDE/>
        <w:autoSpaceDN/>
        <w:bidi w:val="0"/>
        <w:adjustRightInd/>
        <w:snapToGrid/>
        <w:spacing w:before="0" w:after="0" w:line="400" w:lineRule="exact"/>
        <w:ind w:left="-1" w:right="6" w:hanging="112"/>
        <w:jc w:val="both"/>
        <w:textAlignment w:val="auto"/>
        <w:rPr>
          <w:rFonts w:hint="eastAsia" w:ascii="宋体" w:hAnsi="宋体" w:eastAsia="宋体" w:cs="宋体"/>
          <w:color w:val="auto"/>
          <w:spacing w:val="0"/>
          <w:position w:val="0"/>
          <w:sz w:val="24"/>
          <w:shd w:val="clear" w:fill="auto"/>
          <w:lang w:val="en-US" w:eastAsia="zh-CN"/>
        </w:rPr>
      </w:pPr>
      <w:r>
        <w:rPr>
          <w:rFonts w:hint="eastAsia" w:ascii="宋体" w:hAnsi="宋体" w:eastAsia="宋体" w:cs="宋体"/>
          <w:color w:val="auto"/>
          <w:spacing w:val="0"/>
          <w:position w:val="0"/>
          <w:sz w:val="24"/>
          <w:shd w:val="clear" w:fill="auto"/>
          <w:lang w:val="en-US" w:eastAsia="zh-CN"/>
        </w:rPr>
        <w:t>2.投标方所提供的验收资料应正确、完整，如不能满足要求，由投标方按照招标方要求修正。</w:t>
      </w:r>
    </w:p>
    <w:p>
      <w:pPr>
        <w:keepNext w:val="0"/>
        <w:keepLines w:val="0"/>
        <w:pageBreakBefore w:val="0"/>
        <w:widowControl w:val="0"/>
        <w:kinsoku/>
        <w:wordWrap/>
        <w:overflowPunct/>
        <w:topLinePunct w:val="0"/>
        <w:autoSpaceDE/>
        <w:autoSpaceDN/>
        <w:bidi w:val="0"/>
        <w:adjustRightInd/>
        <w:snapToGrid/>
        <w:spacing w:before="0" w:after="0" w:line="400" w:lineRule="exact"/>
        <w:ind w:left="-1" w:right="6" w:hanging="112"/>
        <w:jc w:val="both"/>
        <w:textAlignment w:val="auto"/>
        <w:rPr>
          <w:rFonts w:hint="eastAsia" w:ascii="宋体" w:hAnsi="宋体" w:eastAsia="宋体" w:cs="宋体"/>
          <w:color w:val="auto"/>
          <w:spacing w:val="0"/>
          <w:position w:val="0"/>
          <w:sz w:val="24"/>
          <w:shd w:val="clear" w:fill="auto"/>
          <w:lang w:val="en-US" w:eastAsia="zh-CN"/>
        </w:rPr>
      </w:pPr>
      <w:r>
        <w:rPr>
          <w:rFonts w:hint="eastAsia" w:ascii="宋体" w:hAnsi="宋体" w:eastAsia="宋体" w:cs="宋体"/>
          <w:color w:val="auto"/>
          <w:spacing w:val="0"/>
          <w:position w:val="0"/>
          <w:sz w:val="24"/>
          <w:shd w:val="clear" w:fill="auto"/>
          <w:lang w:val="en-US" w:eastAsia="zh-CN"/>
        </w:rPr>
        <w:t>3.验收在采购人指定地进行，投标方派人员参加；验收项目按照技术要求执行。</w:t>
      </w:r>
    </w:p>
    <w:p>
      <w:pPr>
        <w:keepNext w:val="0"/>
        <w:keepLines w:val="0"/>
        <w:pageBreakBefore w:val="0"/>
        <w:widowControl w:val="0"/>
        <w:kinsoku/>
        <w:wordWrap/>
        <w:overflowPunct/>
        <w:topLinePunct w:val="0"/>
        <w:autoSpaceDE/>
        <w:autoSpaceDN/>
        <w:bidi w:val="0"/>
        <w:adjustRightInd/>
        <w:snapToGrid/>
        <w:spacing w:before="0" w:after="0" w:line="400" w:lineRule="exact"/>
        <w:ind w:left="-1" w:right="6" w:hanging="112"/>
        <w:jc w:val="both"/>
        <w:textAlignment w:val="auto"/>
        <w:rPr>
          <w:rFonts w:hint="eastAsia" w:ascii="宋体" w:hAnsi="宋体" w:eastAsia="宋体" w:cs="宋体"/>
          <w:b/>
          <w:bCs/>
          <w:color w:val="auto"/>
          <w:spacing w:val="0"/>
          <w:position w:val="0"/>
          <w:sz w:val="24"/>
          <w:shd w:val="clear" w:fill="auto"/>
        </w:rPr>
      </w:pPr>
      <w:r>
        <w:rPr>
          <w:rFonts w:hint="eastAsia" w:ascii="宋体" w:hAnsi="宋体" w:eastAsia="宋体" w:cs="宋体"/>
          <w:b/>
          <w:bCs/>
          <w:color w:val="auto"/>
          <w:spacing w:val="0"/>
          <w:position w:val="0"/>
          <w:sz w:val="24"/>
          <w:shd w:val="clear" w:fill="auto"/>
          <w:lang w:val="en-US" w:eastAsia="zh-CN"/>
        </w:rPr>
        <w:t>九</w:t>
      </w:r>
      <w:r>
        <w:rPr>
          <w:rFonts w:hint="eastAsia" w:ascii="宋体" w:hAnsi="宋体" w:eastAsia="宋体" w:cs="宋体"/>
          <w:b/>
          <w:bCs/>
          <w:color w:val="auto"/>
          <w:spacing w:val="0"/>
          <w:position w:val="0"/>
          <w:sz w:val="24"/>
          <w:shd w:val="clear" w:fill="auto"/>
          <w:lang w:eastAsia="zh-CN"/>
        </w:rPr>
        <w:t>、</w:t>
      </w:r>
      <w:r>
        <w:rPr>
          <w:rFonts w:hint="eastAsia" w:ascii="宋体" w:hAnsi="宋体" w:eastAsia="宋体" w:cs="宋体"/>
          <w:b/>
          <w:bCs/>
          <w:color w:val="auto"/>
          <w:spacing w:val="0"/>
          <w:position w:val="0"/>
          <w:sz w:val="24"/>
          <w:shd w:val="clear" w:fill="auto"/>
        </w:rPr>
        <w:t>其它要求及提示：</w:t>
      </w:r>
    </w:p>
    <w:p>
      <w:pPr>
        <w:keepNext w:val="0"/>
        <w:keepLines w:val="0"/>
        <w:pageBreakBefore w:val="0"/>
        <w:widowControl w:val="0"/>
        <w:kinsoku/>
        <w:wordWrap/>
        <w:overflowPunct/>
        <w:topLinePunct w:val="0"/>
        <w:autoSpaceDE/>
        <w:autoSpaceDN/>
        <w:bidi w:val="0"/>
        <w:adjustRightInd/>
        <w:snapToGrid/>
        <w:spacing w:before="0" w:after="0" w:line="400" w:lineRule="exact"/>
        <w:ind w:left="-1" w:right="6" w:hanging="112"/>
        <w:jc w:val="both"/>
        <w:textAlignment w:val="auto"/>
        <w:rPr>
          <w:rFonts w:hint="eastAsia" w:ascii="宋体" w:hAnsi="宋体" w:eastAsia="宋体" w:cs="宋体"/>
          <w:color w:val="auto"/>
          <w:spacing w:val="0"/>
          <w:position w:val="0"/>
          <w:sz w:val="24"/>
          <w:shd w:val="clear" w:fill="auto"/>
          <w:lang w:val="en-US" w:eastAsia="zh-CN"/>
        </w:rPr>
      </w:pPr>
      <w:r>
        <w:rPr>
          <w:rFonts w:hint="eastAsia" w:ascii="宋体" w:hAnsi="宋体" w:eastAsia="宋体" w:cs="宋体"/>
          <w:color w:val="auto"/>
          <w:spacing w:val="0"/>
          <w:position w:val="0"/>
          <w:sz w:val="24"/>
          <w:shd w:val="clear" w:fill="auto"/>
          <w:lang w:val="en-US" w:eastAsia="zh-CN"/>
        </w:rPr>
        <w:t>1、验收合格并不免除在质保期内中标人应负的责任。</w:t>
      </w:r>
    </w:p>
    <w:p>
      <w:pPr>
        <w:keepNext w:val="0"/>
        <w:keepLines w:val="0"/>
        <w:pageBreakBefore w:val="0"/>
        <w:widowControl w:val="0"/>
        <w:kinsoku/>
        <w:wordWrap/>
        <w:overflowPunct/>
        <w:topLinePunct w:val="0"/>
        <w:autoSpaceDE/>
        <w:autoSpaceDN/>
        <w:bidi w:val="0"/>
        <w:adjustRightInd/>
        <w:snapToGrid/>
        <w:spacing w:before="0" w:after="0" w:line="400" w:lineRule="exact"/>
        <w:ind w:left="-1" w:right="6" w:hanging="112"/>
        <w:jc w:val="both"/>
        <w:textAlignment w:val="auto"/>
        <w:rPr>
          <w:rFonts w:hint="eastAsia" w:ascii="宋体" w:hAnsi="宋体" w:eastAsia="宋体" w:cs="宋体"/>
          <w:color w:val="auto"/>
          <w:spacing w:val="0"/>
          <w:position w:val="0"/>
          <w:sz w:val="24"/>
          <w:shd w:val="clear" w:fill="auto"/>
        </w:rPr>
      </w:pPr>
      <w:r>
        <w:rPr>
          <w:rFonts w:hint="eastAsia" w:ascii="宋体" w:hAnsi="宋体" w:eastAsia="宋体" w:cs="宋体"/>
          <w:color w:val="auto"/>
          <w:spacing w:val="0"/>
          <w:position w:val="0"/>
          <w:sz w:val="24"/>
          <w:shd w:val="clear" w:fill="auto"/>
          <w:lang w:val="en-US" w:eastAsia="zh-CN"/>
        </w:rPr>
        <w:t>2、</w:t>
      </w:r>
      <w:r>
        <w:rPr>
          <w:rFonts w:hint="eastAsia" w:ascii="宋体" w:hAnsi="宋体" w:eastAsia="宋体" w:cs="宋体"/>
          <w:color w:val="auto"/>
          <w:spacing w:val="0"/>
          <w:position w:val="0"/>
          <w:sz w:val="24"/>
          <w:shd w:val="clear" w:fill="auto"/>
        </w:rPr>
        <w:t>其它要求见招标文件第五章《拟签订的合同文本》。</w:t>
      </w:r>
    </w:p>
    <w:p>
      <w:pPr>
        <w:pStyle w:val="2"/>
        <w:rPr>
          <w:rFonts w:hint="eastAsia" w:ascii="宋体" w:hAnsi="宋体" w:eastAsia="宋体" w:cs="宋体"/>
          <w:color w:val="auto"/>
          <w:spacing w:val="0"/>
          <w:position w:val="0"/>
          <w:sz w:val="24"/>
          <w:shd w:val="clear" w:fill="auto"/>
        </w:rPr>
      </w:pPr>
    </w:p>
    <w:p>
      <w:pPr>
        <w:pStyle w:val="2"/>
        <w:rPr>
          <w:rFonts w:hint="eastAsia" w:ascii="宋体" w:hAnsi="宋体" w:eastAsia="宋体" w:cs="宋体"/>
          <w:color w:val="auto"/>
          <w:spacing w:val="0"/>
          <w:position w:val="0"/>
          <w:sz w:val="24"/>
          <w:shd w:val="clear" w:fill="auto"/>
        </w:rPr>
      </w:pPr>
    </w:p>
    <w:p>
      <w:pPr>
        <w:pStyle w:val="2"/>
        <w:rPr>
          <w:rFonts w:hint="eastAsia" w:ascii="宋体" w:hAnsi="宋体" w:eastAsia="宋体" w:cs="宋体"/>
          <w:color w:val="auto"/>
          <w:spacing w:val="0"/>
          <w:position w:val="0"/>
          <w:sz w:val="24"/>
          <w:shd w:val="clear" w:fill="auto"/>
        </w:rPr>
      </w:pPr>
    </w:p>
    <w:p>
      <w:pPr>
        <w:pStyle w:val="2"/>
        <w:rPr>
          <w:rFonts w:hint="eastAsia" w:ascii="宋体" w:hAnsi="宋体" w:eastAsia="宋体" w:cs="宋体"/>
          <w:color w:val="auto"/>
          <w:spacing w:val="0"/>
          <w:position w:val="0"/>
          <w:sz w:val="24"/>
          <w:shd w:val="clear" w:fill="auto"/>
        </w:rPr>
      </w:pPr>
    </w:p>
    <w:p>
      <w:pPr>
        <w:pStyle w:val="2"/>
        <w:rPr>
          <w:rFonts w:hint="eastAsia" w:ascii="宋体" w:hAnsi="宋体" w:eastAsia="宋体" w:cs="宋体"/>
          <w:color w:val="auto"/>
          <w:spacing w:val="0"/>
          <w:position w:val="0"/>
          <w:sz w:val="24"/>
          <w:shd w:val="clear" w:fill="auto"/>
        </w:rPr>
      </w:pPr>
    </w:p>
    <w:p>
      <w:pPr>
        <w:pStyle w:val="2"/>
        <w:rPr>
          <w:rFonts w:hint="eastAsia" w:ascii="宋体" w:hAnsi="宋体" w:eastAsia="宋体" w:cs="宋体"/>
          <w:color w:val="auto"/>
          <w:spacing w:val="0"/>
          <w:position w:val="0"/>
          <w:sz w:val="24"/>
          <w:shd w:val="clear" w:fill="auto"/>
        </w:rPr>
      </w:pPr>
    </w:p>
    <w:p>
      <w:pPr>
        <w:pStyle w:val="2"/>
        <w:rPr>
          <w:rFonts w:hint="eastAsia" w:ascii="宋体" w:hAnsi="宋体" w:eastAsia="宋体" w:cs="宋体"/>
          <w:color w:val="auto"/>
          <w:spacing w:val="0"/>
          <w:position w:val="0"/>
          <w:sz w:val="24"/>
          <w:shd w:val="clear" w:fill="auto"/>
        </w:rPr>
      </w:pPr>
    </w:p>
    <w:p>
      <w:pPr>
        <w:pStyle w:val="2"/>
        <w:rPr>
          <w:rFonts w:hint="eastAsia" w:ascii="宋体" w:hAnsi="宋体" w:eastAsia="宋体" w:cs="宋体"/>
          <w:color w:val="auto"/>
          <w:spacing w:val="0"/>
          <w:position w:val="0"/>
          <w:sz w:val="24"/>
          <w:shd w:val="clear" w:fill="auto"/>
        </w:rPr>
      </w:pPr>
    </w:p>
    <w:p>
      <w:pPr>
        <w:pStyle w:val="2"/>
        <w:rPr>
          <w:rFonts w:hint="eastAsia" w:ascii="宋体" w:hAnsi="宋体" w:eastAsia="宋体" w:cs="宋体"/>
          <w:color w:val="auto"/>
          <w:spacing w:val="0"/>
          <w:position w:val="0"/>
          <w:sz w:val="24"/>
          <w:shd w:val="clear" w:fill="auto"/>
        </w:rPr>
      </w:pPr>
    </w:p>
    <w:p>
      <w:pPr>
        <w:pStyle w:val="2"/>
        <w:rPr>
          <w:rFonts w:hint="eastAsia" w:ascii="宋体" w:hAnsi="宋体" w:eastAsia="宋体" w:cs="宋体"/>
          <w:color w:val="auto"/>
          <w:spacing w:val="0"/>
          <w:position w:val="0"/>
          <w:sz w:val="24"/>
          <w:shd w:val="clear" w:fill="auto"/>
        </w:rPr>
      </w:pPr>
    </w:p>
    <w:p>
      <w:pPr>
        <w:pStyle w:val="2"/>
        <w:rPr>
          <w:rFonts w:hint="eastAsia" w:ascii="宋体" w:hAnsi="宋体" w:eastAsia="宋体" w:cs="宋体"/>
          <w:color w:val="auto"/>
          <w:spacing w:val="0"/>
          <w:position w:val="0"/>
          <w:sz w:val="24"/>
          <w:shd w:val="clear" w:fill="auto"/>
        </w:rPr>
      </w:pPr>
    </w:p>
    <w:p>
      <w:pPr>
        <w:spacing w:before="0" w:after="0" w:line="274" w:lineRule="auto"/>
        <w:ind w:left="0" w:right="0" w:firstLine="200"/>
        <w:jc w:val="both"/>
        <w:rPr>
          <w:rFonts w:ascii="仿宋_GB2312" w:hAnsi="仿宋_GB2312" w:eastAsia="仿宋_GB2312" w:cs="仿宋_GB2312"/>
          <w:b/>
          <w:color w:val="auto"/>
          <w:spacing w:val="0"/>
          <w:position w:val="0"/>
          <w:sz w:val="24"/>
          <w:shd w:val="clear" w:fill="auto"/>
        </w:rPr>
      </w:pPr>
      <w:r>
        <w:rPr>
          <w:rFonts w:ascii="仿宋_GB2312" w:hAnsi="仿宋_GB2312" w:eastAsia="仿宋_GB2312" w:cs="仿宋_GB2312"/>
          <w:b/>
          <w:color w:val="auto"/>
          <w:spacing w:val="0"/>
          <w:position w:val="0"/>
          <w:sz w:val="24"/>
          <w:shd w:val="clear" w:fill="auto"/>
        </w:rPr>
        <w:t>附：安装</w:t>
      </w:r>
      <w:r>
        <w:rPr>
          <w:rFonts w:hint="eastAsia" w:ascii="仿宋_GB2312" w:hAnsi="仿宋_GB2312" w:eastAsia="仿宋_GB2312" w:cs="仿宋_GB2312"/>
          <w:b/>
          <w:color w:val="auto"/>
          <w:spacing w:val="0"/>
          <w:position w:val="0"/>
          <w:sz w:val="24"/>
          <w:shd w:val="clear" w:fill="auto"/>
          <w:lang w:val="en-US" w:eastAsia="zh-CN"/>
        </w:rPr>
        <w:t>地点明细</w:t>
      </w:r>
      <w:r>
        <w:rPr>
          <w:rFonts w:ascii="仿宋_GB2312" w:hAnsi="仿宋_GB2312" w:eastAsia="仿宋_GB2312" w:cs="仿宋_GB2312"/>
          <w:b/>
          <w:color w:val="auto"/>
          <w:spacing w:val="0"/>
          <w:position w:val="0"/>
          <w:sz w:val="24"/>
          <w:shd w:val="clear" w:fill="auto"/>
        </w:rPr>
        <w:t>表</w:t>
      </w:r>
    </w:p>
    <w:p>
      <w:pPr>
        <w:spacing w:before="0" w:after="0" w:line="274" w:lineRule="auto"/>
        <w:ind w:right="6"/>
        <w:jc w:val="both"/>
        <w:rPr>
          <w:rFonts w:hint="eastAsia" w:asciiTheme="minorEastAsia" w:hAnsiTheme="minorEastAsia" w:eastAsiaTheme="minorEastAsia" w:cstheme="minorEastAsia"/>
          <w:b/>
          <w:bCs/>
          <w:color w:val="auto"/>
          <w:spacing w:val="0"/>
          <w:position w:val="0"/>
          <w:sz w:val="24"/>
          <w:shd w:val="clear" w:fill="auto"/>
        </w:rPr>
      </w:pPr>
      <w:r>
        <w:rPr>
          <w:rFonts w:hint="eastAsia" w:asciiTheme="minorEastAsia" w:hAnsiTheme="minorEastAsia" w:eastAsiaTheme="minorEastAsia" w:cstheme="minorEastAsia"/>
          <w:b/>
          <w:bCs/>
          <w:color w:val="auto"/>
          <w:spacing w:val="0"/>
          <w:position w:val="0"/>
          <w:sz w:val="24"/>
          <w:shd w:val="clear" w:fill="auto"/>
        </w:rPr>
        <w:t>标段一：点位明细表</w:t>
      </w:r>
    </w:p>
    <w:tbl>
      <w:tblPr>
        <w:tblStyle w:val="12"/>
        <w:tblW w:w="9517" w:type="dxa"/>
        <w:jc w:val="center"/>
        <w:tblLayout w:type="fixed"/>
        <w:tblCellMar>
          <w:top w:w="0" w:type="dxa"/>
          <w:left w:w="10" w:type="dxa"/>
          <w:bottom w:w="0" w:type="dxa"/>
          <w:right w:w="10" w:type="dxa"/>
        </w:tblCellMar>
      </w:tblPr>
      <w:tblGrid>
        <w:gridCol w:w="759"/>
        <w:gridCol w:w="1279"/>
        <w:gridCol w:w="2441"/>
        <w:gridCol w:w="1864"/>
        <w:gridCol w:w="1377"/>
        <w:gridCol w:w="713"/>
        <w:gridCol w:w="1084"/>
      </w:tblGrid>
      <w:tr>
        <w:tblPrEx>
          <w:tblCellMar>
            <w:top w:w="0" w:type="dxa"/>
            <w:left w:w="10" w:type="dxa"/>
            <w:bottom w:w="0" w:type="dxa"/>
            <w:right w:w="10" w:type="dxa"/>
          </w:tblCellMar>
        </w:tblPrEx>
        <w:trPr>
          <w:trHeight w:val="891"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序号</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小区名称</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小区地址</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收集点位置</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收集亭制作尺寸（长*宽*高）</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无储藏间</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储藏间/洗手盆位置</w:t>
            </w:r>
          </w:p>
        </w:tc>
      </w:tr>
      <w:tr>
        <w:tblPrEx>
          <w:tblCellMar>
            <w:top w:w="0" w:type="dxa"/>
            <w:left w:w="10" w:type="dxa"/>
            <w:bottom w:w="0" w:type="dxa"/>
            <w:right w:w="10" w:type="dxa"/>
          </w:tblCellMar>
        </w:tblPrEx>
        <w:trPr>
          <w:trHeight w:val="891"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1</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香花畦小区</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白云路与下淀南路交叉口向东100米，路南侧</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12号楼东侧</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3.5*1.5*3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无</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891"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2</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香花畦小区</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白云路与下淀南路交叉口向东100米，路南侧</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21号西侧</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3.5*1.5*3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无</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891"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3</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香花畦小区</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白云路与下淀南路交叉口向东100米，路南侧</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26号楼北侧</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3.5*1.5*3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无</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462"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4</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王场东村</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复兴北路180号</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北门入口</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3.5*2*3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无</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462"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5</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王场东村</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复兴北路181号</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南门入口</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3.5*2*3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无</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462"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6</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建北小区</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金都华府北</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公厕旁</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3.5*2.5*3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无</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462"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7</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新城花园</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徐州人家内</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进门左拐</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3.5*2.5*3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无</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462"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8</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徐州人家</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响山路</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西区11号楼北</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3.5*2.2*3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无</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462"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9</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锦都汇</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白云东路</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G4东</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3.5*2.5*3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无</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462"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10</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锦都汇</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白云东路</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G8北</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3.5*2.5*3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无</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462"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11</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煤机东村</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下淀路149号</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北门入口</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3.5*2.5*3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无</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462"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12</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煤机东村</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下淀路149号</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8号楼西侧</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3.5*2.5*3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无</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462"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13</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徐钢五宿舍</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鼓楼区下淀路115号</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公厕东</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3.5*2.5*3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无</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462"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14</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锦绣滨湖</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响山路</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14-15中间</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3.5*2.5*3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无</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462"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15</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下商小区</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下淀北路18宿舍南侧</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入口西20米</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3.5*2.5*3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无</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891"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16</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香花畦小区</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白云路与下淀南路交叉口向东100米，路南侧</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5号楼东侧</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3.5*2.5*3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无</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462"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17</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瓦房社区</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4*1.5*3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891"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18</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兴东小区</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大庆路与白云路交叉口，向北5米，路东</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小区入口北20米</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4.5*2.5*3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462"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19</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铁路18宿舍</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下淀北路西50米</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西门外</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4.5*2.5*3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462"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20</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瓦房社区</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5*3*3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462"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21</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瓦房社区</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6*2*3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891"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22</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御山雅苑</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响山路与响山北路交叉口向北200米</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小区广场西侧</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6*3*3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462"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23</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瓦房社区</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6*3*3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462"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24</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锦都汇</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白云东路</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H6西侧</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6*3*3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无</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462"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25</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朱东小区</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朱庄村委会东</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朱东小区大门口</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6*1.2*3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右侧</w:t>
            </w:r>
          </w:p>
        </w:tc>
      </w:tr>
      <w:tr>
        <w:tblPrEx>
          <w:tblCellMar>
            <w:top w:w="0" w:type="dxa"/>
            <w:left w:w="10" w:type="dxa"/>
            <w:bottom w:w="0" w:type="dxa"/>
            <w:right w:w="10" w:type="dxa"/>
          </w:tblCellMar>
        </w:tblPrEx>
        <w:trPr>
          <w:trHeight w:val="462"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26</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朱西小区</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朱庄村西</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朱西1号楼头</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6*1.2*3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左侧</w:t>
            </w:r>
          </w:p>
        </w:tc>
      </w:tr>
      <w:tr>
        <w:tblPrEx>
          <w:tblCellMar>
            <w:top w:w="0" w:type="dxa"/>
            <w:left w:w="10" w:type="dxa"/>
            <w:bottom w:w="0" w:type="dxa"/>
            <w:right w:w="10" w:type="dxa"/>
          </w:tblCellMar>
        </w:tblPrEx>
        <w:trPr>
          <w:trHeight w:val="891"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27</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门窗公司宿舍</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二环北路6号</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3号楼下车棚头</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5*1.5*3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左侧</w:t>
            </w:r>
          </w:p>
        </w:tc>
      </w:tr>
      <w:tr>
        <w:tblPrEx>
          <w:tblCellMar>
            <w:top w:w="0" w:type="dxa"/>
            <w:left w:w="10" w:type="dxa"/>
            <w:bottom w:w="0" w:type="dxa"/>
            <w:right w:w="10" w:type="dxa"/>
          </w:tblCellMar>
        </w:tblPrEx>
        <w:trPr>
          <w:trHeight w:val="462"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28</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水苑长桥</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徐州市鼓楼区二环北路</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7号楼东边</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3.5*1.2*3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无</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左侧</w:t>
            </w:r>
          </w:p>
        </w:tc>
      </w:tr>
      <w:tr>
        <w:tblPrEx>
          <w:tblCellMar>
            <w:top w:w="0" w:type="dxa"/>
            <w:left w:w="10" w:type="dxa"/>
            <w:bottom w:w="0" w:type="dxa"/>
            <w:right w:w="10" w:type="dxa"/>
          </w:tblCellMar>
        </w:tblPrEx>
        <w:trPr>
          <w:trHeight w:val="462"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29</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水苑长桥</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徐州市鼓楼区二环北路</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小广场假山北面</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3.5*1.5*3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无</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左侧</w:t>
            </w:r>
          </w:p>
        </w:tc>
      </w:tr>
      <w:tr>
        <w:tblPrEx>
          <w:tblCellMar>
            <w:top w:w="0" w:type="dxa"/>
            <w:left w:w="10" w:type="dxa"/>
            <w:bottom w:w="0" w:type="dxa"/>
            <w:right w:w="10" w:type="dxa"/>
          </w:tblCellMar>
        </w:tblPrEx>
        <w:trPr>
          <w:trHeight w:val="462"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30</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天润小区</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二环北路10号</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8-9号楼之间</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3.5*2*3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无</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左侧</w:t>
            </w:r>
          </w:p>
        </w:tc>
      </w:tr>
      <w:tr>
        <w:tblPrEx>
          <w:tblCellMar>
            <w:top w:w="0" w:type="dxa"/>
            <w:left w:w="10" w:type="dxa"/>
            <w:bottom w:w="0" w:type="dxa"/>
            <w:right w:w="10" w:type="dxa"/>
          </w:tblCellMar>
        </w:tblPrEx>
        <w:trPr>
          <w:trHeight w:val="462"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31</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万隆公寓</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祥和路</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6号楼东</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3.5*2*3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无</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左侧</w:t>
            </w:r>
          </w:p>
        </w:tc>
      </w:tr>
      <w:tr>
        <w:tblPrEx>
          <w:tblCellMar>
            <w:top w:w="0" w:type="dxa"/>
            <w:left w:w="10" w:type="dxa"/>
            <w:bottom w:w="0" w:type="dxa"/>
            <w:right w:w="10" w:type="dxa"/>
          </w:tblCellMar>
        </w:tblPrEx>
        <w:trPr>
          <w:trHeight w:val="462"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32</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水苑长桥</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徐州市鼓楼区二环北路</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6号楼西边</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4*1.5*3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无</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左侧</w:t>
            </w:r>
          </w:p>
        </w:tc>
      </w:tr>
      <w:tr>
        <w:tblPrEx>
          <w:tblCellMar>
            <w:top w:w="0" w:type="dxa"/>
            <w:left w:w="10" w:type="dxa"/>
            <w:bottom w:w="0" w:type="dxa"/>
            <w:right w:w="10" w:type="dxa"/>
          </w:tblCellMar>
        </w:tblPrEx>
        <w:trPr>
          <w:trHeight w:val="462"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33</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水苑长桥</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徐州市鼓楼区二环北路</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2号楼北</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4*1.5*3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无</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右侧</w:t>
            </w:r>
          </w:p>
        </w:tc>
      </w:tr>
      <w:tr>
        <w:tblPrEx>
          <w:tblCellMar>
            <w:top w:w="0" w:type="dxa"/>
            <w:left w:w="10" w:type="dxa"/>
            <w:bottom w:w="0" w:type="dxa"/>
            <w:right w:w="10" w:type="dxa"/>
          </w:tblCellMar>
        </w:tblPrEx>
        <w:trPr>
          <w:trHeight w:val="462"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34</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春华园</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中山路延长段</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小区A2号楼东</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4*1.5*3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无</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右侧</w:t>
            </w:r>
          </w:p>
        </w:tc>
      </w:tr>
      <w:tr>
        <w:tblPrEx>
          <w:tblCellMar>
            <w:top w:w="0" w:type="dxa"/>
            <w:left w:w="10" w:type="dxa"/>
            <w:bottom w:w="0" w:type="dxa"/>
            <w:right w:w="10" w:type="dxa"/>
          </w:tblCellMar>
        </w:tblPrEx>
        <w:trPr>
          <w:trHeight w:val="462"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35</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春华园</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中山路延长段</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小区C5号楼</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4*1.5*3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无</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左侧</w:t>
            </w:r>
          </w:p>
        </w:tc>
      </w:tr>
      <w:tr>
        <w:tblPrEx>
          <w:tblCellMar>
            <w:top w:w="0" w:type="dxa"/>
            <w:left w:w="10" w:type="dxa"/>
            <w:bottom w:w="0" w:type="dxa"/>
            <w:right w:w="10" w:type="dxa"/>
          </w:tblCellMar>
        </w:tblPrEx>
        <w:trPr>
          <w:trHeight w:val="462"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36</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鼓楼晶典</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风尚路6号</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11号楼东侧</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4*1.5*3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无</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左侧</w:t>
            </w:r>
          </w:p>
        </w:tc>
      </w:tr>
      <w:tr>
        <w:tblPrEx>
          <w:tblCellMar>
            <w:top w:w="0" w:type="dxa"/>
            <w:left w:w="10" w:type="dxa"/>
            <w:bottom w:w="0" w:type="dxa"/>
            <w:right w:w="10" w:type="dxa"/>
          </w:tblCellMar>
        </w:tblPrEx>
        <w:trPr>
          <w:trHeight w:val="462"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37</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润和园</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二环北路</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9号楼</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4*2*3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无</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左侧</w:t>
            </w:r>
          </w:p>
        </w:tc>
      </w:tr>
      <w:tr>
        <w:tblPrEx>
          <w:tblCellMar>
            <w:top w:w="0" w:type="dxa"/>
            <w:left w:w="10" w:type="dxa"/>
            <w:bottom w:w="0" w:type="dxa"/>
            <w:right w:w="10" w:type="dxa"/>
          </w:tblCellMar>
        </w:tblPrEx>
        <w:trPr>
          <w:trHeight w:val="462"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38</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鼓楼晶典</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风尚路6号</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4号楼北侧</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4*2*3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无</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左侧</w:t>
            </w:r>
          </w:p>
        </w:tc>
      </w:tr>
      <w:tr>
        <w:tblPrEx>
          <w:tblCellMar>
            <w:top w:w="0" w:type="dxa"/>
            <w:left w:w="10" w:type="dxa"/>
            <w:bottom w:w="0" w:type="dxa"/>
            <w:right w:w="10" w:type="dxa"/>
          </w:tblCellMar>
        </w:tblPrEx>
        <w:trPr>
          <w:trHeight w:val="462"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39</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祥和干警楼</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祥和公园北、祥和小区内</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祥和20号楼车棚西</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4*2.5*3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左侧</w:t>
            </w:r>
          </w:p>
        </w:tc>
      </w:tr>
      <w:tr>
        <w:tblPrEx>
          <w:tblCellMar>
            <w:top w:w="0" w:type="dxa"/>
            <w:left w:w="10" w:type="dxa"/>
            <w:bottom w:w="0" w:type="dxa"/>
            <w:right w:w="10" w:type="dxa"/>
          </w:tblCellMar>
        </w:tblPrEx>
        <w:trPr>
          <w:trHeight w:val="462"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40</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鼓楼晶典</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风尚路6号</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8号楼北侧</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4.5*2*3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左侧</w:t>
            </w:r>
          </w:p>
        </w:tc>
      </w:tr>
      <w:tr>
        <w:tblPrEx>
          <w:tblCellMar>
            <w:top w:w="0" w:type="dxa"/>
            <w:left w:w="10" w:type="dxa"/>
            <w:bottom w:w="0" w:type="dxa"/>
            <w:right w:w="10" w:type="dxa"/>
          </w:tblCellMar>
        </w:tblPrEx>
        <w:trPr>
          <w:trHeight w:val="891"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41</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金博星城</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奔腾大道与复兴北路交叉口西南</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奔腾大道路南侧，徐州安达西20米</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4.5*2*3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右侧</w:t>
            </w:r>
          </w:p>
        </w:tc>
      </w:tr>
      <w:tr>
        <w:tblPrEx>
          <w:tblCellMar>
            <w:top w:w="0" w:type="dxa"/>
            <w:left w:w="10" w:type="dxa"/>
            <w:bottom w:w="0" w:type="dxa"/>
            <w:right w:w="10" w:type="dxa"/>
          </w:tblCellMar>
        </w:tblPrEx>
        <w:trPr>
          <w:trHeight w:val="462"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42</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风尚米兰</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中山北路222号</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13号楼前</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4.5*2.5*3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左侧</w:t>
            </w:r>
          </w:p>
        </w:tc>
      </w:tr>
      <w:tr>
        <w:tblPrEx>
          <w:tblCellMar>
            <w:top w:w="0" w:type="dxa"/>
            <w:left w:w="10" w:type="dxa"/>
            <w:bottom w:w="0" w:type="dxa"/>
            <w:right w:w="10" w:type="dxa"/>
          </w:tblCellMar>
        </w:tblPrEx>
        <w:trPr>
          <w:trHeight w:val="462"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43</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风尚米兰</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中山北路222号</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9号楼北侧</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4.5*2.5*3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左侧</w:t>
            </w:r>
          </w:p>
        </w:tc>
      </w:tr>
      <w:tr>
        <w:tblPrEx>
          <w:tblCellMar>
            <w:top w:w="0" w:type="dxa"/>
            <w:left w:w="10" w:type="dxa"/>
            <w:bottom w:w="0" w:type="dxa"/>
            <w:right w:w="10" w:type="dxa"/>
          </w:tblCellMar>
        </w:tblPrEx>
        <w:trPr>
          <w:trHeight w:val="462"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44</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华府天地</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二环北路158号</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9号楼北侧</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4.5*2.5*3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左侧</w:t>
            </w:r>
          </w:p>
        </w:tc>
      </w:tr>
      <w:tr>
        <w:tblPrEx>
          <w:tblCellMar>
            <w:top w:w="0" w:type="dxa"/>
            <w:left w:w="10" w:type="dxa"/>
            <w:bottom w:w="0" w:type="dxa"/>
            <w:right w:w="10" w:type="dxa"/>
          </w:tblCellMar>
        </w:tblPrEx>
        <w:trPr>
          <w:trHeight w:val="891"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45</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金博星城</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奔腾大道与复兴北路交叉口西南</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奔腾大道路南侧，膜艺工坊南15米</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6*2*3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右侧</w:t>
            </w:r>
          </w:p>
        </w:tc>
      </w:tr>
      <w:tr>
        <w:tblPrEx>
          <w:tblCellMar>
            <w:top w:w="0" w:type="dxa"/>
            <w:left w:w="10" w:type="dxa"/>
            <w:bottom w:w="0" w:type="dxa"/>
            <w:right w:w="10" w:type="dxa"/>
          </w:tblCellMar>
        </w:tblPrEx>
        <w:trPr>
          <w:trHeight w:val="462"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46</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堤北市场</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6*2.5*3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462"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47</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鼓楼晶典</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风尚路6号</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南门内</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6*2.5*3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左侧</w:t>
            </w:r>
          </w:p>
        </w:tc>
      </w:tr>
      <w:tr>
        <w:tblPrEx>
          <w:tblCellMar>
            <w:top w:w="0" w:type="dxa"/>
            <w:left w:w="10" w:type="dxa"/>
            <w:bottom w:w="0" w:type="dxa"/>
            <w:right w:w="10" w:type="dxa"/>
          </w:tblCellMar>
        </w:tblPrEx>
        <w:trPr>
          <w:trHeight w:val="462"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48</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地质队宿舍</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二环北路4号</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4号楼下</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8*1.5*3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左侧</w:t>
            </w:r>
          </w:p>
        </w:tc>
      </w:tr>
      <w:tr>
        <w:tblPrEx>
          <w:tblCellMar>
            <w:top w:w="0" w:type="dxa"/>
            <w:left w:w="10" w:type="dxa"/>
            <w:bottom w:w="0" w:type="dxa"/>
            <w:right w:w="10" w:type="dxa"/>
          </w:tblCellMar>
        </w:tblPrEx>
        <w:trPr>
          <w:trHeight w:val="462"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49</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风尚米兰</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中山北路222号</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别墅区南围墙</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6*5*3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左侧</w:t>
            </w:r>
          </w:p>
        </w:tc>
      </w:tr>
      <w:tr>
        <w:tblPrEx>
          <w:tblCellMar>
            <w:top w:w="0" w:type="dxa"/>
            <w:left w:w="10" w:type="dxa"/>
            <w:bottom w:w="0" w:type="dxa"/>
            <w:right w:w="10" w:type="dxa"/>
          </w:tblCellMar>
        </w:tblPrEx>
        <w:trPr>
          <w:trHeight w:val="891"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50</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国华天玺</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中山北路与二环北路交叉口北100米路东</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A栋南侧</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2*5*3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左侧</w:t>
            </w:r>
          </w:p>
        </w:tc>
      </w:tr>
      <w:tr>
        <w:tblPrEx>
          <w:tblCellMar>
            <w:top w:w="0" w:type="dxa"/>
            <w:left w:w="10" w:type="dxa"/>
            <w:bottom w:w="0" w:type="dxa"/>
            <w:right w:w="10" w:type="dxa"/>
          </w:tblCellMar>
        </w:tblPrEx>
        <w:trPr>
          <w:trHeight w:val="891"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51</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国华天玺</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中山北路与二环北路交叉口北100米路东</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C栋北侧</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2*5*3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左侧</w:t>
            </w:r>
          </w:p>
        </w:tc>
      </w:tr>
      <w:tr>
        <w:tblPrEx>
          <w:tblCellMar>
            <w:top w:w="0" w:type="dxa"/>
            <w:left w:w="10" w:type="dxa"/>
            <w:bottom w:w="0" w:type="dxa"/>
            <w:right w:w="10" w:type="dxa"/>
          </w:tblCellMar>
        </w:tblPrEx>
        <w:trPr>
          <w:trHeight w:val="462"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52</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东阁小区</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北院</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3.5*2*3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无</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左侧</w:t>
            </w:r>
          </w:p>
        </w:tc>
      </w:tr>
      <w:tr>
        <w:tblPrEx>
          <w:tblCellMar>
            <w:top w:w="0" w:type="dxa"/>
            <w:left w:w="10" w:type="dxa"/>
            <w:bottom w:w="0" w:type="dxa"/>
            <w:right w:w="10" w:type="dxa"/>
          </w:tblCellMar>
        </w:tblPrEx>
        <w:trPr>
          <w:trHeight w:val="462"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53</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东阁小区</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南院</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3.5*2.5*3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无</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左侧</w:t>
            </w:r>
          </w:p>
        </w:tc>
      </w:tr>
      <w:tr>
        <w:tblPrEx>
          <w:tblCellMar>
            <w:top w:w="0" w:type="dxa"/>
            <w:left w:w="10" w:type="dxa"/>
            <w:bottom w:w="0" w:type="dxa"/>
            <w:right w:w="10" w:type="dxa"/>
          </w:tblCellMar>
        </w:tblPrEx>
        <w:trPr>
          <w:trHeight w:val="891"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54</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前舜新村</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前舜四巷</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原大坝社区党群中心对面</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3.5*2.5*3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无</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左侧</w:t>
            </w:r>
          </w:p>
        </w:tc>
      </w:tr>
      <w:tr>
        <w:tblPrEx>
          <w:tblCellMar>
            <w:top w:w="0" w:type="dxa"/>
            <w:left w:w="10" w:type="dxa"/>
            <w:bottom w:w="0" w:type="dxa"/>
            <w:right w:w="10" w:type="dxa"/>
          </w:tblCellMar>
        </w:tblPrEx>
        <w:trPr>
          <w:trHeight w:val="462"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55</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坝子小区</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爱牙医院隔壁</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小区东门</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4*2*3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无</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左侧</w:t>
            </w:r>
          </w:p>
        </w:tc>
      </w:tr>
      <w:tr>
        <w:tblPrEx>
          <w:tblCellMar>
            <w:top w:w="0" w:type="dxa"/>
            <w:left w:w="10" w:type="dxa"/>
            <w:bottom w:w="0" w:type="dxa"/>
            <w:right w:w="10" w:type="dxa"/>
          </w:tblCellMar>
        </w:tblPrEx>
        <w:trPr>
          <w:trHeight w:val="462"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56</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坝子小区</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爱牙医院隔壁</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小区南门</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4*2*3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无</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左侧</w:t>
            </w:r>
          </w:p>
        </w:tc>
      </w:tr>
      <w:tr>
        <w:tblPrEx>
          <w:tblCellMar>
            <w:top w:w="0" w:type="dxa"/>
            <w:left w:w="10" w:type="dxa"/>
            <w:bottom w:w="0" w:type="dxa"/>
            <w:right w:w="10" w:type="dxa"/>
          </w:tblCellMar>
        </w:tblPrEx>
        <w:trPr>
          <w:trHeight w:val="462"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57</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天骄</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4*2*3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无</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左侧</w:t>
            </w:r>
          </w:p>
        </w:tc>
      </w:tr>
      <w:tr>
        <w:tblPrEx>
          <w:tblCellMar>
            <w:top w:w="0" w:type="dxa"/>
            <w:left w:w="10" w:type="dxa"/>
            <w:bottom w:w="0" w:type="dxa"/>
            <w:right w:w="10" w:type="dxa"/>
          </w:tblCellMar>
        </w:tblPrEx>
        <w:trPr>
          <w:trHeight w:val="891"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58</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府城阁</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1818美食广场停车场入口东侧</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小区停车场处</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4.5*2.5*3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左侧</w:t>
            </w:r>
          </w:p>
        </w:tc>
      </w:tr>
      <w:tr>
        <w:tblPrEx>
          <w:tblCellMar>
            <w:top w:w="0" w:type="dxa"/>
            <w:left w:w="10" w:type="dxa"/>
            <w:bottom w:w="0" w:type="dxa"/>
            <w:right w:w="10" w:type="dxa"/>
          </w:tblCellMar>
        </w:tblPrEx>
        <w:trPr>
          <w:trHeight w:val="462"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59</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香榭丽花园</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和信广场西侧</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小区东门</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4.5*2.5*3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左侧</w:t>
            </w:r>
          </w:p>
        </w:tc>
      </w:tr>
      <w:tr>
        <w:tblPrEx>
          <w:tblCellMar>
            <w:top w:w="0" w:type="dxa"/>
            <w:left w:w="10" w:type="dxa"/>
            <w:bottom w:w="0" w:type="dxa"/>
            <w:right w:w="10" w:type="dxa"/>
          </w:tblCellMar>
        </w:tblPrEx>
        <w:trPr>
          <w:trHeight w:val="462"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60</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东阁小区</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南院</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c>
          <w:tcPr>
            <w:tcW w:w="1377" w:type="dxa"/>
            <w:tcBorders>
              <w:top w:val="single" w:color="000000" w:sz="4" w:space="0"/>
              <w:left w:val="single" w:color="000000" w:sz="4" w:space="0"/>
              <w:bottom w:val="single" w:color="000000" w:sz="4" w:space="0"/>
              <w:right w:val="single" w:color="000000" w:sz="4" w:space="0"/>
            </w:tcBorders>
            <w:shd w:val="clear" w:color="auto" w:fill="FFFFFF" w:themeFill="background1"/>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spacing w:val="0"/>
                <w:position w:val="0"/>
              </w:rPr>
            </w:pPr>
            <w:r>
              <w:rPr>
                <w:rFonts w:hint="eastAsia" w:asciiTheme="minorEastAsia" w:hAnsiTheme="minorEastAsia" w:eastAsiaTheme="minorEastAsia" w:cstheme="minorEastAsia"/>
                <w:color w:val="000000"/>
                <w:spacing w:val="0"/>
                <w:position w:val="0"/>
                <w:sz w:val="18"/>
                <w:shd w:val="clear" w:fill="auto"/>
              </w:rPr>
              <w:t>4*2</w:t>
            </w:r>
            <w:r>
              <w:rPr>
                <w:rFonts w:hint="eastAsia" w:asciiTheme="minorEastAsia" w:hAnsiTheme="minorEastAsia" w:eastAsiaTheme="minorEastAsia" w:cstheme="minorEastAsia"/>
                <w:color w:val="auto"/>
                <w:spacing w:val="0"/>
                <w:position w:val="0"/>
                <w:sz w:val="18"/>
                <w:shd w:val="clear" w:fill="auto"/>
              </w:rPr>
              <w:t>*3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左侧</w:t>
            </w:r>
          </w:p>
        </w:tc>
      </w:tr>
      <w:tr>
        <w:tblPrEx>
          <w:tblCellMar>
            <w:top w:w="0" w:type="dxa"/>
            <w:left w:w="10" w:type="dxa"/>
            <w:bottom w:w="0" w:type="dxa"/>
            <w:right w:w="10" w:type="dxa"/>
          </w:tblCellMar>
        </w:tblPrEx>
        <w:trPr>
          <w:trHeight w:val="462"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61</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永康小区</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迦南国际西北侧</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小区公厕外</w:t>
            </w:r>
          </w:p>
        </w:tc>
        <w:tc>
          <w:tcPr>
            <w:tcW w:w="1377" w:type="dxa"/>
            <w:tcBorders>
              <w:top w:val="single" w:color="000000" w:sz="4" w:space="0"/>
              <w:left w:val="single" w:color="000000" w:sz="4" w:space="0"/>
              <w:bottom w:val="single" w:color="000000" w:sz="4" w:space="0"/>
              <w:right w:val="single" w:color="000000" w:sz="4" w:space="0"/>
            </w:tcBorders>
            <w:shd w:val="clear" w:color="auto" w:fill="FFFFFF" w:themeFill="background1"/>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spacing w:val="0"/>
                <w:position w:val="0"/>
              </w:rPr>
            </w:pPr>
            <w:r>
              <w:rPr>
                <w:rFonts w:hint="eastAsia" w:asciiTheme="minorEastAsia" w:hAnsiTheme="minorEastAsia" w:eastAsiaTheme="minorEastAsia" w:cstheme="minorEastAsia"/>
                <w:color w:val="000000"/>
                <w:spacing w:val="0"/>
                <w:position w:val="0"/>
                <w:sz w:val="18"/>
                <w:shd w:val="clear" w:fill="auto"/>
              </w:rPr>
              <w:t>4.5*2.5</w:t>
            </w:r>
            <w:r>
              <w:rPr>
                <w:rFonts w:hint="eastAsia" w:asciiTheme="minorEastAsia" w:hAnsiTheme="minorEastAsia" w:eastAsiaTheme="minorEastAsia" w:cstheme="minorEastAsia"/>
                <w:color w:val="auto"/>
                <w:spacing w:val="0"/>
                <w:position w:val="0"/>
                <w:sz w:val="18"/>
                <w:shd w:val="clear" w:fill="auto"/>
              </w:rPr>
              <w:t>*3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右侧</w:t>
            </w:r>
          </w:p>
        </w:tc>
      </w:tr>
      <w:tr>
        <w:tblPrEx>
          <w:tblCellMar>
            <w:top w:w="0" w:type="dxa"/>
            <w:left w:w="10" w:type="dxa"/>
            <w:bottom w:w="0" w:type="dxa"/>
            <w:right w:w="10" w:type="dxa"/>
          </w:tblCellMar>
        </w:tblPrEx>
        <w:trPr>
          <w:trHeight w:val="462"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62</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老营盘小区</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前进路</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老营盘小区停车场处</w:t>
            </w:r>
          </w:p>
        </w:tc>
        <w:tc>
          <w:tcPr>
            <w:tcW w:w="1377" w:type="dxa"/>
            <w:tcBorders>
              <w:top w:val="single" w:color="000000" w:sz="4" w:space="0"/>
              <w:left w:val="single" w:color="000000" w:sz="4" w:space="0"/>
              <w:bottom w:val="single" w:color="000000" w:sz="4" w:space="0"/>
              <w:right w:val="single" w:color="000000" w:sz="4" w:space="0"/>
            </w:tcBorders>
            <w:shd w:val="clear" w:color="auto" w:fill="FFFFFF" w:themeFill="background1"/>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spacing w:val="0"/>
                <w:position w:val="0"/>
              </w:rPr>
            </w:pPr>
            <w:r>
              <w:rPr>
                <w:rFonts w:hint="eastAsia" w:asciiTheme="minorEastAsia" w:hAnsiTheme="minorEastAsia" w:eastAsiaTheme="minorEastAsia" w:cstheme="minorEastAsia"/>
                <w:color w:val="000000"/>
                <w:spacing w:val="0"/>
                <w:position w:val="0"/>
                <w:sz w:val="18"/>
                <w:shd w:val="clear" w:fill="auto"/>
              </w:rPr>
              <w:t>6*2</w:t>
            </w:r>
            <w:r>
              <w:rPr>
                <w:rFonts w:hint="eastAsia" w:asciiTheme="minorEastAsia" w:hAnsiTheme="minorEastAsia" w:eastAsiaTheme="minorEastAsia" w:cstheme="minorEastAsia"/>
                <w:color w:val="auto"/>
                <w:spacing w:val="0"/>
                <w:position w:val="0"/>
                <w:sz w:val="18"/>
                <w:shd w:val="clear" w:fill="auto"/>
              </w:rPr>
              <w:t>*3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左侧</w:t>
            </w:r>
          </w:p>
        </w:tc>
      </w:tr>
      <w:tr>
        <w:tblPrEx>
          <w:tblCellMar>
            <w:top w:w="0" w:type="dxa"/>
            <w:left w:w="10" w:type="dxa"/>
            <w:bottom w:w="0" w:type="dxa"/>
            <w:right w:w="10" w:type="dxa"/>
          </w:tblCellMar>
        </w:tblPrEx>
        <w:trPr>
          <w:trHeight w:val="462"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63</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香榭丽花园</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和信广场西侧</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小区花园北侧</w:t>
            </w:r>
          </w:p>
        </w:tc>
        <w:tc>
          <w:tcPr>
            <w:tcW w:w="1377" w:type="dxa"/>
            <w:tcBorders>
              <w:top w:val="single" w:color="000000" w:sz="4" w:space="0"/>
              <w:left w:val="single" w:color="000000" w:sz="4" w:space="0"/>
              <w:bottom w:val="single" w:color="000000" w:sz="4" w:space="0"/>
              <w:right w:val="single" w:color="000000" w:sz="4" w:space="0"/>
            </w:tcBorders>
            <w:shd w:val="clear" w:color="auto" w:fill="FFFFFF" w:themeFill="background1"/>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spacing w:val="0"/>
                <w:position w:val="0"/>
              </w:rPr>
            </w:pPr>
            <w:r>
              <w:rPr>
                <w:rFonts w:hint="eastAsia" w:asciiTheme="minorEastAsia" w:hAnsiTheme="minorEastAsia" w:eastAsiaTheme="minorEastAsia" w:cstheme="minorEastAsia"/>
                <w:color w:val="000000"/>
                <w:spacing w:val="0"/>
                <w:position w:val="0"/>
                <w:sz w:val="18"/>
                <w:shd w:val="clear" w:fill="auto"/>
              </w:rPr>
              <w:t>6*2.5</w:t>
            </w:r>
            <w:r>
              <w:rPr>
                <w:rFonts w:hint="eastAsia" w:asciiTheme="minorEastAsia" w:hAnsiTheme="minorEastAsia" w:eastAsiaTheme="minorEastAsia" w:cstheme="minorEastAsia"/>
                <w:color w:val="auto"/>
                <w:spacing w:val="0"/>
                <w:position w:val="0"/>
                <w:sz w:val="18"/>
                <w:shd w:val="clear" w:fill="auto"/>
              </w:rPr>
              <w:t>*3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左侧</w:t>
            </w:r>
          </w:p>
        </w:tc>
      </w:tr>
      <w:tr>
        <w:tblPrEx>
          <w:tblCellMar>
            <w:top w:w="0" w:type="dxa"/>
            <w:left w:w="10" w:type="dxa"/>
            <w:bottom w:w="0" w:type="dxa"/>
            <w:right w:w="10" w:type="dxa"/>
          </w:tblCellMar>
        </w:tblPrEx>
        <w:trPr>
          <w:trHeight w:val="462"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64</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永康小区</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迦南国际西北侧</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小区东门入口处</w:t>
            </w:r>
          </w:p>
        </w:tc>
        <w:tc>
          <w:tcPr>
            <w:tcW w:w="1377" w:type="dxa"/>
            <w:tcBorders>
              <w:top w:val="single" w:color="000000" w:sz="4" w:space="0"/>
              <w:left w:val="single" w:color="000000" w:sz="4" w:space="0"/>
              <w:bottom w:val="single" w:color="000000" w:sz="4" w:space="0"/>
              <w:right w:val="single" w:color="000000" w:sz="4" w:space="0"/>
            </w:tcBorders>
            <w:shd w:val="clear" w:color="auto" w:fill="FFFFFF" w:themeFill="background1"/>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spacing w:val="0"/>
                <w:position w:val="0"/>
              </w:rPr>
            </w:pPr>
            <w:r>
              <w:rPr>
                <w:rFonts w:hint="eastAsia" w:asciiTheme="minorEastAsia" w:hAnsiTheme="minorEastAsia" w:eastAsiaTheme="minorEastAsia" w:cstheme="minorEastAsia"/>
                <w:color w:val="000000"/>
                <w:spacing w:val="0"/>
                <w:position w:val="0"/>
                <w:sz w:val="18"/>
                <w:shd w:val="clear" w:fill="auto"/>
              </w:rPr>
              <w:t>4*2</w:t>
            </w:r>
            <w:r>
              <w:rPr>
                <w:rFonts w:hint="eastAsia" w:asciiTheme="minorEastAsia" w:hAnsiTheme="minorEastAsia" w:eastAsiaTheme="minorEastAsia" w:cstheme="minorEastAsia"/>
                <w:color w:val="auto"/>
                <w:spacing w:val="0"/>
                <w:position w:val="0"/>
                <w:sz w:val="18"/>
                <w:shd w:val="clear" w:fill="auto"/>
              </w:rPr>
              <w:t>*3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右侧</w:t>
            </w:r>
          </w:p>
        </w:tc>
      </w:tr>
      <w:tr>
        <w:tblPrEx>
          <w:tblCellMar>
            <w:top w:w="0" w:type="dxa"/>
            <w:left w:w="10" w:type="dxa"/>
            <w:bottom w:w="0" w:type="dxa"/>
            <w:right w:w="10" w:type="dxa"/>
          </w:tblCellMar>
        </w:tblPrEx>
        <w:trPr>
          <w:trHeight w:val="462"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65</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电北巷</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电北巷</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黄楼派出所西侧</w:t>
            </w:r>
          </w:p>
        </w:tc>
        <w:tc>
          <w:tcPr>
            <w:tcW w:w="1377" w:type="dxa"/>
            <w:tcBorders>
              <w:top w:val="single" w:color="000000" w:sz="4" w:space="0"/>
              <w:left w:val="single" w:color="000000" w:sz="4" w:space="0"/>
              <w:bottom w:val="single" w:color="000000" w:sz="4" w:space="0"/>
              <w:right w:val="single" w:color="000000" w:sz="4" w:space="0"/>
            </w:tcBorders>
            <w:shd w:val="clear" w:color="auto" w:fill="FFFFFF" w:themeFill="background1"/>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spacing w:val="0"/>
                <w:position w:val="0"/>
              </w:rPr>
            </w:pPr>
            <w:r>
              <w:rPr>
                <w:rFonts w:hint="eastAsia" w:asciiTheme="minorEastAsia" w:hAnsiTheme="minorEastAsia" w:eastAsiaTheme="minorEastAsia" w:cstheme="minorEastAsia"/>
                <w:color w:val="000000"/>
                <w:spacing w:val="0"/>
                <w:position w:val="0"/>
                <w:sz w:val="18"/>
                <w:shd w:val="clear" w:fill="auto"/>
              </w:rPr>
              <w:t>6*2</w:t>
            </w:r>
            <w:r>
              <w:rPr>
                <w:rFonts w:hint="eastAsia" w:asciiTheme="minorEastAsia" w:hAnsiTheme="minorEastAsia" w:eastAsiaTheme="minorEastAsia" w:cstheme="minorEastAsia"/>
                <w:color w:val="auto"/>
                <w:spacing w:val="0"/>
                <w:position w:val="0"/>
                <w:sz w:val="18"/>
                <w:shd w:val="clear" w:fill="auto"/>
              </w:rPr>
              <w:t>*3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左侧</w:t>
            </w:r>
          </w:p>
        </w:tc>
      </w:tr>
      <w:tr>
        <w:tblPrEx>
          <w:tblCellMar>
            <w:top w:w="0" w:type="dxa"/>
            <w:left w:w="10" w:type="dxa"/>
            <w:bottom w:w="0" w:type="dxa"/>
            <w:right w:w="10" w:type="dxa"/>
          </w:tblCellMar>
        </w:tblPrEx>
        <w:trPr>
          <w:trHeight w:val="891"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66</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民主小区</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民主北路锦江之星酒店对面</w:t>
            </w: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小区西侧物业办公室楼下</w:t>
            </w:r>
          </w:p>
        </w:tc>
        <w:tc>
          <w:tcPr>
            <w:tcW w:w="1377" w:type="dxa"/>
            <w:tcBorders>
              <w:top w:val="single" w:color="000000" w:sz="4" w:space="0"/>
              <w:left w:val="single" w:color="000000" w:sz="4" w:space="0"/>
              <w:bottom w:val="single" w:color="000000" w:sz="4" w:space="0"/>
              <w:right w:val="single" w:color="000000" w:sz="4" w:space="0"/>
            </w:tcBorders>
            <w:shd w:val="clear" w:color="auto" w:fill="FFFFFF" w:themeFill="background1"/>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spacing w:val="0"/>
                <w:position w:val="0"/>
              </w:rPr>
            </w:pPr>
            <w:r>
              <w:rPr>
                <w:rFonts w:hint="eastAsia" w:asciiTheme="minorEastAsia" w:hAnsiTheme="minorEastAsia" w:eastAsiaTheme="minorEastAsia" w:cstheme="minorEastAsia"/>
                <w:color w:val="000000"/>
                <w:spacing w:val="0"/>
                <w:position w:val="0"/>
                <w:sz w:val="18"/>
                <w:shd w:val="clear" w:fill="auto"/>
              </w:rPr>
              <w:t>6*2.5</w:t>
            </w:r>
            <w:r>
              <w:rPr>
                <w:rFonts w:hint="eastAsia" w:asciiTheme="minorEastAsia" w:hAnsiTheme="minorEastAsia" w:eastAsiaTheme="minorEastAsia" w:cstheme="minorEastAsia"/>
                <w:color w:val="auto"/>
                <w:spacing w:val="0"/>
                <w:position w:val="0"/>
                <w:sz w:val="18"/>
                <w:shd w:val="clear" w:fill="auto"/>
              </w:rPr>
              <w:t>*3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右侧</w:t>
            </w:r>
          </w:p>
        </w:tc>
      </w:tr>
      <w:tr>
        <w:tblPrEx>
          <w:tblCellMar>
            <w:top w:w="0" w:type="dxa"/>
            <w:left w:w="10" w:type="dxa"/>
            <w:bottom w:w="0" w:type="dxa"/>
            <w:right w:w="10" w:type="dxa"/>
          </w:tblCellMar>
        </w:tblPrEx>
        <w:trPr>
          <w:trHeight w:val="496"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67</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天骄</w:t>
            </w:r>
          </w:p>
        </w:tc>
        <w:tc>
          <w:tcPr>
            <w:tcW w:w="244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c>
          <w:tcPr>
            <w:tcW w:w="1377" w:type="dxa"/>
            <w:tcBorders>
              <w:top w:val="single" w:color="000000" w:sz="4" w:space="0"/>
              <w:left w:val="single" w:color="000000" w:sz="4" w:space="0"/>
              <w:bottom w:val="single" w:color="000000" w:sz="4" w:space="0"/>
              <w:right w:val="single" w:color="000000" w:sz="4" w:space="0"/>
            </w:tcBorders>
            <w:shd w:val="clear" w:color="auto" w:fill="FFFFFF" w:themeFill="background1"/>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spacing w:val="0"/>
                <w:position w:val="0"/>
              </w:rPr>
            </w:pPr>
            <w:r>
              <w:rPr>
                <w:rFonts w:hint="eastAsia" w:asciiTheme="minorEastAsia" w:hAnsiTheme="minorEastAsia" w:eastAsiaTheme="minorEastAsia" w:cstheme="minorEastAsia"/>
                <w:color w:val="000000"/>
                <w:spacing w:val="0"/>
                <w:position w:val="0"/>
                <w:sz w:val="18"/>
                <w:shd w:val="clear" w:fill="auto"/>
              </w:rPr>
              <w:t>6*2.5</w:t>
            </w:r>
            <w:r>
              <w:rPr>
                <w:rFonts w:hint="eastAsia" w:asciiTheme="minorEastAsia" w:hAnsiTheme="minorEastAsia" w:eastAsiaTheme="minorEastAsia" w:cstheme="minorEastAsia"/>
                <w:color w:val="auto"/>
                <w:spacing w:val="0"/>
                <w:position w:val="0"/>
                <w:sz w:val="18"/>
                <w:shd w:val="clear" w:fill="auto"/>
              </w:rPr>
              <w:t>*3</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左侧</w:t>
            </w:r>
          </w:p>
        </w:tc>
      </w:tr>
    </w:tbl>
    <w:p>
      <w:pPr>
        <w:spacing w:before="0" w:after="0" w:line="274" w:lineRule="auto"/>
        <w:ind w:left="0" w:right="6" w:firstLine="0"/>
        <w:jc w:val="both"/>
        <w:rPr>
          <w:rFonts w:hint="eastAsia" w:asciiTheme="minorEastAsia" w:hAnsiTheme="minorEastAsia" w:eastAsiaTheme="minorEastAsia" w:cstheme="minorEastAsia"/>
          <w:color w:val="auto"/>
          <w:spacing w:val="0"/>
          <w:position w:val="0"/>
          <w:sz w:val="18"/>
          <w:shd w:val="clear" w:fill="auto"/>
        </w:rPr>
      </w:pPr>
    </w:p>
    <w:p>
      <w:pPr>
        <w:spacing w:before="0" w:after="0" w:line="274" w:lineRule="auto"/>
        <w:ind w:left="0" w:right="6" w:firstLine="0"/>
        <w:jc w:val="both"/>
        <w:rPr>
          <w:rFonts w:hint="eastAsia" w:asciiTheme="minorEastAsia" w:hAnsiTheme="minorEastAsia" w:eastAsiaTheme="minorEastAsia" w:cstheme="minorEastAsia"/>
          <w:color w:val="auto"/>
          <w:spacing w:val="0"/>
          <w:position w:val="0"/>
          <w:sz w:val="18"/>
          <w:shd w:val="clear" w:fill="auto"/>
        </w:rPr>
      </w:pPr>
    </w:p>
    <w:p>
      <w:pPr>
        <w:spacing w:before="0" w:after="0" w:line="274" w:lineRule="auto"/>
        <w:ind w:left="256" w:right="6" w:firstLine="624"/>
        <w:jc w:val="both"/>
        <w:rPr>
          <w:rFonts w:hint="eastAsia" w:asciiTheme="minorEastAsia" w:hAnsiTheme="minorEastAsia" w:eastAsiaTheme="minorEastAsia" w:cstheme="minorEastAsia"/>
          <w:color w:val="auto"/>
          <w:spacing w:val="0"/>
          <w:position w:val="0"/>
          <w:sz w:val="24"/>
          <w:shd w:val="clear" w:fill="auto"/>
        </w:rPr>
      </w:pPr>
    </w:p>
    <w:p>
      <w:pPr>
        <w:spacing w:before="0" w:after="0" w:line="274" w:lineRule="auto"/>
        <w:ind w:left="256" w:right="6" w:firstLine="624"/>
        <w:jc w:val="both"/>
        <w:rPr>
          <w:rFonts w:hint="eastAsia" w:asciiTheme="minorEastAsia" w:hAnsiTheme="minorEastAsia" w:eastAsiaTheme="minorEastAsia" w:cstheme="minorEastAsia"/>
          <w:color w:val="auto"/>
          <w:spacing w:val="0"/>
          <w:position w:val="0"/>
          <w:sz w:val="24"/>
          <w:shd w:val="clear" w:fill="auto"/>
        </w:rPr>
      </w:pPr>
    </w:p>
    <w:p>
      <w:pPr>
        <w:spacing w:before="0" w:after="0" w:line="274" w:lineRule="auto"/>
        <w:ind w:left="256" w:right="6" w:firstLine="624"/>
        <w:jc w:val="both"/>
        <w:rPr>
          <w:rFonts w:hint="eastAsia" w:asciiTheme="minorEastAsia" w:hAnsiTheme="minorEastAsia" w:eastAsiaTheme="minorEastAsia" w:cstheme="minorEastAsia"/>
          <w:color w:val="auto"/>
          <w:spacing w:val="0"/>
          <w:position w:val="0"/>
          <w:sz w:val="24"/>
          <w:shd w:val="clear" w:fill="auto"/>
        </w:rPr>
      </w:pPr>
    </w:p>
    <w:p>
      <w:pPr>
        <w:spacing w:before="0" w:after="0" w:line="274" w:lineRule="auto"/>
        <w:ind w:right="6"/>
        <w:jc w:val="both"/>
        <w:rPr>
          <w:rFonts w:hint="eastAsia" w:asciiTheme="minorEastAsia" w:hAnsiTheme="minorEastAsia" w:eastAsiaTheme="minorEastAsia" w:cstheme="minorEastAsia"/>
          <w:b/>
          <w:bCs/>
          <w:color w:val="auto"/>
          <w:spacing w:val="0"/>
          <w:position w:val="0"/>
          <w:sz w:val="24"/>
          <w:shd w:val="clear" w:fill="auto"/>
        </w:rPr>
      </w:pPr>
      <w:r>
        <w:rPr>
          <w:rFonts w:hint="eastAsia" w:asciiTheme="minorEastAsia" w:hAnsiTheme="minorEastAsia" w:eastAsiaTheme="minorEastAsia" w:cstheme="minorEastAsia"/>
          <w:b/>
          <w:bCs/>
          <w:color w:val="auto"/>
          <w:spacing w:val="0"/>
          <w:position w:val="0"/>
          <w:sz w:val="24"/>
          <w:shd w:val="clear" w:fill="auto"/>
        </w:rPr>
        <w:t>标段二：点位明细表</w:t>
      </w:r>
    </w:p>
    <w:tbl>
      <w:tblPr>
        <w:tblStyle w:val="12"/>
        <w:tblW w:w="10346" w:type="dxa"/>
        <w:tblInd w:w="-771" w:type="dxa"/>
        <w:tblLayout w:type="fixed"/>
        <w:tblCellMar>
          <w:top w:w="0" w:type="dxa"/>
          <w:left w:w="10" w:type="dxa"/>
          <w:bottom w:w="0" w:type="dxa"/>
          <w:right w:w="10" w:type="dxa"/>
        </w:tblCellMar>
      </w:tblPr>
      <w:tblGrid>
        <w:gridCol w:w="831"/>
        <w:gridCol w:w="1360"/>
        <w:gridCol w:w="2475"/>
        <w:gridCol w:w="1558"/>
        <w:gridCol w:w="1146"/>
        <w:gridCol w:w="1584"/>
        <w:gridCol w:w="1392"/>
      </w:tblGrid>
      <w:tr>
        <w:tblPrEx>
          <w:tblCellMar>
            <w:top w:w="0" w:type="dxa"/>
            <w:left w:w="10" w:type="dxa"/>
            <w:bottom w:w="0" w:type="dxa"/>
            <w:right w:w="10" w:type="dxa"/>
          </w:tblCellMar>
        </w:tblPrEx>
        <w:trPr>
          <w:trHeight w:val="1130"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序号</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小区名称</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小区地址</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收集点位置</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收集亭制作尺寸（长*宽*高）</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有/无储藏间</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储藏间/洗手盆位置</w:t>
            </w:r>
          </w:p>
        </w:tc>
      </w:tr>
      <w:tr>
        <w:tblPrEx>
          <w:tblCellMar>
            <w:top w:w="0" w:type="dxa"/>
            <w:left w:w="10" w:type="dxa"/>
            <w:bottom w:w="0" w:type="dxa"/>
            <w:right w:w="10" w:type="dxa"/>
          </w:tblCellMar>
        </w:tblPrEx>
        <w:trPr>
          <w:trHeight w:val="1130"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1</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九龙湖公寓西院</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府前路区政府对面</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九龙湖西院</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4.35*3.6*3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特殊要求做两个管理房</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特殊要求做两个管理房</w:t>
            </w:r>
          </w:p>
        </w:tc>
      </w:tr>
      <w:tr>
        <w:tblPrEx>
          <w:tblCellMar>
            <w:top w:w="0" w:type="dxa"/>
            <w:left w:w="10" w:type="dxa"/>
            <w:bottom w:w="0" w:type="dxa"/>
            <w:right w:w="10" w:type="dxa"/>
          </w:tblCellMar>
        </w:tblPrEx>
        <w:trPr>
          <w:trHeight w:val="757"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2</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九龙湖公寓东院</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府前路区政府对面</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九龙湖东院</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 xml:space="preserve"> 5*3*3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383"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3</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山南小镇A区</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奔腾大道西段</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16号楼栋</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5*3*3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757"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4</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贵和苑</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奔腾大道与天齐路交叉口西南</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奔腾大道与天齐路交叉口西南</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4.6*3.5*3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757"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5</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锦绣山水</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奔腾大道西段</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31号楼北</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5.2*3.6*3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管理间在右</w:t>
            </w:r>
          </w:p>
        </w:tc>
      </w:tr>
      <w:tr>
        <w:tblPrEx>
          <w:tblCellMar>
            <w:top w:w="0" w:type="dxa"/>
            <w:left w:w="10" w:type="dxa"/>
            <w:bottom w:w="0" w:type="dxa"/>
            <w:right w:w="10" w:type="dxa"/>
          </w:tblCellMar>
        </w:tblPrEx>
        <w:trPr>
          <w:trHeight w:val="383"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6</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和风雅致</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徐运新河西路</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21号楼北</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4.9*5*3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383"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7</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郡望花园C4区</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锦绣路西段</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C5北门口</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5*2.5*3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383"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8</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鼓楼花园</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中山北路延长段</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西门口</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6*2.5*3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757"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9</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清水湾二期</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清水湾商业街路西侧</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PP029</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6*3*3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储物间在左侧</w:t>
            </w:r>
          </w:p>
        </w:tc>
      </w:tr>
      <w:tr>
        <w:tblPrEx>
          <w:tblCellMar>
            <w:top w:w="0" w:type="dxa"/>
            <w:left w:w="10" w:type="dxa"/>
            <w:bottom w:w="0" w:type="dxa"/>
            <w:right w:w="10" w:type="dxa"/>
          </w:tblCellMar>
        </w:tblPrEx>
        <w:trPr>
          <w:trHeight w:val="757"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10</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清水湾二期</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清水湾商业街路西侧</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PP030</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6*3*3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储物间在左侧</w:t>
            </w:r>
          </w:p>
        </w:tc>
      </w:tr>
      <w:tr>
        <w:tblPrEx>
          <w:tblCellMar>
            <w:top w:w="0" w:type="dxa"/>
            <w:left w:w="10" w:type="dxa"/>
            <w:bottom w:w="0" w:type="dxa"/>
            <w:right w:w="10" w:type="dxa"/>
          </w:tblCellMar>
        </w:tblPrEx>
        <w:trPr>
          <w:trHeight w:val="757"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11</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清水湾二期</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清水湾商业街路西侧</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PP031</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6*3*3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储物间在左侧</w:t>
            </w:r>
          </w:p>
        </w:tc>
      </w:tr>
      <w:tr>
        <w:tblPrEx>
          <w:tblCellMar>
            <w:top w:w="0" w:type="dxa"/>
            <w:left w:w="10" w:type="dxa"/>
            <w:bottom w:w="0" w:type="dxa"/>
            <w:right w:w="10" w:type="dxa"/>
          </w:tblCellMar>
        </w:tblPrEx>
        <w:trPr>
          <w:trHeight w:val="757"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12</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水云间二期</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祥和小学北对面，奔腾大道路北</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PP033</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6*3*3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储物间在左侧</w:t>
            </w:r>
          </w:p>
        </w:tc>
      </w:tr>
      <w:tr>
        <w:tblPrEx>
          <w:tblCellMar>
            <w:top w:w="0" w:type="dxa"/>
            <w:left w:w="10" w:type="dxa"/>
            <w:bottom w:w="0" w:type="dxa"/>
            <w:right w:w="10" w:type="dxa"/>
          </w:tblCellMar>
        </w:tblPrEx>
        <w:trPr>
          <w:trHeight w:val="757"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13</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水云间二期</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祥和小学北对面，奔腾大道路北</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PP034</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6*3*3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储物间在左侧</w:t>
            </w:r>
          </w:p>
        </w:tc>
      </w:tr>
      <w:tr>
        <w:tblPrEx>
          <w:tblCellMar>
            <w:top w:w="0" w:type="dxa"/>
            <w:left w:w="10" w:type="dxa"/>
            <w:bottom w:w="0" w:type="dxa"/>
            <w:right w:w="10" w:type="dxa"/>
          </w:tblCellMar>
        </w:tblPrEx>
        <w:trPr>
          <w:trHeight w:val="757"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14</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兴隆花园一期</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煤港路和复兴北路交叉红绿灯路口往东小道进入</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小区入口处</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8*2*3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储物间在右侧</w:t>
            </w:r>
          </w:p>
        </w:tc>
      </w:tr>
      <w:tr>
        <w:tblPrEx>
          <w:tblCellMar>
            <w:top w:w="0" w:type="dxa"/>
            <w:left w:w="10" w:type="dxa"/>
            <w:bottom w:w="0" w:type="dxa"/>
            <w:right w:w="10" w:type="dxa"/>
          </w:tblCellMar>
        </w:tblPrEx>
        <w:trPr>
          <w:trHeight w:val="757"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15</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兴隆花园二期</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复兴北路,一期的北侧</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幼儿园北侧</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6*3*3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储物间在左侧</w:t>
            </w:r>
          </w:p>
        </w:tc>
      </w:tr>
      <w:tr>
        <w:tblPrEx>
          <w:tblCellMar>
            <w:top w:w="0" w:type="dxa"/>
            <w:left w:w="10" w:type="dxa"/>
            <w:bottom w:w="0" w:type="dxa"/>
            <w:right w:w="10" w:type="dxa"/>
          </w:tblCellMar>
        </w:tblPrEx>
        <w:trPr>
          <w:trHeight w:val="757"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16</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宜居嘉园</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徐运新河西路和沈孟路交叉口往南500米，靠路西</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北门内7号楼前</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6*3*3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储物间在右侧</w:t>
            </w:r>
          </w:p>
        </w:tc>
      </w:tr>
      <w:tr>
        <w:tblPrEx>
          <w:tblCellMar>
            <w:top w:w="0" w:type="dxa"/>
            <w:left w:w="10" w:type="dxa"/>
            <w:bottom w:w="0" w:type="dxa"/>
            <w:right w:w="10" w:type="dxa"/>
          </w:tblCellMar>
        </w:tblPrEx>
        <w:trPr>
          <w:trHeight w:val="757"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17</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周屯村</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周屯一组广场公厕南侧</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周屯一组广场公厕南侧</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6*3*3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757"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18</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周屯村</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周屯新村广场公厕北侧</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周屯新村广场公厕北侧</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6*3*3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383"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highlight w:val="none"/>
                <w:shd w:val="clear" w:fill="auto"/>
              </w:rPr>
            </w:pPr>
            <w:r>
              <w:rPr>
                <w:rFonts w:hint="eastAsia" w:asciiTheme="minorEastAsia" w:hAnsiTheme="minorEastAsia" w:eastAsiaTheme="minorEastAsia" w:cstheme="minorEastAsia"/>
                <w:color w:val="auto"/>
                <w:spacing w:val="0"/>
                <w:position w:val="0"/>
                <w:sz w:val="18"/>
                <w:highlight w:val="none"/>
                <w:shd w:val="clear" w:fill="auto"/>
              </w:rPr>
              <w:t>19</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highlight w:val="none"/>
                <w:shd w:val="clear" w:fill="auto"/>
              </w:rPr>
            </w:pPr>
            <w:r>
              <w:rPr>
                <w:rFonts w:hint="eastAsia" w:asciiTheme="minorEastAsia" w:hAnsiTheme="minorEastAsia" w:eastAsiaTheme="minorEastAsia" w:cstheme="minorEastAsia"/>
                <w:color w:val="auto"/>
                <w:spacing w:val="0"/>
                <w:position w:val="0"/>
                <w:sz w:val="18"/>
                <w:highlight w:val="none"/>
                <w:shd w:val="clear" w:fill="auto"/>
              </w:rPr>
              <w:t>杨西村</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highlight w:val="none"/>
                <w:shd w:val="clear" w:fill="auto"/>
              </w:rPr>
            </w:pPr>
            <w:r>
              <w:rPr>
                <w:rFonts w:hint="eastAsia" w:asciiTheme="minorEastAsia" w:hAnsiTheme="minorEastAsia" w:eastAsiaTheme="minorEastAsia" w:cstheme="minorEastAsia"/>
                <w:color w:val="auto"/>
                <w:spacing w:val="0"/>
                <w:position w:val="0"/>
                <w:sz w:val="18"/>
                <w:highlight w:val="none"/>
                <w:shd w:val="clear" w:fill="auto"/>
              </w:rPr>
              <w:t>周屯地下道北公厕西侧</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周屯地下道北公厕西侧</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6*3*3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757"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20</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杨西村</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杨西村桥头公厕南</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杨西村桥头公厕南</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8*1.7*3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757"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21</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杨东村</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杨东村1组公厕东</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杨东村1组公厕东</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10*3.5*3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383"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22</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杨东村</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杨东村委会路南</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杨东村委会路南</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10*3.5*3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757"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23</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杨东村</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杨东村罗台子东侧</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杨东村罗台子东侧</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10*3.5*3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757"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highlight w:val="none"/>
                <w:shd w:val="clear" w:fill="auto"/>
              </w:rPr>
            </w:pPr>
            <w:r>
              <w:rPr>
                <w:rFonts w:hint="eastAsia" w:asciiTheme="minorEastAsia" w:hAnsiTheme="minorEastAsia" w:eastAsiaTheme="minorEastAsia" w:cstheme="minorEastAsia"/>
                <w:color w:val="auto"/>
                <w:spacing w:val="0"/>
                <w:position w:val="0"/>
                <w:sz w:val="18"/>
                <w:highlight w:val="none"/>
                <w:shd w:val="clear" w:fill="auto"/>
              </w:rPr>
              <w:t>24</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highlight w:val="none"/>
                <w:shd w:val="clear" w:fill="auto"/>
              </w:rPr>
            </w:pPr>
            <w:r>
              <w:rPr>
                <w:rFonts w:hint="eastAsia" w:asciiTheme="minorEastAsia" w:hAnsiTheme="minorEastAsia" w:eastAsiaTheme="minorEastAsia" w:cstheme="minorEastAsia"/>
                <w:color w:val="auto"/>
                <w:spacing w:val="0"/>
                <w:position w:val="0"/>
                <w:sz w:val="18"/>
                <w:highlight w:val="none"/>
                <w:shd w:val="clear" w:fill="auto"/>
              </w:rPr>
              <w:t>薛桥村</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highlight w:val="none"/>
                <w:shd w:val="clear" w:fill="auto"/>
              </w:rPr>
            </w:pPr>
            <w:r>
              <w:rPr>
                <w:rFonts w:hint="eastAsia" w:asciiTheme="minorEastAsia" w:hAnsiTheme="minorEastAsia" w:eastAsiaTheme="minorEastAsia" w:cstheme="minorEastAsia"/>
                <w:color w:val="auto"/>
                <w:spacing w:val="0"/>
                <w:position w:val="0"/>
                <w:sz w:val="18"/>
                <w:highlight w:val="none"/>
                <w:shd w:val="clear" w:fill="auto"/>
              </w:rPr>
              <w:t>薛桥村</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薛桥村二组（老学校旁）</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8*3*3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757"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25</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吴屯村</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吴屯佳苑</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吴屯佳苑南苑门东侧</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13*3*3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管理房在右侧</w:t>
            </w:r>
          </w:p>
        </w:tc>
      </w:tr>
      <w:tr>
        <w:tblPrEx>
          <w:tblCellMar>
            <w:top w:w="0" w:type="dxa"/>
            <w:left w:w="10" w:type="dxa"/>
            <w:bottom w:w="0" w:type="dxa"/>
            <w:right w:w="10" w:type="dxa"/>
          </w:tblCellMar>
        </w:tblPrEx>
        <w:trPr>
          <w:trHeight w:val="383"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26</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吴屯村</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吴屯村村委会西</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吴屯村村委会西</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10*3*3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757"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27</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万科城</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丁万河南路与天齐南路交叉口南侧</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万科A1东门</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6*2.5*3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 xml:space="preserve">有 </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管理间在左</w:t>
            </w:r>
          </w:p>
        </w:tc>
      </w:tr>
      <w:tr>
        <w:tblPrEx>
          <w:tblCellMar>
            <w:top w:w="0" w:type="dxa"/>
            <w:left w:w="10" w:type="dxa"/>
            <w:bottom w:w="0" w:type="dxa"/>
            <w:right w:w="10" w:type="dxa"/>
          </w:tblCellMar>
        </w:tblPrEx>
        <w:trPr>
          <w:trHeight w:val="757"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28</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万科城</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丁万河南路与天齐南路交叉口南侧</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万科A2 2#北侧</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4*1.7*3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 xml:space="preserve">有 </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757"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29</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万科城</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丁万河南路与天齐南路交叉口南侧</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万科A2 9#北侧</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4*1.7*3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 xml:space="preserve">有 </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757"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30</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万科城</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丁万河南路与天齐南路交叉口南侧</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万科A2 4#-5#之间</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4*1.7*3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 xml:space="preserve">有 </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757"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31</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万科城</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丁万河南路与天齐南路交叉口南侧</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万科A3 3#西侧</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4*1.7*3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 xml:space="preserve">有 </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757"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32</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万科城</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丁万河南路与天齐南路交叉口南侧</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万科A3 8#西侧</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4*1.7*3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 xml:space="preserve">有 </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757"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33</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万科城</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丁万河南路与天齐南路交叉口南侧</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万科A3 6#西侧</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4*1.7*3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 xml:space="preserve">有 </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757"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34</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万科城</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丁万河南路与天齐南路交叉口南侧</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万科A3 18#北侧</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4*1.7*3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 xml:space="preserve">有 </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757"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35</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万科城</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丁万河南路与天齐南路交叉口南侧</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万科A3 16#东侧</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4*1.7*3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 xml:space="preserve">有 </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757"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36</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万科城</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丁万河南路与天齐南路交叉口南侧</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万科A3幼儿园北侧</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6*2.5*3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 xml:space="preserve">有 </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管理间在右</w:t>
            </w:r>
          </w:p>
        </w:tc>
      </w:tr>
      <w:tr>
        <w:tblPrEx>
          <w:tblCellMar>
            <w:top w:w="0" w:type="dxa"/>
            <w:left w:w="10" w:type="dxa"/>
            <w:bottom w:w="0" w:type="dxa"/>
            <w:right w:w="10" w:type="dxa"/>
          </w:tblCellMar>
        </w:tblPrEx>
        <w:trPr>
          <w:trHeight w:val="757"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37</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九里新苑五期</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三环北路以北天齐路以西</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14号楼2单元西边</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3.1*1.7*3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 xml:space="preserve">有 </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383"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38</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九里新苑五期</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新地点待定</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新地点待定</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3.1*1.7*3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 xml:space="preserve">有 </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383"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39</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九里新苑六期</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三环北路以北天齐路以西</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40号楼</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3.5*1.7*3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 xml:space="preserve">有 </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383"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40</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九里新苑六期</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三环北路以北天齐路以西</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37号楼</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3.5*1.7*3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 xml:space="preserve">有 </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757"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41</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九里景秀</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平山南路与汉城东路交叉口东侧</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6#</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4.8*2*3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 xml:space="preserve">有 </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383"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42</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徐矿城</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平山北路延长段东侧</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紫薇园东门西侧</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3.5*2*3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 xml:space="preserve">有 </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可加大</w:t>
            </w:r>
          </w:p>
        </w:tc>
      </w:tr>
      <w:tr>
        <w:tblPrEx>
          <w:tblCellMar>
            <w:top w:w="0" w:type="dxa"/>
            <w:left w:w="10" w:type="dxa"/>
            <w:bottom w:w="0" w:type="dxa"/>
            <w:right w:w="10" w:type="dxa"/>
          </w:tblCellMar>
        </w:tblPrEx>
        <w:trPr>
          <w:trHeight w:val="383"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43</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徐矿城</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平山北路延长段东侧</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紫薇园83#东侧</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3.5*2*3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 xml:space="preserve">有 </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可加大</w:t>
            </w:r>
          </w:p>
        </w:tc>
      </w:tr>
      <w:tr>
        <w:tblPrEx>
          <w:tblCellMar>
            <w:top w:w="0" w:type="dxa"/>
            <w:left w:w="10" w:type="dxa"/>
            <w:bottom w:w="0" w:type="dxa"/>
            <w:right w:w="10" w:type="dxa"/>
          </w:tblCellMar>
        </w:tblPrEx>
        <w:trPr>
          <w:trHeight w:val="383"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highlight w:val="none"/>
                <w:shd w:val="clear" w:fill="auto"/>
              </w:rPr>
            </w:pPr>
            <w:r>
              <w:rPr>
                <w:rFonts w:hint="eastAsia" w:asciiTheme="minorEastAsia" w:hAnsiTheme="minorEastAsia" w:eastAsiaTheme="minorEastAsia" w:cstheme="minorEastAsia"/>
                <w:color w:val="auto"/>
                <w:spacing w:val="0"/>
                <w:position w:val="0"/>
                <w:sz w:val="18"/>
                <w:highlight w:val="none"/>
                <w:shd w:val="clear" w:fill="auto"/>
              </w:rPr>
              <w:t>44</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highlight w:val="none"/>
                <w:shd w:val="clear" w:fill="auto"/>
              </w:rPr>
            </w:pPr>
            <w:r>
              <w:rPr>
                <w:rFonts w:hint="eastAsia" w:asciiTheme="minorEastAsia" w:hAnsiTheme="minorEastAsia" w:eastAsiaTheme="minorEastAsia" w:cstheme="minorEastAsia"/>
                <w:color w:val="auto"/>
                <w:spacing w:val="0"/>
                <w:position w:val="0"/>
                <w:sz w:val="18"/>
                <w:highlight w:val="none"/>
                <w:shd w:val="clear" w:fill="auto"/>
              </w:rPr>
              <w:t>泽信公馆</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highlight w:val="none"/>
                <w:shd w:val="clear" w:fill="auto"/>
                <w:lang w:eastAsia="zh-CN"/>
              </w:rPr>
            </w:pPr>
            <w:r>
              <w:rPr>
                <w:rFonts w:hint="eastAsia" w:asciiTheme="minorEastAsia" w:hAnsiTheme="minorEastAsia" w:eastAsiaTheme="minorEastAsia" w:cstheme="minorEastAsia"/>
                <w:color w:val="auto"/>
                <w:spacing w:val="0"/>
                <w:position w:val="0"/>
                <w:sz w:val="18"/>
                <w:highlight w:val="none"/>
                <w:shd w:val="clear" w:fill="auto"/>
                <w:lang w:val="en-US" w:eastAsia="zh-CN"/>
              </w:rPr>
              <w:t>襄王北路</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highlight w:val="none"/>
                <w:shd w:val="clear" w:fill="auto"/>
              </w:rPr>
            </w:pPr>
            <w:r>
              <w:rPr>
                <w:rFonts w:hint="eastAsia" w:asciiTheme="minorEastAsia" w:hAnsiTheme="minorEastAsia" w:eastAsiaTheme="minorEastAsia" w:cstheme="minorEastAsia"/>
                <w:color w:val="auto"/>
                <w:spacing w:val="0"/>
                <w:position w:val="0"/>
                <w:sz w:val="18"/>
                <w:highlight w:val="none"/>
                <w:shd w:val="clear" w:fill="auto"/>
              </w:rPr>
              <w:t>地点待定</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highlight w:val="none"/>
                <w:shd w:val="clear" w:fill="auto"/>
              </w:rPr>
            </w:pPr>
            <w:r>
              <w:rPr>
                <w:rFonts w:hint="eastAsia" w:asciiTheme="minorEastAsia" w:hAnsiTheme="minorEastAsia" w:eastAsiaTheme="minorEastAsia" w:cstheme="minorEastAsia"/>
                <w:color w:val="auto"/>
                <w:spacing w:val="0"/>
                <w:position w:val="0"/>
                <w:sz w:val="18"/>
                <w:highlight w:val="none"/>
                <w:shd w:val="clear" w:fill="auto"/>
              </w:rPr>
              <w:t>3*2*3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 xml:space="preserve">有 </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383"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highlight w:val="none"/>
                <w:shd w:val="clear" w:fill="auto"/>
              </w:rPr>
            </w:pPr>
            <w:r>
              <w:rPr>
                <w:rFonts w:hint="eastAsia" w:asciiTheme="minorEastAsia" w:hAnsiTheme="minorEastAsia" w:eastAsiaTheme="minorEastAsia" w:cstheme="minorEastAsia"/>
                <w:color w:val="auto"/>
                <w:spacing w:val="0"/>
                <w:position w:val="0"/>
                <w:sz w:val="18"/>
                <w:highlight w:val="none"/>
                <w:shd w:val="clear" w:fill="auto"/>
              </w:rPr>
              <w:t>45</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highlight w:val="none"/>
                <w:shd w:val="clear" w:fill="auto"/>
              </w:rPr>
            </w:pPr>
            <w:r>
              <w:rPr>
                <w:rFonts w:hint="eastAsia" w:asciiTheme="minorEastAsia" w:hAnsiTheme="minorEastAsia" w:eastAsiaTheme="minorEastAsia" w:cstheme="minorEastAsia"/>
                <w:color w:val="auto"/>
                <w:spacing w:val="0"/>
                <w:position w:val="0"/>
                <w:sz w:val="18"/>
                <w:highlight w:val="none"/>
                <w:shd w:val="clear" w:fill="auto"/>
              </w:rPr>
              <w:t>泽信公馆</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highlight w:val="none"/>
                <w:shd w:val="clear" w:fill="auto"/>
              </w:rPr>
            </w:pPr>
            <w:r>
              <w:rPr>
                <w:rFonts w:hint="eastAsia" w:asciiTheme="minorEastAsia" w:hAnsiTheme="minorEastAsia" w:eastAsiaTheme="minorEastAsia" w:cstheme="minorEastAsia"/>
                <w:color w:val="auto"/>
                <w:spacing w:val="0"/>
                <w:position w:val="0"/>
                <w:sz w:val="18"/>
                <w:highlight w:val="none"/>
                <w:shd w:val="clear" w:fill="auto"/>
                <w:lang w:val="en-US" w:eastAsia="zh-CN"/>
              </w:rPr>
              <w:t>襄王北路</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highlight w:val="none"/>
                <w:shd w:val="clear" w:fill="auto"/>
              </w:rPr>
            </w:pPr>
            <w:r>
              <w:rPr>
                <w:rFonts w:hint="eastAsia" w:asciiTheme="minorEastAsia" w:hAnsiTheme="minorEastAsia" w:eastAsiaTheme="minorEastAsia" w:cstheme="minorEastAsia"/>
                <w:color w:val="auto"/>
                <w:spacing w:val="0"/>
                <w:position w:val="0"/>
                <w:sz w:val="18"/>
                <w:highlight w:val="none"/>
                <w:shd w:val="clear" w:fill="auto"/>
              </w:rPr>
              <w:t>地点待定</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highlight w:val="none"/>
                <w:shd w:val="clear" w:fill="auto"/>
              </w:rPr>
            </w:pPr>
            <w:r>
              <w:rPr>
                <w:rFonts w:hint="eastAsia" w:asciiTheme="minorEastAsia" w:hAnsiTheme="minorEastAsia" w:eastAsiaTheme="minorEastAsia" w:cstheme="minorEastAsia"/>
                <w:color w:val="auto"/>
                <w:spacing w:val="0"/>
                <w:position w:val="0"/>
                <w:sz w:val="18"/>
                <w:highlight w:val="none"/>
                <w:shd w:val="clear" w:fill="auto"/>
              </w:rPr>
              <w:t>3*2*3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 xml:space="preserve">有 </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383"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highlight w:val="none"/>
                <w:shd w:val="clear" w:fill="auto"/>
              </w:rPr>
            </w:pPr>
            <w:r>
              <w:rPr>
                <w:rFonts w:hint="eastAsia" w:asciiTheme="minorEastAsia" w:hAnsiTheme="minorEastAsia" w:eastAsiaTheme="minorEastAsia" w:cstheme="minorEastAsia"/>
                <w:color w:val="auto"/>
                <w:spacing w:val="0"/>
                <w:position w:val="0"/>
                <w:sz w:val="18"/>
                <w:highlight w:val="none"/>
                <w:shd w:val="clear" w:fill="auto"/>
              </w:rPr>
              <w:t>46</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highlight w:val="none"/>
                <w:shd w:val="clear" w:fill="auto"/>
              </w:rPr>
            </w:pPr>
            <w:r>
              <w:rPr>
                <w:rFonts w:hint="eastAsia" w:asciiTheme="minorEastAsia" w:hAnsiTheme="minorEastAsia" w:eastAsiaTheme="minorEastAsia" w:cstheme="minorEastAsia"/>
                <w:color w:val="auto"/>
                <w:spacing w:val="0"/>
                <w:position w:val="0"/>
                <w:sz w:val="18"/>
                <w:highlight w:val="none"/>
                <w:shd w:val="clear" w:fill="auto"/>
              </w:rPr>
              <w:t>泽信公馆</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highlight w:val="none"/>
                <w:shd w:val="clear" w:fill="auto"/>
              </w:rPr>
            </w:pPr>
            <w:r>
              <w:rPr>
                <w:rFonts w:hint="eastAsia" w:asciiTheme="minorEastAsia" w:hAnsiTheme="minorEastAsia" w:eastAsiaTheme="minorEastAsia" w:cstheme="minorEastAsia"/>
                <w:color w:val="auto"/>
                <w:spacing w:val="0"/>
                <w:position w:val="0"/>
                <w:sz w:val="18"/>
                <w:highlight w:val="none"/>
                <w:shd w:val="clear" w:fill="auto"/>
                <w:lang w:val="en-US" w:eastAsia="zh-CN"/>
              </w:rPr>
              <w:t>襄王北路</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highlight w:val="none"/>
                <w:shd w:val="clear" w:fill="auto"/>
              </w:rPr>
            </w:pPr>
            <w:r>
              <w:rPr>
                <w:rFonts w:hint="eastAsia" w:asciiTheme="minorEastAsia" w:hAnsiTheme="minorEastAsia" w:eastAsiaTheme="minorEastAsia" w:cstheme="minorEastAsia"/>
                <w:color w:val="auto"/>
                <w:spacing w:val="0"/>
                <w:position w:val="0"/>
                <w:sz w:val="18"/>
                <w:highlight w:val="none"/>
                <w:shd w:val="clear" w:fill="auto"/>
              </w:rPr>
              <w:t>地点待定</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highlight w:val="none"/>
                <w:shd w:val="clear" w:fill="auto"/>
              </w:rPr>
            </w:pPr>
            <w:r>
              <w:rPr>
                <w:rFonts w:hint="eastAsia" w:asciiTheme="minorEastAsia" w:hAnsiTheme="minorEastAsia" w:eastAsiaTheme="minorEastAsia" w:cstheme="minorEastAsia"/>
                <w:color w:val="auto"/>
                <w:spacing w:val="0"/>
                <w:position w:val="0"/>
                <w:sz w:val="18"/>
                <w:highlight w:val="none"/>
                <w:shd w:val="clear" w:fill="auto"/>
              </w:rPr>
              <w:t>3*2*3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 xml:space="preserve">有 </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383"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highlight w:val="none"/>
                <w:shd w:val="clear" w:fill="auto"/>
              </w:rPr>
            </w:pPr>
            <w:r>
              <w:rPr>
                <w:rFonts w:hint="eastAsia" w:asciiTheme="minorEastAsia" w:hAnsiTheme="minorEastAsia" w:eastAsiaTheme="minorEastAsia" w:cstheme="minorEastAsia"/>
                <w:color w:val="auto"/>
                <w:spacing w:val="0"/>
                <w:position w:val="0"/>
                <w:sz w:val="18"/>
                <w:highlight w:val="none"/>
                <w:shd w:val="clear" w:fill="auto"/>
              </w:rPr>
              <w:t>47</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highlight w:val="none"/>
                <w:shd w:val="clear" w:fill="auto"/>
              </w:rPr>
            </w:pPr>
            <w:r>
              <w:rPr>
                <w:rFonts w:hint="eastAsia" w:asciiTheme="minorEastAsia" w:hAnsiTheme="minorEastAsia" w:eastAsiaTheme="minorEastAsia" w:cstheme="minorEastAsia"/>
                <w:color w:val="auto"/>
                <w:spacing w:val="0"/>
                <w:position w:val="0"/>
                <w:sz w:val="18"/>
                <w:highlight w:val="none"/>
                <w:shd w:val="clear" w:fill="auto"/>
              </w:rPr>
              <w:t>泽信公馆</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highlight w:val="none"/>
                <w:shd w:val="clear" w:fill="auto"/>
              </w:rPr>
            </w:pPr>
            <w:r>
              <w:rPr>
                <w:rFonts w:hint="eastAsia" w:asciiTheme="minorEastAsia" w:hAnsiTheme="minorEastAsia" w:eastAsiaTheme="minorEastAsia" w:cstheme="minorEastAsia"/>
                <w:color w:val="auto"/>
                <w:spacing w:val="0"/>
                <w:position w:val="0"/>
                <w:sz w:val="18"/>
                <w:highlight w:val="none"/>
                <w:shd w:val="clear" w:fill="auto"/>
                <w:lang w:val="en-US" w:eastAsia="zh-CN"/>
              </w:rPr>
              <w:t>襄王北路</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highlight w:val="none"/>
                <w:shd w:val="clear" w:fill="auto"/>
              </w:rPr>
            </w:pPr>
            <w:r>
              <w:rPr>
                <w:rFonts w:hint="eastAsia" w:asciiTheme="minorEastAsia" w:hAnsiTheme="minorEastAsia" w:eastAsiaTheme="minorEastAsia" w:cstheme="minorEastAsia"/>
                <w:color w:val="auto"/>
                <w:spacing w:val="0"/>
                <w:position w:val="0"/>
                <w:sz w:val="18"/>
                <w:highlight w:val="none"/>
                <w:shd w:val="clear" w:fill="auto"/>
              </w:rPr>
              <w:t>地点待定</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highlight w:val="none"/>
                <w:shd w:val="clear" w:fill="auto"/>
              </w:rPr>
            </w:pPr>
            <w:r>
              <w:rPr>
                <w:rFonts w:hint="eastAsia" w:asciiTheme="minorEastAsia" w:hAnsiTheme="minorEastAsia" w:eastAsiaTheme="minorEastAsia" w:cstheme="minorEastAsia"/>
                <w:color w:val="auto"/>
                <w:spacing w:val="0"/>
                <w:position w:val="0"/>
                <w:sz w:val="18"/>
                <w:highlight w:val="none"/>
                <w:shd w:val="clear" w:fill="auto"/>
              </w:rPr>
              <w:t>3*2*3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 xml:space="preserve">有 </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383"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highlight w:val="none"/>
                <w:shd w:val="clear" w:fill="auto"/>
              </w:rPr>
            </w:pPr>
            <w:r>
              <w:rPr>
                <w:rFonts w:hint="eastAsia" w:asciiTheme="minorEastAsia" w:hAnsiTheme="minorEastAsia" w:eastAsiaTheme="minorEastAsia" w:cstheme="minorEastAsia"/>
                <w:color w:val="auto"/>
                <w:spacing w:val="0"/>
                <w:position w:val="0"/>
                <w:sz w:val="18"/>
                <w:highlight w:val="none"/>
                <w:shd w:val="clear" w:fill="auto"/>
              </w:rPr>
              <w:t>48</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highlight w:val="none"/>
                <w:shd w:val="clear" w:fill="auto"/>
              </w:rPr>
            </w:pPr>
            <w:r>
              <w:rPr>
                <w:rFonts w:hint="eastAsia" w:asciiTheme="minorEastAsia" w:hAnsiTheme="minorEastAsia" w:eastAsiaTheme="minorEastAsia" w:cstheme="minorEastAsia"/>
                <w:color w:val="auto"/>
                <w:spacing w:val="0"/>
                <w:position w:val="0"/>
                <w:sz w:val="18"/>
                <w:highlight w:val="none"/>
                <w:shd w:val="clear" w:fill="auto"/>
              </w:rPr>
              <w:t>玉潭花溪</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default" w:asciiTheme="minorEastAsia" w:hAnsiTheme="minorEastAsia" w:eastAsiaTheme="minorEastAsia" w:cstheme="minorEastAsia"/>
                <w:color w:val="auto"/>
                <w:spacing w:val="0"/>
                <w:position w:val="0"/>
                <w:highlight w:val="none"/>
                <w:shd w:val="clear" w:fill="auto"/>
                <w:lang w:val="en-US" w:eastAsia="zh-CN"/>
              </w:rPr>
            </w:pPr>
            <w:r>
              <w:rPr>
                <w:rFonts w:hint="eastAsia" w:asciiTheme="minorEastAsia" w:hAnsiTheme="minorEastAsia" w:eastAsiaTheme="minorEastAsia" w:cstheme="minorEastAsia"/>
                <w:color w:val="auto"/>
                <w:spacing w:val="0"/>
                <w:position w:val="0"/>
                <w:sz w:val="18"/>
                <w:highlight w:val="none"/>
                <w:shd w:val="clear" w:fill="auto"/>
                <w:lang w:val="en-US" w:eastAsia="zh-CN"/>
              </w:rPr>
              <w:t>九里山西路</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highlight w:val="none"/>
                <w:shd w:val="clear" w:fill="auto"/>
              </w:rPr>
            </w:pPr>
            <w:r>
              <w:rPr>
                <w:rFonts w:hint="eastAsia" w:asciiTheme="minorEastAsia" w:hAnsiTheme="minorEastAsia" w:eastAsiaTheme="minorEastAsia" w:cstheme="minorEastAsia"/>
                <w:color w:val="auto"/>
                <w:spacing w:val="0"/>
                <w:position w:val="0"/>
                <w:sz w:val="18"/>
                <w:highlight w:val="none"/>
                <w:shd w:val="clear" w:fill="auto"/>
              </w:rPr>
              <w:t>地点待定</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highlight w:val="none"/>
                <w:shd w:val="clear" w:fill="auto"/>
              </w:rPr>
            </w:pPr>
            <w:r>
              <w:rPr>
                <w:rFonts w:hint="eastAsia" w:asciiTheme="minorEastAsia" w:hAnsiTheme="minorEastAsia" w:eastAsiaTheme="minorEastAsia" w:cstheme="minorEastAsia"/>
                <w:color w:val="auto"/>
                <w:spacing w:val="0"/>
                <w:position w:val="0"/>
                <w:sz w:val="18"/>
                <w:highlight w:val="none"/>
                <w:shd w:val="clear" w:fill="auto"/>
              </w:rPr>
              <w:t>3*2*3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 xml:space="preserve">有 </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383"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highlight w:val="none"/>
                <w:shd w:val="clear" w:fill="auto"/>
              </w:rPr>
            </w:pPr>
            <w:r>
              <w:rPr>
                <w:rFonts w:hint="eastAsia" w:asciiTheme="minorEastAsia" w:hAnsiTheme="minorEastAsia" w:eastAsiaTheme="minorEastAsia" w:cstheme="minorEastAsia"/>
                <w:color w:val="auto"/>
                <w:spacing w:val="0"/>
                <w:position w:val="0"/>
                <w:sz w:val="18"/>
                <w:highlight w:val="none"/>
                <w:shd w:val="clear" w:fill="auto"/>
              </w:rPr>
              <w:t>49</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highlight w:val="none"/>
                <w:shd w:val="clear" w:fill="auto"/>
              </w:rPr>
            </w:pPr>
            <w:r>
              <w:rPr>
                <w:rFonts w:hint="eastAsia" w:asciiTheme="minorEastAsia" w:hAnsiTheme="minorEastAsia" w:eastAsiaTheme="minorEastAsia" w:cstheme="minorEastAsia"/>
                <w:color w:val="auto"/>
                <w:spacing w:val="0"/>
                <w:position w:val="0"/>
                <w:sz w:val="18"/>
                <w:highlight w:val="none"/>
                <w:shd w:val="clear" w:fill="auto"/>
              </w:rPr>
              <w:t>玉潭花溪</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highlight w:val="none"/>
                <w:shd w:val="clear" w:fill="auto"/>
              </w:rPr>
            </w:pPr>
            <w:r>
              <w:rPr>
                <w:rFonts w:hint="eastAsia" w:asciiTheme="minorEastAsia" w:hAnsiTheme="minorEastAsia" w:eastAsiaTheme="minorEastAsia" w:cstheme="minorEastAsia"/>
                <w:color w:val="auto"/>
                <w:spacing w:val="0"/>
                <w:position w:val="0"/>
                <w:sz w:val="18"/>
                <w:highlight w:val="none"/>
                <w:shd w:val="clear" w:fill="auto"/>
                <w:lang w:val="en-US" w:eastAsia="zh-CN"/>
              </w:rPr>
              <w:t>九里山西路</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highlight w:val="none"/>
                <w:shd w:val="clear" w:fill="auto"/>
              </w:rPr>
            </w:pPr>
            <w:r>
              <w:rPr>
                <w:rFonts w:hint="eastAsia" w:asciiTheme="minorEastAsia" w:hAnsiTheme="minorEastAsia" w:eastAsiaTheme="minorEastAsia" w:cstheme="minorEastAsia"/>
                <w:color w:val="auto"/>
                <w:spacing w:val="0"/>
                <w:position w:val="0"/>
                <w:sz w:val="18"/>
                <w:highlight w:val="none"/>
                <w:shd w:val="clear" w:fill="auto"/>
              </w:rPr>
              <w:t>地点待定</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highlight w:val="none"/>
                <w:shd w:val="clear" w:fill="auto"/>
              </w:rPr>
            </w:pPr>
            <w:r>
              <w:rPr>
                <w:rFonts w:hint="eastAsia" w:asciiTheme="minorEastAsia" w:hAnsiTheme="minorEastAsia" w:eastAsiaTheme="minorEastAsia" w:cstheme="minorEastAsia"/>
                <w:color w:val="auto"/>
                <w:spacing w:val="0"/>
                <w:position w:val="0"/>
                <w:sz w:val="18"/>
                <w:highlight w:val="none"/>
                <w:shd w:val="clear" w:fill="auto"/>
              </w:rPr>
              <w:t>3*2*3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 xml:space="preserve">有 </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757"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50</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豪绅嘉苑</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平山路与观宇路交叉口向东北290米</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51号楼北</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5*2.5*3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管理间在左</w:t>
            </w:r>
          </w:p>
        </w:tc>
      </w:tr>
      <w:tr>
        <w:tblPrEx>
          <w:tblCellMar>
            <w:top w:w="0" w:type="dxa"/>
            <w:left w:w="10" w:type="dxa"/>
            <w:bottom w:w="0" w:type="dxa"/>
            <w:right w:w="10" w:type="dxa"/>
          </w:tblCellMar>
        </w:tblPrEx>
        <w:trPr>
          <w:trHeight w:val="757"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51</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豪绅嘉苑</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平山路与观宇路交叉口向东北292米</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豪绅嘉苑东大门门口</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5.7*1.7*3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管理间在左</w:t>
            </w:r>
          </w:p>
        </w:tc>
      </w:tr>
      <w:tr>
        <w:tblPrEx>
          <w:tblCellMar>
            <w:top w:w="0" w:type="dxa"/>
            <w:left w:w="10" w:type="dxa"/>
            <w:bottom w:w="0" w:type="dxa"/>
            <w:right w:w="10" w:type="dxa"/>
          </w:tblCellMar>
        </w:tblPrEx>
        <w:trPr>
          <w:trHeight w:val="757"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52</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怡康花园</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九龙湖西路与九龙湖路交叉口西南50米</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6号楼东侧</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6*2.5*3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管理间在左</w:t>
            </w:r>
          </w:p>
        </w:tc>
      </w:tr>
      <w:tr>
        <w:tblPrEx>
          <w:tblCellMar>
            <w:top w:w="0" w:type="dxa"/>
            <w:left w:w="10" w:type="dxa"/>
            <w:bottom w:w="0" w:type="dxa"/>
            <w:right w:w="10" w:type="dxa"/>
          </w:tblCellMar>
        </w:tblPrEx>
        <w:trPr>
          <w:trHeight w:val="757"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53</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风尚自由城</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中山北路与西阁街交叉口西南110米</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2号楼西侧</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6*2.2*3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管理间在右</w:t>
            </w:r>
          </w:p>
        </w:tc>
      </w:tr>
      <w:tr>
        <w:tblPrEx>
          <w:tblCellMar>
            <w:top w:w="0" w:type="dxa"/>
            <w:left w:w="10" w:type="dxa"/>
            <w:bottom w:w="0" w:type="dxa"/>
            <w:right w:w="10" w:type="dxa"/>
          </w:tblCellMar>
        </w:tblPrEx>
        <w:trPr>
          <w:trHeight w:val="757"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54</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风尚自由城</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西阁街与中山北路西南110米</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小区东门入口外</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5*2*3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管理间在右</w:t>
            </w:r>
          </w:p>
        </w:tc>
      </w:tr>
      <w:tr>
        <w:tblPrEx>
          <w:tblCellMar>
            <w:top w:w="0" w:type="dxa"/>
            <w:left w:w="10" w:type="dxa"/>
            <w:bottom w:w="0" w:type="dxa"/>
            <w:right w:w="10" w:type="dxa"/>
          </w:tblCellMar>
        </w:tblPrEx>
        <w:trPr>
          <w:trHeight w:val="757"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55</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和园爱家</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二环北路蓝天桥西300米路北</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13号楼对面</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5.5*2.5*3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管理间在右</w:t>
            </w:r>
          </w:p>
        </w:tc>
      </w:tr>
      <w:tr>
        <w:tblPrEx>
          <w:tblCellMar>
            <w:top w:w="0" w:type="dxa"/>
            <w:left w:w="10" w:type="dxa"/>
            <w:bottom w:w="0" w:type="dxa"/>
            <w:right w:w="10" w:type="dxa"/>
          </w:tblCellMar>
        </w:tblPrEx>
        <w:trPr>
          <w:trHeight w:val="757"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56</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和园爱家</w:t>
            </w:r>
          </w:p>
        </w:tc>
        <w:tc>
          <w:tcPr>
            <w:tcW w:w="2475" w:type="dxa"/>
            <w:vMerge w:val="restar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二环北路名烟名酒向北42米</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会所西</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5.5*1.7*3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管理间在右</w:t>
            </w:r>
          </w:p>
        </w:tc>
      </w:tr>
      <w:tr>
        <w:tblPrEx>
          <w:tblCellMar>
            <w:top w:w="0" w:type="dxa"/>
            <w:left w:w="10" w:type="dxa"/>
            <w:bottom w:w="0" w:type="dxa"/>
            <w:right w:w="10" w:type="dxa"/>
          </w:tblCellMar>
        </w:tblPrEx>
        <w:trPr>
          <w:trHeight w:val="757"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57</w:t>
            </w:r>
          </w:p>
        </w:tc>
        <w:tc>
          <w:tcPr>
            <w:tcW w:w="1360" w:type="dxa"/>
            <w:tcBorders>
              <w:top w:val="single" w:color="000000" w:sz="4" w:space="0"/>
              <w:left w:val="single" w:color="000000" w:sz="0"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和园爱家</w:t>
            </w:r>
          </w:p>
        </w:tc>
        <w:tc>
          <w:tcPr>
            <w:tcW w:w="2475" w:type="dxa"/>
            <w:vMerge w:val="continue"/>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200" w:line="276" w:lineRule="auto"/>
              <w:ind w:left="0" w:right="0" w:firstLine="0"/>
              <w:jc w:val="left"/>
              <w:rPr>
                <w:rFonts w:hint="eastAsia" w:asciiTheme="minorEastAsia" w:hAnsiTheme="minorEastAsia" w:eastAsiaTheme="minorEastAsia" w:cstheme="minorEastAsia"/>
                <w:color w:val="auto"/>
                <w:spacing w:val="0"/>
                <w:position w:val="0"/>
                <w:shd w:val="clear" w:fill="auto"/>
              </w:rPr>
            </w:pP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会所东</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4*1.7*3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光做亭子，管理间</w:t>
            </w:r>
            <w:r>
              <w:rPr>
                <w:rFonts w:hint="eastAsia" w:asciiTheme="minorEastAsia" w:hAnsiTheme="minorEastAsia" w:eastAsiaTheme="minorEastAsia" w:cstheme="minorEastAsia"/>
                <w:color w:val="auto"/>
                <w:spacing w:val="0"/>
                <w:position w:val="0"/>
                <w:sz w:val="18"/>
                <w:shd w:val="clear" w:fill="auto"/>
              </w:rPr>
              <w:br w:type="textWrapping"/>
            </w:r>
            <w:r>
              <w:rPr>
                <w:rFonts w:hint="eastAsia" w:asciiTheme="minorEastAsia" w:hAnsiTheme="minorEastAsia" w:eastAsiaTheme="minorEastAsia" w:cstheme="minorEastAsia"/>
                <w:color w:val="auto"/>
                <w:spacing w:val="0"/>
                <w:position w:val="0"/>
                <w:sz w:val="18"/>
                <w:shd w:val="clear" w:fill="auto"/>
              </w:rPr>
              <w:t>维持原状</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757"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highlight w:val="none"/>
                <w:shd w:val="clear" w:fill="auto"/>
              </w:rPr>
            </w:pPr>
            <w:r>
              <w:rPr>
                <w:rFonts w:hint="eastAsia" w:asciiTheme="minorEastAsia" w:hAnsiTheme="minorEastAsia" w:eastAsiaTheme="minorEastAsia" w:cstheme="minorEastAsia"/>
                <w:color w:val="auto"/>
                <w:spacing w:val="0"/>
                <w:position w:val="0"/>
                <w:sz w:val="18"/>
                <w:highlight w:val="none"/>
                <w:shd w:val="clear" w:fill="auto"/>
              </w:rPr>
              <w:t>58</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highlight w:val="none"/>
                <w:shd w:val="clear" w:fill="auto"/>
              </w:rPr>
            </w:pPr>
            <w:r>
              <w:rPr>
                <w:rFonts w:hint="eastAsia" w:asciiTheme="minorEastAsia" w:hAnsiTheme="minorEastAsia" w:eastAsiaTheme="minorEastAsia" w:cstheme="minorEastAsia"/>
                <w:color w:val="auto"/>
                <w:spacing w:val="0"/>
                <w:position w:val="0"/>
                <w:sz w:val="18"/>
                <w:highlight w:val="none"/>
                <w:shd w:val="clear" w:fill="auto"/>
              </w:rPr>
              <w:t>外贸小区</w:t>
            </w:r>
          </w:p>
        </w:tc>
        <w:tc>
          <w:tcPr>
            <w:tcW w:w="2475" w:type="dxa"/>
            <w:tcBorders>
              <w:top w:val="single" w:color="000000" w:sz="0" w:space="0"/>
              <w:left w:val="single" w:color="000000" w:sz="0" w:space="0"/>
              <w:bottom w:val="single" w:color="000000" w:sz="0" w:space="0"/>
              <w:right w:val="single" w:color="000000" w:sz="0"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highlight w:val="none"/>
                <w:shd w:val="clear" w:fill="auto"/>
              </w:rPr>
            </w:pPr>
            <w:r>
              <w:rPr>
                <w:rFonts w:hint="eastAsia" w:asciiTheme="minorEastAsia" w:hAnsiTheme="minorEastAsia" w:eastAsiaTheme="minorEastAsia" w:cstheme="minorEastAsia"/>
                <w:color w:val="auto"/>
                <w:spacing w:val="0"/>
                <w:position w:val="0"/>
                <w:sz w:val="18"/>
                <w:highlight w:val="none"/>
                <w:shd w:val="clear" w:fill="auto"/>
              </w:rPr>
              <w:t>黄河北路与海富路交叉口东40米</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小区门口西侧</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5.1*1.7*3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有，需一侧硬化抬高</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管理间在右</w:t>
            </w:r>
          </w:p>
        </w:tc>
      </w:tr>
      <w:tr>
        <w:tblPrEx>
          <w:tblCellMar>
            <w:top w:w="0" w:type="dxa"/>
            <w:left w:w="10" w:type="dxa"/>
            <w:bottom w:w="0" w:type="dxa"/>
            <w:right w:w="10" w:type="dxa"/>
          </w:tblCellMar>
        </w:tblPrEx>
        <w:trPr>
          <w:trHeight w:val="1130"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59</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金色阳光一期</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二环北路与峰景路交叉口北20米东</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6号楼和8号楼之间</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3.5*3.5*3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光做亭子，管理间</w:t>
            </w:r>
            <w:r>
              <w:rPr>
                <w:rFonts w:hint="eastAsia" w:asciiTheme="minorEastAsia" w:hAnsiTheme="minorEastAsia" w:eastAsiaTheme="minorEastAsia" w:cstheme="minorEastAsia"/>
                <w:color w:val="auto"/>
                <w:spacing w:val="0"/>
                <w:position w:val="0"/>
                <w:sz w:val="18"/>
                <w:shd w:val="clear" w:fill="auto"/>
              </w:rPr>
              <w:br w:type="textWrapping"/>
            </w:r>
            <w:r>
              <w:rPr>
                <w:rFonts w:hint="eastAsia" w:asciiTheme="minorEastAsia" w:hAnsiTheme="minorEastAsia" w:eastAsiaTheme="minorEastAsia" w:cstheme="minorEastAsia"/>
                <w:color w:val="auto"/>
                <w:spacing w:val="0"/>
                <w:position w:val="0"/>
                <w:sz w:val="18"/>
                <w:shd w:val="clear" w:fill="auto"/>
              </w:rPr>
              <w:t>维持原状，地面需硬化</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757"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60</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金色阳光二期</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二环北路与苏堤路交叉口北50米</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小区主干道上</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4.5*3.5*3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管理间在右</w:t>
            </w:r>
          </w:p>
        </w:tc>
      </w:tr>
      <w:tr>
        <w:tblPrEx>
          <w:tblCellMar>
            <w:top w:w="0" w:type="dxa"/>
            <w:left w:w="10" w:type="dxa"/>
            <w:bottom w:w="0" w:type="dxa"/>
            <w:right w:w="10" w:type="dxa"/>
          </w:tblCellMar>
        </w:tblPrEx>
        <w:trPr>
          <w:trHeight w:val="757"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61</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永业一期</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铜沛路与西安北路交叉口西北向120米</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假山前</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5*3*3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管理间在左</w:t>
            </w:r>
          </w:p>
        </w:tc>
      </w:tr>
      <w:tr>
        <w:tblPrEx>
          <w:tblCellMar>
            <w:top w:w="0" w:type="dxa"/>
            <w:left w:w="10" w:type="dxa"/>
            <w:bottom w:w="0" w:type="dxa"/>
            <w:right w:w="10" w:type="dxa"/>
          </w:tblCellMar>
        </w:tblPrEx>
        <w:trPr>
          <w:trHeight w:val="757"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62</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永业一期</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铜沛路中国移动对面向南35米</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7号楼东侧</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5.4*2*3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管理间在左</w:t>
            </w:r>
          </w:p>
        </w:tc>
      </w:tr>
      <w:tr>
        <w:tblPrEx>
          <w:tblCellMar>
            <w:top w:w="0" w:type="dxa"/>
            <w:left w:w="10" w:type="dxa"/>
            <w:bottom w:w="0" w:type="dxa"/>
            <w:right w:w="10" w:type="dxa"/>
          </w:tblCellMar>
        </w:tblPrEx>
        <w:trPr>
          <w:trHeight w:val="383"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63</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铜沛街散片区</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铜沛路琳轲公司向南11米</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铜沛街路口</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4.5*2*3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管理间在左</w:t>
            </w:r>
          </w:p>
        </w:tc>
      </w:tr>
      <w:tr>
        <w:tblPrEx>
          <w:tblCellMar>
            <w:top w:w="0" w:type="dxa"/>
            <w:left w:w="10" w:type="dxa"/>
            <w:bottom w:w="0" w:type="dxa"/>
            <w:right w:w="10" w:type="dxa"/>
          </w:tblCellMar>
        </w:tblPrEx>
        <w:trPr>
          <w:trHeight w:val="757"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64</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千禧龙小区</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铜沛路与西安北路西南116米</w:t>
            </w:r>
          </w:p>
        </w:tc>
        <w:tc>
          <w:tcPr>
            <w:tcW w:w="1558" w:type="dxa"/>
            <w:tcBorders>
              <w:top w:val="single" w:color="000000" w:sz="4" w:space="0"/>
              <w:left w:val="single" w:color="000000" w:sz="4" w:space="0"/>
              <w:bottom w:val="single" w:color="000000" w:sz="4" w:space="0"/>
              <w:right w:val="single" w:color="000000" w:sz="0"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幼儿园门口</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5.5*1.7*3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管理间在左</w:t>
            </w:r>
          </w:p>
        </w:tc>
      </w:tr>
      <w:tr>
        <w:tblPrEx>
          <w:tblCellMar>
            <w:top w:w="0" w:type="dxa"/>
            <w:left w:w="10" w:type="dxa"/>
            <w:bottom w:w="0" w:type="dxa"/>
            <w:right w:w="10" w:type="dxa"/>
          </w:tblCellMar>
        </w:tblPrEx>
        <w:trPr>
          <w:trHeight w:val="757"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65</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铜沛路99号</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铜沛路原庆云桥付姐手擀面向西13米</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上下铺串吧门前</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5.26*1.7*3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管理间在右</w:t>
            </w:r>
          </w:p>
        </w:tc>
      </w:tr>
      <w:tr>
        <w:tblPrEx>
          <w:tblCellMar>
            <w:top w:w="0" w:type="dxa"/>
            <w:left w:w="10" w:type="dxa"/>
            <w:bottom w:w="0" w:type="dxa"/>
            <w:right w:w="10" w:type="dxa"/>
          </w:tblCellMar>
        </w:tblPrEx>
        <w:trPr>
          <w:trHeight w:val="1130"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66</w:t>
            </w:r>
          </w:p>
        </w:tc>
        <w:tc>
          <w:tcPr>
            <w:tcW w:w="1360" w:type="dxa"/>
            <w:tcBorders>
              <w:top w:val="single" w:color="000000" w:sz="0" w:space="0"/>
              <w:left w:val="single" w:color="000000" w:sz="4" w:space="0"/>
              <w:bottom w:val="single" w:color="000000" w:sz="0"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苏堤小区</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苏堤北路开元曼居酒店向西87米</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12号楼一单元前</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5.5*1.7*3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管理间在左，门往西开</w:t>
            </w:r>
          </w:p>
        </w:tc>
      </w:tr>
      <w:tr>
        <w:tblPrEx>
          <w:tblCellMar>
            <w:top w:w="0" w:type="dxa"/>
            <w:left w:w="10" w:type="dxa"/>
            <w:bottom w:w="0" w:type="dxa"/>
            <w:right w:w="10" w:type="dxa"/>
          </w:tblCellMar>
        </w:tblPrEx>
        <w:trPr>
          <w:trHeight w:val="757"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67</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木器厂小区</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铜沛路秋依便利店向南43米</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小区主干道旁</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7*1*3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管理间在左</w:t>
            </w:r>
          </w:p>
        </w:tc>
      </w:tr>
      <w:tr>
        <w:tblPrEx>
          <w:tblCellMar>
            <w:top w:w="0" w:type="dxa"/>
            <w:left w:w="10" w:type="dxa"/>
            <w:bottom w:w="0" w:type="dxa"/>
            <w:right w:w="10" w:type="dxa"/>
          </w:tblCellMar>
        </w:tblPrEx>
        <w:trPr>
          <w:trHeight w:val="757"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68</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沈场小区</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苏堤北路开元曼居酒店向西87米</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52号楼北面</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4.2*1.7*3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管理间在左</w:t>
            </w:r>
          </w:p>
        </w:tc>
      </w:tr>
      <w:tr>
        <w:tblPrEx>
          <w:tblCellMar>
            <w:top w:w="0" w:type="dxa"/>
            <w:left w:w="10" w:type="dxa"/>
            <w:bottom w:w="0" w:type="dxa"/>
            <w:right w:w="10" w:type="dxa"/>
          </w:tblCellMar>
        </w:tblPrEx>
        <w:trPr>
          <w:trHeight w:val="757"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69</w:t>
            </w:r>
          </w:p>
        </w:tc>
        <w:tc>
          <w:tcPr>
            <w:tcW w:w="1360" w:type="dxa"/>
            <w:tcBorders>
              <w:top w:val="single" w:color="000000" w:sz="4" w:space="0"/>
              <w:left w:val="single" w:color="000000" w:sz="0"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西阁综合楼</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西阁菜市场南门</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西阁综合楼</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5.2*1.7*3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管理间在右</w:t>
            </w:r>
          </w:p>
        </w:tc>
      </w:tr>
      <w:tr>
        <w:tblPrEx>
          <w:tblCellMar>
            <w:top w:w="0" w:type="dxa"/>
            <w:left w:w="10" w:type="dxa"/>
            <w:bottom w:w="0" w:type="dxa"/>
            <w:right w:w="10" w:type="dxa"/>
          </w:tblCellMar>
        </w:tblPrEx>
        <w:trPr>
          <w:trHeight w:val="757"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70</w:t>
            </w:r>
          </w:p>
        </w:tc>
        <w:tc>
          <w:tcPr>
            <w:tcW w:w="1360" w:type="dxa"/>
            <w:vMerge w:val="restart"/>
            <w:tcBorders>
              <w:top w:val="single" w:color="000000" w:sz="0" w:space="0"/>
              <w:left w:val="single" w:color="000000" w:sz="0" w:space="0"/>
              <w:bottom w:val="single" w:color="000000" w:sz="0" w:space="0"/>
              <w:right w:val="single" w:color="000000" w:sz="0"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中环广场</w:t>
            </w:r>
          </w:p>
        </w:tc>
        <w:tc>
          <w:tcPr>
            <w:tcW w:w="2475" w:type="dxa"/>
            <w:vMerge w:val="restar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环城路西阁农贸市场向北34米</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3号楼后</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5.3*1.7*3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有，地面需硬化</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管理间在左</w:t>
            </w:r>
          </w:p>
        </w:tc>
      </w:tr>
      <w:tr>
        <w:tblPrEx>
          <w:tblCellMar>
            <w:top w:w="0" w:type="dxa"/>
            <w:left w:w="10" w:type="dxa"/>
            <w:bottom w:w="0" w:type="dxa"/>
            <w:right w:w="10" w:type="dxa"/>
          </w:tblCellMar>
        </w:tblPrEx>
        <w:trPr>
          <w:trHeight w:val="1130"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71</w:t>
            </w:r>
          </w:p>
        </w:tc>
        <w:tc>
          <w:tcPr>
            <w:tcW w:w="1360" w:type="dxa"/>
            <w:vMerge w:val="continue"/>
            <w:tcBorders>
              <w:top w:val="single" w:color="000000" w:sz="0" w:space="0"/>
              <w:left w:val="single" w:color="000000" w:sz="0" w:space="0"/>
              <w:bottom w:val="single" w:color="000000" w:sz="0" w:space="0"/>
              <w:right w:val="single" w:color="000000" w:sz="0" w:space="0"/>
            </w:tcBorders>
            <w:shd w:val="clear" w:color="auto" w:fill="auto"/>
            <w:tcMar>
              <w:left w:w="108" w:type="dxa"/>
              <w:right w:w="108" w:type="dxa"/>
            </w:tcMar>
            <w:vAlign w:val="center"/>
          </w:tcPr>
          <w:p>
            <w:pPr>
              <w:spacing w:before="0" w:after="200" w:line="276" w:lineRule="auto"/>
              <w:ind w:left="0" w:right="0" w:firstLine="0"/>
              <w:jc w:val="left"/>
              <w:rPr>
                <w:rFonts w:hint="eastAsia" w:asciiTheme="minorEastAsia" w:hAnsiTheme="minorEastAsia" w:eastAsiaTheme="minorEastAsia" w:cstheme="minorEastAsia"/>
                <w:color w:val="auto"/>
                <w:spacing w:val="0"/>
                <w:position w:val="0"/>
                <w:shd w:val="clear" w:fill="auto"/>
              </w:rPr>
            </w:pPr>
          </w:p>
        </w:tc>
        <w:tc>
          <w:tcPr>
            <w:tcW w:w="2475" w:type="dxa"/>
            <w:vMerge w:val="continue"/>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200" w:line="276" w:lineRule="auto"/>
              <w:ind w:left="0" w:right="0" w:firstLine="0"/>
              <w:jc w:val="left"/>
              <w:rPr>
                <w:rFonts w:hint="eastAsia" w:asciiTheme="minorEastAsia" w:hAnsiTheme="minorEastAsia" w:eastAsiaTheme="minorEastAsia" w:cstheme="minorEastAsia"/>
                <w:color w:val="auto"/>
                <w:spacing w:val="0"/>
                <w:position w:val="0"/>
                <w:shd w:val="clear" w:fill="auto"/>
              </w:rPr>
            </w:pP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4号楼后</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5.3*1.7*3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光做亭子，管理间</w:t>
            </w:r>
            <w:r>
              <w:rPr>
                <w:rFonts w:hint="eastAsia" w:asciiTheme="minorEastAsia" w:hAnsiTheme="minorEastAsia" w:eastAsiaTheme="minorEastAsia" w:cstheme="minorEastAsia"/>
                <w:color w:val="auto"/>
                <w:spacing w:val="0"/>
                <w:position w:val="0"/>
                <w:sz w:val="18"/>
                <w:shd w:val="clear" w:fill="auto"/>
              </w:rPr>
              <w:br w:type="textWrapping"/>
            </w:r>
            <w:r>
              <w:rPr>
                <w:rFonts w:hint="eastAsia" w:asciiTheme="minorEastAsia" w:hAnsiTheme="minorEastAsia" w:eastAsiaTheme="minorEastAsia" w:cstheme="minorEastAsia"/>
                <w:color w:val="auto"/>
                <w:spacing w:val="0"/>
                <w:position w:val="0"/>
                <w:sz w:val="18"/>
                <w:shd w:val="clear" w:fill="auto"/>
              </w:rPr>
              <w:t>维持原状，地面需硬化</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z w:val="22"/>
                <w:shd w:val="clear" w:fill="auto"/>
              </w:rPr>
            </w:pPr>
          </w:p>
        </w:tc>
      </w:tr>
      <w:tr>
        <w:tblPrEx>
          <w:tblCellMar>
            <w:top w:w="0" w:type="dxa"/>
            <w:left w:w="10" w:type="dxa"/>
            <w:bottom w:w="0" w:type="dxa"/>
            <w:right w:w="10" w:type="dxa"/>
          </w:tblCellMar>
        </w:tblPrEx>
        <w:trPr>
          <w:trHeight w:val="757"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72</w:t>
            </w:r>
          </w:p>
        </w:tc>
        <w:tc>
          <w:tcPr>
            <w:tcW w:w="1360" w:type="dxa"/>
            <w:vMerge w:val="continue"/>
            <w:tcBorders>
              <w:top w:val="single" w:color="000000" w:sz="0" w:space="0"/>
              <w:left w:val="single" w:color="000000" w:sz="0" w:space="0"/>
              <w:bottom w:val="single" w:color="000000" w:sz="0" w:space="0"/>
              <w:right w:val="single" w:color="000000" w:sz="0" w:space="0"/>
            </w:tcBorders>
            <w:shd w:val="clear" w:color="auto" w:fill="auto"/>
            <w:tcMar>
              <w:left w:w="108" w:type="dxa"/>
              <w:right w:w="108" w:type="dxa"/>
            </w:tcMar>
            <w:vAlign w:val="center"/>
          </w:tcPr>
          <w:p>
            <w:pPr>
              <w:spacing w:before="0" w:after="200" w:line="276" w:lineRule="auto"/>
              <w:ind w:left="0" w:right="0" w:firstLine="0"/>
              <w:jc w:val="left"/>
              <w:rPr>
                <w:rFonts w:hint="eastAsia" w:asciiTheme="minorEastAsia" w:hAnsiTheme="minorEastAsia" w:eastAsiaTheme="minorEastAsia" w:cstheme="minorEastAsia"/>
                <w:color w:val="auto"/>
                <w:spacing w:val="0"/>
                <w:position w:val="0"/>
                <w:shd w:val="clear" w:fill="auto"/>
              </w:rPr>
            </w:pPr>
          </w:p>
        </w:tc>
        <w:tc>
          <w:tcPr>
            <w:tcW w:w="2475" w:type="dxa"/>
            <w:vMerge w:val="continue"/>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200" w:line="276" w:lineRule="auto"/>
              <w:ind w:left="0" w:right="0" w:firstLine="0"/>
              <w:jc w:val="left"/>
              <w:rPr>
                <w:rFonts w:hint="eastAsia" w:asciiTheme="minorEastAsia" w:hAnsiTheme="minorEastAsia" w:eastAsiaTheme="minorEastAsia" w:cstheme="minorEastAsia"/>
                <w:color w:val="auto"/>
                <w:spacing w:val="0"/>
                <w:position w:val="0"/>
                <w:shd w:val="clear" w:fill="auto"/>
              </w:rPr>
            </w:pP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5号楼后</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5.3*1.7*3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有，地面需硬化</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管理间在左</w:t>
            </w:r>
          </w:p>
        </w:tc>
      </w:tr>
      <w:tr>
        <w:tblPrEx>
          <w:tblCellMar>
            <w:top w:w="0" w:type="dxa"/>
            <w:left w:w="10" w:type="dxa"/>
            <w:bottom w:w="0" w:type="dxa"/>
            <w:right w:w="10" w:type="dxa"/>
          </w:tblCellMar>
        </w:tblPrEx>
        <w:trPr>
          <w:trHeight w:val="767"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73</w:t>
            </w:r>
          </w:p>
        </w:tc>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客运东院</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西安北路无道手杆面向西40米</w:t>
            </w:r>
          </w:p>
        </w:tc>
        <w:tc>
          <w:tcPr>
            <w:tcW w:w="155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西安路与黄河北路交叉口东北角</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5.5*1.8*3</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有，地面需硬化</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274" w:lineRule="auto"/>
              <w:ind w:left="0" w:right="6" w:firstLine="0"/>
              <w:jc w:val="center"/>
              <w:rPr>
                <w:rFonts w:hint="eastAsia" w:asciiTheme="minorEastAsia" w:hAnsiTheme="minorEastAsia" w:eastAsiaTheme="minorEastAsia" w:cstheme="minorEastAsia"/>
                <w:color w:val="auto"/>
                <w:spacing w:val="0"/>
                <w:position w:val="0"/>
                <w:shd w:val="clear" w:fill="auto"/>
              </w:rPr>
            </w:pPr>
            <w:r>
              <w:rPr>
                <w:rFonts w:hint="eastAsia" w:asciiTheme="minorEastAsia" w:hAnsiTheme="minorEastAsia" w:eastAsiaTheme="minorEastAsia" w:cstheme="minorEastAsia"/>
                <w:color w:val="auto"/>
                <w:spacing w:val="0"/>
                <w:position w:val="0"/>
                <w:sz w:val="18"/>
                <w:shd w:val="clear" w:fill="auto"/>
              </w:rPr>
              <w:t>管理间在左</w:t>
            </w:r>
          </w:p>
        </w:tc>
      </w:tr>
    </w:tbl>
    <w:p>
      <w:pPr>
        <w:pStyle w:val="2"/>
        <w:ind w:left="0" w:leftChars="0" w:firstLine="0" w:firstLineChars="0"/>
        <w:rPr>
          <w:rFonts w:hint="eastAsia" w:ascii="宋体" w:hAnsi="宋体" w:eastAsia="宋体" w:cs="宋体"/>
          <w:color w:val="auto"/>
          <w:spacing w:val="0"/>
          <w:position w:val="0"/>
          <w:sz w:val="24"/>
          <w:shd w:val="clear" w:fill="auto"/>
        </w:rPr>
      </w:pPr>
    </w:p>
    <w:p>
      <w:pPr>
        <w:pStyle w:val="2"/>
        <w:spacing w:line="360" w:lineRule="auto"/>
        <w:rPr>
          <w:rFonts w:hint="eastAsia" w:asciiTheme="majorEastAsia" w:hAnsiTheme="majorEastAsia" w:eastAsiaTheme="majorEastAsia" w:cstheme="majorEastAsia"/>
          <w:b/>
          <w:bCs/>
          <w:color w:val="auto"/>
          <w:kern w:val="0"/>
          <w:sz w:val="24"/>
          <w:szCs w:val="24"/>
          <w:highlight w:val="none"/>
          <w:lang w:val="en-US" w:eastAsia="zh-CN"/>
        </w:rPr>
      </w:pPr>
    </w:p>
    <w:p>
      <w:pPr>
        <w:spacing w:line="360" w:lineRule="auto"/>
        <w:rPr>
          <w:rFonts w:hint="eastAsia" w:ascii="宋体" w:hAnsi="宋体" w:eastAsia="宋体" w:cs="宋体"/>
          <w:b/>
          <w:bCs/>
          <w:color w:val="auto"/>
          <w:sz w:val="24"/>
          <w:highlight w:val="none"/>
        </w:rPr>
      </w:pPr>
    </w:p>
    <w:p>
      <w:pPr>
        <w:rPr>
          <w:rFonts w:hint="eastAsia" w:ascii="宋体" w:hAnsi="宋体" w:eastAsia="宋体" w:cs="宋体"/>
          <w:b/>
          <w:bCs/>
          <w:color w:val="auto"/>
          <w:sz w:val="24"/>
          <w:szCs w:val="24"/>
          <w:highlight w:val="none"/>
          <w:lang w:eastAsia="zh-CN"/>
        </w:rPr>
      </w:pPr>
    </w:p>
    <w:p>
      <w:pPr>
        <w:jc w:val="center"/>
        <w:rPr>
          <w:rFonts w:hint="eastAsia" w:ascii="宋体" w:hAnsi="宋体" w:eastAsia="宋体" w:cs="宋体"/>
          <w:color w:val="auto"/>
          <w:sz w:val="30"/>
          <w:szCs w:val="30"/>
          <w:highlight w:val="none"/>
        </w:rPr>
        <w:sectPr>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jc w:val="center"/>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第七章  投标文件相关格式</w:t>
      </w:r>
    </w:p>
    <w:p>
      <w:pPr>
        <w:jc w:val="center"/>
        <w:rPr>
          <w:rFonts w:hint="eastAsia" w:ascii="宋体" w:hAnsi="宋体" w:eastAsia="宋体" w:cs="宋体"/>
          <w:color w:val="auto"/>
          <w:sz w:val="24"/>
          <w:highlight w:val="none"/>
        </w:rPr>
      </w:pPr>
    </w:p>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目 录</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1. 投标函</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2. 开标一览表</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3. 分项价格表</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4．偏离表</w:t>
      </w:r>
    </w:p>
    <w:p>
      <w:pPr>
        <w:rPr>
          <w:rFonts w:hint="eastAsia" w:ascii="宋体" w:hAnsi="宋体" w:eastAsia="宋体" w:cs="宋体"/>
          <w:bCs/>
          <w:color w:val="auto"/>
          <w:sz w:val="24"/>
          <w:highlight w:val="none"/>
        </w:rPr>
      </w:pPr>
      <w:r>
        <w:rPr>
          <w:rFonts w:hint="eastAsia" w:ascii="宋体" w:hAnsi="宋体" w:eastAsia="宋体" w:cs="宋体"/>
          <w:color w:val="auto"/>
          <w:sz w:val="24"/>
          <w:highlight w:val="none"/>
        </w:rPr>
        <w:t xml:space="preserve">   5. </w:t>
      </w:r>
      <w:r>
        <w:rPr>
          <w:rFonts w:hint="eastAsia" w:ascii="宋体" w:hAnsi="宋体" w:eastAsia="宋体" w:cs="宋体"/>
          <w:bCs/>
          <w:color w:val="auto"/>
          <w:sz w:val="24"/>
          <w:highlight w:val="none"/>
        </w:rPr>
        <w:t>授权委托书</w:t>
      </w:r>
    </w:p>
    <w:p>
      <w:pPr>
        <w:rPr>
          <w:rFonts w:hint="eastAsia" w:ascii="宋体" w:hAnsi="宋体" w:eastAsia="宋体" w:cs="宋体"/>
          <w:bCs/>
          <w:color w:val="auto"/>
          <w:sz w:val="24"/>
          <w:highlight w:val="none"/>
        </w:rPr>
      </w:pPr>
      <w:r>
        <w:rPr>
          <w:rFonts w:hint="eastAsia" w:ascii="宋体" w:hAnsi="宋体" w:eastAsia="宋体" w:cs="宋体"/>
          <w:color w:val="auto"/>
          <w:sz w:val="24"/>
          <w:highlight w:val="none"/>
        </w:rPr>
        <w:t xml:space="preserve">   6. </w:t>
      </w:r>
      <w:r>
        <w:rPr>
          <w:rFonts w:hint="eastAsia" w:ascii="宋体" w:hAnsi="宋体" w:eastAsia="宋体" w:cs="宋体"/>
          <w:bCs/>
          <w:color w:val="auto"/>
          <w:sz w:val="24"/>
          <w:highlight w:val="none"/>
        </w:rPr>
        <w:t>中小企业声明</w:t>
      </w:r>
    </w:p>
    <w:p>
      <w:pPr>
        <w:rPr>
          <w:rFonts w:hint="eastAsia" w:ascii="宋体" w:hAnsi="宋体" w:eastAsia="宋体" w:cs="宋体"/>
          <w:bCs/>
          <w:color w:val="auto"/>
          <w:sz w:val="24"/>
          <w:highlight w:val="none"/>
        </w:rPr>
      </w:pPr>
      <w:r>
        <w:rPr>
          <w:rFonts w:hint="eastAsia" w:ascii="宋体" w:hAnsi="宋体" w:eastAsia="宋体" w:cs="宋体"/>
          <w:color w:val="auto"/>
          <w:sz w:val="24"/>
          <w:highlight w:val="none"/>
        </w:rPr>
        <w:t xml:space="preserve">   7. </w:t>
      </w:r>
      <w:r>
        <w:rPr>
          <w:rFonts w:hint="eastAsia" w:ascii="宋体" w:hAnsi="宋体" w:eastAsia="宋体" w:cs="宋体"/>
          <w:bCs/>
          <w:color w:val="auto"/>
          <w:sz w:val="24"/>
          <w:highlight w:val="none"/>
        </w:rPr>
        <w:t>残疾人福利性单位声明函</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8. 投标人参加政府采购活动前3年内在经营活动中没有重大违法记录的书面声明</w:t>
      </w:r>
    </w:p>
    <w:p>
      <w:pPr>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9.具备履行合同所必需的设备和专业技术能力的书面声明（附证明材料复印件）格式</w:t>
      </w:r>
    </w:p>
    <w:p>
      <w:pPr>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10</w:t>
      </w:r>
      <w:r>
        <w:rPr>
          <w:rFonts w:hint="eastAsia" w:ascii="宋体" w:hAnsi="宋体" w:eastAsia="宋体" w:cs="宋体"/>
          <w:color w:val="auto"/>
          <w:sz w:val="24"/>
          <w:highlight w:val="none"/>
        </w:rPr>
        <w:t>.预付款保函支付条款</w:t>
      </w:r>
    </w:p>
    <w:p>
      <w:pPr>
        <w:jc w:val="center"/>
        <w:rPr>
          <w:rFonts w:hint="eastAsia" w:ascii="宋体" w:hAnsi="宋体" w:eastAsia="宋体" w:cs="宋体"/>
          <w:color w:val="auto"/>
          <w:sz w:val="24"/>
          <w:highlight w:val="none"/>
        </w:rPr>
      </w:pPr>
    </w:p>
    <w:p>
      <w:pPr>
        <w:rPr>
          <w:rFonts w:hint="eastAsia" w:ascii="宋体" w:hAnsi="宋体" w:eastAsia="宋体" w:cs="宋体"/>
          <w:color w:val="auto"/>
          <w:sz w:val="28"/>
          <w:szCs w:val="28"/>
          <w:highlight w:val="none"/>
        </w:rPr>
      </w:pPr>
    </w:p>
    <w:p>
      <w:pPr>
        <w:rPr>
          <w:rFonts w:hint="eastAsia" w:ascii="宋体" w:hAnsi="宋体" w:eastAsia="宋体" w:cs="宋体"/>
          <w:color w:val="auto"/>
          <w:sz w:val="28"/>
          <w:szCs w:val="28"/>
          <w:highlight w:val="none"/>
        </w:rPr>
      </w:pPr>
    </w:p>
    <w:p>
      <w:pPr>
        <w:rPr>
          <w:rFonts w:hint="eastAsia" w:ascii="宋体" w:hAnsi="宋体" w:eastAsia="宋体" w:cs="宋体"/>
          <w:color w:val="auto"/>
          <w:sz w:val="28"/>
          <w:szCs w:val="28"/>
          <w:highlight w:val="none"/>
        </w:rPr>
      </w:pPr>
    </w:p>
    <w:p>
      <w:pPr>
        <w:jc w:val="center"/>
        <w:rPr>
          <w:rFonts w:hint="eastAsia" w:ascii="宋体" w:hAnsi="宋体" w:eastAsia="宋体" w:cs="宋体"/>
          <w:color w:val="auto"/>
          <w:sz w:val="24"/>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1. 投标函</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r>
        <w:rPr>
          <w:rFonts w:hint="eastAsia" w:ascii="宋体" w:hAnsi="宋体" w:cs="宋体"/>
          <w:color w:val="auto"/>
          <w:sz w:val="24"/>
          <w:highlight w:val="none"/>
          <w:u w:val="single"/>
          <w:lang w:eastAsia="zh-CN"/>
        </w:rPr>
        <w:t>徐州市鼓楼区城市管理局</w:t>
      </w:r>
      <w:r>
        <w:rPr>
          <w:rFonts w:hint="eastAsia" w:ascii="宋体" w:hAnsi="宋体" w:eastAsia="宋体" w:cs="宋体"/>
          <w:color w:val="auto"/>
          <w:sz w:val="24"/>
          <w:highlight w:val="none"/>
          <w:u w:val="single"/>
        </w:rPr>
        <w:t>、</w:t>
      </w:r>
      <w:r>
        <w:rPr>
          <w:rFonts w:hint="eastAsia" w:ascii="宋体" w:hAnsi="宋体" w:cs="宋体"/>
          <w:color w:val="auto"/>
          <w:sz w:val="24"/>
          <w:highlight w:val="none"/>
          <w:u w:val="single"/>
          <w:lang w:eastAsia="zh-CN"/>
        </w:rPr>
        <w:t>永曌（江苏）项目管理有限公司</w:t>
      </w:r>
      <w:r>
        <w:rPr>
          <w:rFonts w:hint="eastAsia" w:ascii="宋体" w:hAnsi="宋体" w:eastAsia="宋体" w:cs="宋体"/>
          <w:color w:val="auto"/>
          <w:sz w:val="24"/>
          <w:highlight w:val="none"/>
          <w:u w:val="single"/>
        </w:rPr>
        <w:t xml:space="preserve"> </w:t>
      </w:r>
    </w:p>
    <w:p>
      <w:pPr>
        <w:adjustRightInd w:val="0"/>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根据</w:t>
      </w:r>
      <w:r>
        <w:rPr>
          <w:rFonts w:hint="eastAsia" w:ascii="宋体" w:hAnsi="宋体" w:eastAsia="宋体" w:cs="宋体"/>
          <w:color w:val="auto"/>
          <w:sz w:val="24"/>
          <w:highlight w:val="none"/>
          <w:u w:val="single"/>
        </w:rPr>
        <w:t xml:space="preserve"> </w:t>
      </w:r>
      <w:r>
        <w:rPr>
          <w:rFonts w:hint="eastAsia" w:ascii="宋体" w:hAnsi="宋体" w:cs="宋体"/>
          <w:color w:val="auto"/>
          <w:sz w:val="24"/>
          <w:highlight w:val="none"/>
          <w:u w:val="single"/>
          <w:lang w:val="en-US" w:eastAsia="zh-CN"/>
        </w:rPr>
        <w:t>垃圾分类收集亭提档升级（标段名称）</w:t>
      </w:r>
      <w:r>
        <w:rPr>
          <w:rFonts w:hint="eastAsia" w:ascii="宋体" w:hAnsi="宋体" w:eastAsia="宋体" w:cs="宋体"/>
          <w:color w:val="auto"/>
          <w:sz w:val="24"/>
          <w:highlight w:val="none"/>
        </w:rPr>
        <w:t>[项目编号：</w:t>
      </w:r>
      <w:r>
        <w:rPr>
          <w:rFonts w:hint="eastAsia" w:ascii="宋体" w:hAnsi="宋体" w:cs="宋体"/>
          <w:color w:val="auto"/>
          <w:sz w:val="24"/>
          <w:highlight w:val="none"/>
          <w:u w:val="single"/>
          <w:lang w:eastAsia="zh-CN"/>
        </w:rPr>
        <w:t>徐采公（2021）YZJS（Q）024</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]招标文件，</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Cs w:val="21"/>
          <w:highlight w:val="none"/>
        </w:rPr>
        <w:t>(</w:t>
      </w:r>
      <w:r>
        <w:rPr>
          <w:rFonts w:hint="eastAsia" w:ascii="宋体" w:hAnsi="宋体" w:eastAsia="宋体" w:cs="宋体"/>
          <w:color w:val="auto"/>
          <w:sz w:val="24"/>
          <w:highlight w:val="none"/>
        </w:rPr>
        <w:t>姓名)代表我方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（投标人的名称）全权处理本次投标的有关事宜。</w:t>
      </w:r>
    </w:p>
    <w:p>
      <w:pPr>
        <w:adjustRightInd w:val="0"/>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据此函，投标人承诺并同意如下： </w:t>
      </w:r>
    </w:p>
    <w:p>
      <w:pPr>
        <w:adjustRightInd w:val="0"/>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 投标人唯一投标报价见《开标一览表》。</w:t>
      </w:r>
    </w:p>
    <w:p>
      <w:pPr>
        <w:adjustRightInd w:val="0"/>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 投标人将按招标文件的规定履行合同责任和义务。</w:t>
      </w:r>
    </w:p>
    <w:p>
      <w:pPr>
        <w:adjustRightInd w:val="0"/>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 投标人已详细审查全部招标文件，包括第[插入编号] [补遗书][如果有的话]。投标人完全理解并同意放弃对这方面有不明及误解的权力。</w:t>
      </w:r>
    </w:p>
    <w:p>
      <w:pPr>
        <w:adjustRightInd w:val="0"/>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 </w:t>
      </w:r>
      <w:r>
        <w:rPr>
          <w:rFonts w:hint="eastAsia" w:ascii="宋体" w:hAnsi="宋体" w:eastAsia="宋体" w:cs="宋体"/>
          <w:color w:val="auto"/>
          <w:kern w:val="0"/>
          <w:sz w:val="24"/>
          <w:highlight w:val="none"/>
        </w:rPr>
        <w:t>投标有效期为开标之日后90天。</w:t>
      </w:r>
    </w:p>
    <w:p>
      <w:pPr>
        <w:adjustRightInd w:val="0"/>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 投标人同意提供按照贵方可能要求的与其投标有关的一切数据或资料，完全理解贵方不一定接受最低价的投标或收到的任何投标。</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6. 投标人同意在授予合同后,按照投标资料表中的有关规定支付招标代理服务费。 </w:t>
      </w:r>
    </w:p>
    <w:p>
      <w:pPr>
        <w:adjustRightInd w:val="0"/>
        <w:snapToGrid w:val="0"/>
        <w:spacing w:line="360" w:lineRule="auto"/>
        <w:ind w:right="29" w:rightChars="14"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7. 采购人或采购代理机构有权将我单位本项目的《开标一览表》和《分项价格表》予以公示，公示的方式由采购人或采购代理机构确定。</w:t>
      </w:r>
    </w:p>
    <w:p>
      <w:pPr>
        <w:adjustRightInd w:val="0"/>
        <w:snapToGrid w:val="0"/>
        <w:spacing w:line="360" w:lineRule="auto"/>
        <w:ind w:right="29" w:rightChars="14"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8.</w:t>
      </w:r>
      <w:r>
        <w:rPr>
          <w:rFonts w:hint="eastAsia" w:ascii="宋体" w:hAnsi="宋体" w:eastAsia="宋体" w:cs="宋体"/>
          <w:color w:val="auto"/>
          <w:kern w:val="0"/>
          <w:sz w:val="24"/>
          <w:highlight w:val="none"/>
        </w:rPr>
        <w:t xml:space="preserve"> 采购人有权对投标人投标文件的真实性进行核实，如投标人不能在采购人规定的时间内向采购人提供有效的证明文件，将被采购人认定为具有《中华人民共和国政府采购法》第七十七条所规定的“提供虚假材料谋取中标、成交的”情形，并承担相应的法律责任。</w:t>
      </w:r>
    </w:p>
    <w:p>
      <w:pPr>
        <w:adjustRightInd w:val="0"/>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9. 与本投标有关的一切正式往来信函请寄：</w:t>
      </w:r>
    </w:p>
    <w:p>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地址： </w:t>
      </w:r>
    </w:p>
    <w:p>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电话： </w:t>
      </w:r>
    </w:p>
    <w:p>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传真： </w:t>
      </w:r>
    </w:p>
    <w:p>
      <w:pPr>
        <w:spacing w:line="300" w:lineRule="auto"/>
        <w:ind w:firstLine="3132" w:firstLineChars="13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投标人：</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（盖单位公章）</w:t>
      </w:r>
    </w:p>
    <w:p>
      <w:pPr>
        <w:spacing w:line="360" w:lineRule="auto"/>
        <w:ind w:firstLine="3132" w:firstLineChars="1300"/>
        <w:rPr>
          <w:rFonts w:hint="eastAsia" w:ascii="宋体" w:hAnsi="宋体" w:eastAsia="宋体" w:cs="宋体"/>
          <w:b/>
          <w:bCs/>
          <w:color w:val="auto"/>
          <w:sz w:val="24"/>
          <w:highlight w:val="none"/>
        </w:rPr>
      </w:pPr>
    </w:p>
    <w:p>
      <w:pPr>
        <w:spacing w:line="360" w:lineRule="auto"/>
        <w:ind w:firstLine="3132" w:firstLineChars="13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日期：   年  月  日</w:t>
      </w:r>
    </w:p>
    <w:p>
      <w:pPr>
        <w:rPr>
          <w:rFonts w:hint="eastAsia" w:ascii="宋体" w:hAnsi="宋体" w:eastAsia="宋体" w:cs="宋体"/>
          <w:color w:val="auto"/>
          <w:sz w:val="24"/>
          <w:highlight w:val="none"/>
        </w:rPr>
      </w:pPr>
    </w:p>
    <w:p>
      <w:pPr>
        <w:jc w:val="center"/>
        <w:rPr>
          <w:rFonts w:hint="eastAsia" w:ascii="宋体" w:hAnsi="宋体" w:eastAsia="宋体" w:cs="宋体"/>
          <w:color w:val="auto"/>
          <w:sz w:val="24"/>
          <w:highlight w:val="none"/>
        </w:rPr>
      </w:pPr>
    </w:p>
    <w:p>
      <w:pPr>
        <w:numPr>
          <w:ilvl w:val="0"/>
          <w:numId w:val="0"/>
        </w:numPr>
        <w:jc w:val="center"/>
        <w:rPr>
          <w:rFonts w:hint="eastAsia" w:ascii="宋体" w:hAnsi="宋体" w:eastAsia="宋体" w:cs="宋体"/>
          <w:b/>
          <w:bCs/>
          <w:color w:val="auto"/>
          <w:sz w:val="28"/>
          <w:szCs w:val="28"/>
          <w:highlight w:val="none"/>
        </w:rPr>
      </w:pPr>
      <w:r>
        <w:rPr>
          <w:rFonts w:hint="eastAsia" w:ascii="宋体" w:hAnsi="宋体" w:eastAsia="宋体" w:cs="宋体"/>
          <w:color w:val="auto"/>
          <w:sz w:val="24"/>
          <w:highlight w:val="none"/>
        </w:rPr>
        <w:br w:type="page"/>
      </w:r>
      <w:r>
        <w:rPr>
          <w:rFonts w:hint="eastAsia" w:ascii="宋体" w:hAnsi="宋体" w:eastAsia="宋体" w:cs="宋体"/>
          <w:b/>
          <w:bCs/>
          <w:color w:val="auto"/>
          <w:sz w:val="28"/>
          <w:szCs w:val="28"/>
          <w:highlight w:val="none"/>
          <w:lang w:val="en-US" w:eastAsia="zh-CN"/>
        </w:rPr>
        <w:t>2.</w:t>
      </w:r>
      <w:r>
        <w:rPr>
          <w:rFonts w:hint="eastAsia" w:ascii="宋体" w:hAnsi="宋体" w:eastAsia="宋体" w:cs="宋体"/>
          <w:b/>
          <w:bCs/>
          <w:color w:val="auto"/>
          <w:sz w:val="28"/>
          <w:szCs w:val="28"/>
          <w:highlight w:val="none"/>
        </w:rPr>
        <w:t>开标一览表</w:t>
      </w:r>
    </w:p>
    <w:p>
      <w:pPr>
        <w:jc w:val="center"/>
        <w:rPr>
          <w:rFonts w:hint="eastAsia" w:ascii="宋体" w:hAnsi="宋体" w:eastAsia="宋体" w:cs="宋体"/>
          <w:color w:val="auto"/>
          <w:sz w:val="24"/>
          <w:highlight w:val="none"/>
        </w:rPr>
      </w:pPr>
    </w:p>
    <w:p>
      <w:pPr>
        <w:jc w:val="center"/>
        <w:rPr>
          <w:rFonts w:hint="eastAsia" w:ascii="宋体" w:hAnsi="宋体" w:eastAsia="宋体" w:cs="宋体"/>
          <w:color w:val="auto"/>
          <w:sz w:val="24"/>
          <w:highlight w:val="none"/>
        </w:rPr>
      </w:pPr>
    </w:p>
    <w:p>
      <w:pPr>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项目编号：</w:t>
      </w:r>
      <w:r>
        <w:rPr>
          <w:rFonts w:hint="eastAsia" w:ascii="宋体" w:hAnsi="宋体" w:eastAsia="宋体" w:cs="宋体"/>
          <w:bCs/>
          <w:color w:val="auto"/>
          <w:sz w:val="24"/>
          <w:highlight w:val="none"/>
          <w:u w:val="single"/>
        </w:rPr>
        <w:t xml:space="preserve"> </w:t>
      </w:r>
      <w:r>
        <w:rPr>
          <w:rFonts w:hint="eastAsia" w:ascii="宋体" w:hAnsi="宋体" w:cs="宋体"/>
          <w:bCs/>
          <w:color w:val="auto"/>
          <w:sz w:val="24"/>
          <w:highlight w:val="none"/>
          <w:u w:val="single"/>
          <w:lang w:eastAsia="zh-CN"/>
        </w:rPr>
        <w:t>徐采公（2021）YZJS（Q）024</w:t>
      </w:r>
      <w:r>
        <w:rPr>
          <w:rFonts w:hint="eastAsia" w:ascii="宋体" w:hAnsi="宋体" w:eastAsia="宋体" w:cs="宋体"/>
          <w:bCs/>
          <w:color w:val="auto"/>
          <w:sz w:val="24"/>
          <w:highlight w:val="none"/>
          <w:u w:val="single"/>
        </w:rPr>
        <w:t xml:space="preserve">  </w:t>
      </w:r>
    </w:p>
    <w:p>
      <w:pPr>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项目名称：</w:t>
      </w:r>
      <w:r>
        <w:rPr>
          <w:rFonts w:hint="eastAsia" w:ascii="宋体" w:hAnsi="宋体" w:cs="宋体"/>
          <w:color w:val="auto"/>
          <w:sz w:val="24"/>
          <w:highlight w:val="none"/>
          <w:u w:val="single"/>
          <w:lang w:eastAsia="zh-CN"/>
        </w:rPr>
        <w:t>垃圾分类收集亭提档升级（</w:t>
      </w:r>
      <w:r>
        <w:rPr>
          <w:rFonts w:hint="eastAsia" w:ascii="宋体" w:hAnsi="宋体" w:cs="宋体"/>
          <w:color w:val="auto"/>
          <w:sz w:val="24"/>
          <w:highlight w:val="none"/>
          <w:u w:val="single"/>
          <w:lang w:val="en-US" w:eastAsia="zh-CN"/>
        </w:rPr>
        <w:t>标段名称</w:t>
      </w:r>
      <w:r>
        <w:rPr>
          <w:rFonts w:hint="eastAsia" w:ascii="宋体" w:hAnsi="宋体" w:cs="宋体"/>
          <w:color w:val="auto"/>
          <w:sz w:val="24"/>
          <w:highlight w:val="none"/>
          <w:u w:val="single"/>
          <w:lang w:eastAsia="zh-CN"/>
        </w:rPr>
        <w:t>）</w:t>
      </w:r>
      <w:r>
        <w:rPr>
          <w:rFonts w:hint="eastAsia" w:ascii="宋体" w:hAnsi="宋体" w:eastAsia="宋体" w:cs="宋体"/>
          <w:color w:val="auto"/>
          <w:sz w:val="24"/>
          <w:highlight w:val="none"/>
          <w:u w:val="single"/>
        </w:rPr>
        <w:t xml:space="preserve"> </w:t>
      </w:r>
    </w:p>
    <w:p>
      <w:pPr>
        <w:rPr>
          <w:rFonts w:hint="eastAsia" w:ascii="宋体" w:hAnsi="宋体" w:eastAsia="宋体" w:cs="宋体"/>
          <w:color w:val="auto"/>
          <w:sz w:val="24"/>
          <w:highlight w:val="none"/>
          <w:u w:val="singl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货币单位：人民币元</w:t>
      </w:r>
    </w:p>
    <w:tbl>
      <w:tblPr>
        <w:tblStyle w:val="12"/>
        <w:tblW w:w="8972" w:type="dxa"/>
        <w:jc w:val="center"/>
        <w:tblBorders>
          <w:top w:val="double" w:color="auto" w:sz="6" w:space="0"/>
          <w:left w:val="double" w:color="auto" w:sz="6" w:space="0"/>
          <w:bottom w:val="double" w:color="auto" w:sz="2" w:space="0"/>
          <w:right w:val="double" w:color="auto" w:sz="6" w:space="0"/>
          <w:insideH w:val="double" w:color="auto" w:sz="2" w:space="0"/>
          <w:insideV w:val="double" w:color="auto" w:sz="2" w:space="0"/>
        </w:tblBorders>
        <w:tblLayout w:type="fixed"/>
        <w:tblCellMar>
          <w:top w:w="0" w:type="dxa"/>
          <w:left w:w="108" w:type="dxa"/>
          <w:bottom w:w="0" w:type="dxa"/>
          <w:right w:w="108" w:type="dxa"/>
        </w:tblCellMar>
      </w:tblPr>
      <w:tblGrid>
        <w:gridCol w:w="2941"/>
        <w:gridCol w:w="2050"/>
        <w:gridCol w:w="3981"/>
      </w:tblGrid>
      <w:tr>
        <w:tblPrEx>
          <w:tblBorders>
            <w:top w:val="double" w:color="auto" w:sz="6" w:space="0"/>
            <w:left w:val="double" w:color="auto" w:sz="6" w:space="0"/>
            <w:bottom w:val="double" w:color="auto" w:sz="2" w:space="0"/>
            <w:right w:val="double" w:color="auto" w:sz="6" w:space="0"/>
            <w:insideH w:val="double" w:color="auto" w:sz="2" w:space="0"/>
            <w:insideV w:val="double" w:color="auto" w:sz="2" w:space="0"/>
          </w:tblBorders>
          <w:tblCellMar>
            <w:top w:w="0" w:type="dxa"/>
            <w:left w:w="108" w:type="dxa"/>
            <w:bottom w:w="0" w:type="dxa"/>
            <w:right w:w="108" w:type="dxa"/>
          </w:tblCellMar>
        </w:tblPrEx>
        <w:trPr>
          <w:cantSplit/>
          <w:trHeight w:val="850" w:hRule="exact"/>
          <w:jc w:val="center"/>
        </w:trPr>
        <w:tc>
          <w:tcPr>
            <w:tcW w:w="2941" w:type="dxa"/>
            <w:tcBorders>
              <w:top w:val="double" w:color="000000" w:sz="6" w:space="0"/>
              <w:left w:val="double" w:color="000000" w:sz="6" w:space="0"/>
              <w:bottom w:val="double" w:color="000000" w:sz="2" w:space="0"/>
              <w:right w:val="double" w:color="000000" w:sz="2" w:space="0"/>
            </w:tcBorders>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项目名称</w:t>
            </w:r>
          </w:p>
        </w:tc>
        <w:tc>
          <w:tcPr>
            <w:tcW w:w="2050" w:type="dxa"/>
            <w:tcBorders>
              <w:top w:val="double" w:color="000000" w:sz="6" w:space="0"/>
              <w:left w:val="double" w:color="000000" w:sz="2" w:space="0"/>
              <w:bottom w:val="double" w:color="000000" w:sz="2" w:space="0"/>
              <w:right w:val="double" w:color="000000" w:sz="2" w:space="0"/>
            </w:tcBorders>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项目内容</w:t>
            </w:r>
          </w:p>
        </w:tc>
        <w:tc>
          <w:tcPr>
            <w:tcW w:w="3981" w:type="dxa"/>
            <w:tcBorders>
              <w:top w:val="double" w:color="000000" w:sz="6" w:space="0"/>
              <w:left w:val="double" w:color="auto" w:sz="4" w:space="0"/>
              <w:bottom w:val="double" w:color="000000" w:sz="2" w:space="0"/>
              <w:right w:val="double" w:color="000000" w:sz="2" w:space="0"/>
            </w:tcBorders>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总价（小写）</w:t>
            </w:r>
          </w:p>
        </w:tc>
      </w:tr>
      <w:tr>
        <w:tblPrEx>
          <w:tblBorders>
            <w:top w:val="double" w:color="auto" w:sz="6" w:space="0"/>
            <w:left w:val="double" w:color="auto" w:sz="6" w:space="0"/>
            <w:bottom w:val="double" w:color="auto" w:sz="2" w:space="0"/>
            <w:right w:val="double" w:color="auto" w:sz="6" w:space="0"/>
            <w:insideH w:val="double" w:color="auto" w:sz="2" w:space="0"/>
            <w:insideV w:val="double" w:color="auto" w:sz="2" w:space="0"/>
          </w:tblBorders>
          <w:tblCellMar>
            <w:top w:w="0" w:type="dxa"/>
            <w:left w:w="108" w:type="dxa"/>
            <w:bottom w:w="0" w:type="dxa"/>
            <w:right w:w="108" w:type="dxa"/>
          </w:tblCellMar>
        </w:tblPrEx>
        <w:trPr>
          <w:cantSplit/>
          <w:trHeight w:val="1064" w:hRule="exact"/>
          <w:jc w:val="center"/>
        </w:trPr>
        <w:tc>
          <w:tcPr>
            <w:tcW w:w="2941" w:type="dxa"/>
            <w:tcBorders>
              <w:top w:val="double" w:color="000000" w:sz="2" w:space="0"/>
              <w:left w:val="double" w:color="000000" w:sz="6" w:space="0"/>
              <w:right w:val="double" w:color="000000" w:sz="2" w:space="0"/>
            </w:tcBorders>
            <w:vAlign w:val="center"/>
          </w:tcPr>
          <w:p>
            <w:pPr>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垃圾分类收集亭提档升级（</w:t>
            </w:r>
            <w:r>
              <w:rPr>
                <w:rFonts w:hint="eastAsia" w:ascii="宋体" w:hAnsi="宋体" w:cs="宋体"/>
                <w:color w:val="auto"/>
                <w:sz w:val="24"/>
                <w:highlight w:val="none"/>
                <w:lang w:val="en-US" w:eastAsia="zh-CN"/>
              </w:rPr>
              <w:t>标段名称</w:t>
            </w:r>
            <w:r>
              <w:rPr>
                <w:rFonts w:hint="eastAsia" w:ascii="宋体" w:hAnsi="宋体" w:cs="宋体"/>
                <w:color w:val="auto"/>
                <w:sz w:val="24"/>
                <w:highlight w:val="none"/>
                <w:lang w:eastAsia="zh-CN"/>
              </w:rPr>
              <w:t>）</w:t>
            </w:r>
          </w:p>
        </w:tc>
        <w:tc>
          <w:tcPr>
            <w:tcW w:w="2050" w:type="dxa"/>
            <w:tcBorders>
              <w:top w:val="double" w:color="000000" w:sz="2" w:space="0"/>
              <w:left w:val="double" w:color="000000" w:sz="2" w:space="0"/>
              <w:right w:val="double" w:color="000000" w:sz="2" w:space="0"/>
            </w:tcBorders>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详见投标文件</w:t>
            </w:r>
          </w:p>
        </w:tc>
        <w:tc>
          <w:tcPr>
            <w:tcW w:w="3981" w:type="dxa"/>
            <w:tcBorders>
              <w:top w:val="double" w:color="000000" w:sz="2" w:space="0"/>
              <w:left w:val="double" w:color="auto" w:sz="4" w:space="0"/>
              <w:bottom w:val="double" w:color="000000" w:sz="2" w:space="0"/>
              <w:right w:val="double" w:color="000000" w:sz="2" w:space="0"/>
            </w:tcBorders>
            <w:vAlign w:val="center"/>
          </w:tcPr>
          <w:p>
            <w:pPr>
              <w:jc w:val="center"/>
              <w:rPr>
                <w:rFonts w:hint="eastAsia" w:ascii="宋体" w:hAnsi="宋体" w:eastAsia="宋体" w:cs="宋体"/>
                <w:color w:val="auto"/>
                <w:sz w:val="24"/>
                <w:highlight w:val="none"/>
              </w:rPr>
            </w:pPr>
          </w:p>
        </w:tc>
      </w:tr>
      <w:tr>
        <w:tblPrEx>
          <w:tblBorders>
            <w:top w:val="double" w:color="auto" w:sz="6" w:space="0"/>
            <w:left w:val="double" w:color="auto" w:sz="6" w:space="0"/>
            <w:bottom w:val="double" w:color="auto" w:sz="2" w:space="0"/>
            <w:right w:val="double" w:color="auto" w:sz="6" w:space="0"/>
            <w:insideH w:val="double" w:color="auto" w:sz="2" w:space="0"/>
            <w:insideV w:val="double" w:color="auto" w:sz="2" w:space="0"/>
          </w:tblBorders>
          <w:tblCellMar>
            <w:top w:w="0" w:type="dxa"/>
            <w:left w:w="108" w:type="dxa"/>
            <w:bottom w:w="0" w:type="dxa"/>
            <w:right w:w="108" w:type="dxa"/>
          </w:tblCellMar>
        </w:tblPrEx>
        <w:trPr>
          <w:cantSplit/>
          <w:trHeight w:val="850" w:hRule="exact"/>
          <w:jc w:val="center"/>
        </w:trPr>
        <w:tc>
          <w:tcPr>
            <w:tcW w:w="2941" w:type="dxa"/>
            <w:tcBorders>
              <w:left w:val="double" w:color="000000" w:sz="6" w:space="0"/>
              <w:right w:val="double" w:color="000000" w:sz="2" w:space="0"/>
            </w:tcBorders>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总价（大写）</w:t>
            </w:r>
          </w:p>
        </w:tc>
        <w:tc>
          <w:tcPr>
            <w:tcW w:w="6031" w:type="dxa"/>
            <w:gridSpan w:val="2"/>
            <w:tcBorders>
              <w:left w:val="double" w:color="000000" w:sz="2" w:space="0"/>
              <w:right w:val="double" w:color="000000" w:sz="2" w:space="0"/>
            </w:tcBorders>
            <w:vAlign w:val="center"/>
          </w:tcPr>
          <w:p>
            <w:pPr>
              <w:jc w:val="center"/>
              <w:rPr>
                <w:rFonts w:hint="eastAsia" w:ascii="宋体" w:hAnsi="宋体" w:eastAsia="宋体" w:cs="宋体"/>
                <w:color w:val="auto"/>
                <w:sz w:val="24"/>
                <w:highlight w:val="none"/>
              </w:rPr>
            </w:pPr>
          </w:p>
        </w:tc>
      </w:tr>
    </w:tbl>
    <w:p>
      <w:pPr>
        <w:rPr>
          <w:rFonts w:hint="eastAsia" w:ascii="宋体" w:hAnsi="宋体" w:eastAsia="宋体" w:cs="宋体"/>
          <w:color w:val="auto"/>
          <w:sz w:val="24"/>
          <w:highlight w:val="none"/>
        </w:rPr>
      </w:pPr>
    </w:p>
    <w:p>
      <w:pPr>
        <w:spacing w:line="300" w:lineRule="auto"/>
        <w:ind w:firstLine="3120" w:firstLineChars="1300"/>
        <w:rPr>
          <w:rFonts w:hint="eastAsia" w:ascii="宋体" w:hAnsi="宋体" w:eastAsia="宋体" w:cs="宋体"/>
          <w:color w:val="auto"/>
          <w:sz w:val="24"/>
          <w:highlight w:val="none"/>
        </w:rPr>
      </w:pPr>
    </w:p>
    <w:p>
      <w:pPr>
        <w:spacing w:line="300" w:lineRule="auto"/>
        <w:ind w:firstLine="3132" w:firstLineChars="13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投标人：</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（盖单位公章）</w:t>
      </w:r>
    </w:p>
    <w:p>
      <w:pPr>
        <w:spacing w:line="360" w:lineRule="auto"/>
        <w:ind w:left="420" w:leftChars="200" w:firstLine="482" w:firstLineChars="200"/>
        <w:rPr>
          <w:rFonts w:hint="eastAsia" w:ascii="宋体" w:hAnsi="宋体" w:eastAsia="宋体" w:cs="宋体"/>
          <w:b/>
          <w:bCs/>
          <w:color w:val="auto"/>
          <w:sz w:val="24"/>
          <w:highlight w:val="none"/>
        </w:rPr>
      </w:pPr>
    </w:p>
    <w:p>
      <w:pPr>
        <w:spacing w:line="360" w:lineRule="auto"/>
        <w:ind w:left="420" w:leftChars="200" w:firstLine="482" w:firstLineChars="200"/>
        <w:rPr>
          <w:rFonts w:hint="eastAsia" w:ascii="宋体" w:hAnsi="宋体" w:eastAsia="宋体" w:cs="宋体"/>
          <w:b/>
          <w:color w:val="auto"/>
          <w:sz w:val="28"/>
          <w:szCs w:val="28"/>
          <w:highlight w:val="none"/>
        </w:rPr>
      </w:pPr>
      <w:r>
        <w:rPr>
          <w:rFonts w:hint="eastAsia" w:ascii="宋体" w:hAnsi="宋体" w:eastAsia="宋体" w:cs="宋体"/>
          <w:b/>
          <w:bCs/>
          <w:color w:val="auto"/>
          <w:sz w:val="24"/>
          <w:highlight w:val="none"/>
        </w:rPr>
        <w:t xml:space="preserve">                  日期：   年  月  日</w:t>
      </w:r>
      <w:r>
        <w:rPr>
          <w:rFonts w:hint="eastAsia" w:ascii="宋体" w:hAnsi="宋体" w:eastAsia="宋体" w:cs="宋体"/>
          <w:color w:val="auto"/>
          <w:sz w:val="24"/>
          <w:highlight w:val="none"/>
        </w:rPr>
        <w:br w:type="page"/>
      </w:r>
      <w:r>
        <w:rPr>
          <w:rFonts w:hint="eastAsia" w:ascii="宋体" w:hAnsi="宋体" w:eastAsia="宋体" w:cs="宋体"/>
          <w:color w:val="auto"/>
          <w:sz w:val="28"/>
          <w:szCs w:val="28"/>
          <w:highlight w:val="none"/>
        </w:rPr>
        <w:t xml:space="preserve">                   </w:t>
      </w:r>
      <w:r>
        <w:rPr>
          <w:rFonts w:hint="eastAsia" w:ascii="宋体" w:hAnsi="宋体" w:eastAsia="宋体" w:cs="宋体"/>
          <w:b/>
          <w:bCs/>
          <w:color w:val="auto"/>
          <w:sz w:val="28"/>
          <w:szCs w:val="28"/>
          <w:highlight w:val="none"/>
        </w:rPr>
        <w:t>3．分项价格表</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项目编号：</w:t>
      </w:r>
      <w:r>
        <w:rPr>
          <w:rFonts w:hint="eastAsia" w:ascii="宋体" w:hAnsi="宋体" w:eastAsia="宋体" w:cs="宋体"/>
          <w:bCs/>
          <w:color w:val="auto"/>
          <w:sz w:val="24"/>
          <w:highlight w:val="none"/>
          <w:u w:val="single"/>
        </w:rPr>
        <w:t xml:space="preserve"> </w:t>
      </w:r>
      <w:r>
        <w:rPr>
          <w:rFonts w:hint="eastAsia" w:ascii="宋体" w:hAnsi="宋体" w:cs="宋体"/>
          <w:bCs/>
          <w:color w:val="auto"/>
          <w:sz w:val="24"/>
          <w:highlight w:val="none"/>
          <w:u w:val="single"/>
          <w:lang w:eastAsia="zh-CN"/>
        </w:rPr>
        <w:t>徐采公（2021）YZJS（Q）024</w:t>
      </w:r>
      <w:r>
        <w:rPr>
          <w:rFonts w:hint="eastAsia" w:ascii="宋体" w:hAnsi="宋体" w:eastAsia="宋体" w:cs="宋体"/>
          <w:bCs/>
          <w:color w:val="auto"/>
          <w:sz w:val="24"/>
          <w:highlight w:val="none"/>
          <w:u w:val="single"/>
        </w:rPr>
        <w:t xml:space="preserve">  </w:t>
      </w:r>
      <w:r>
        <w:rPr>
          <w:rFonts w:hint="eastAsia" w:ascii="宋体" w:hAnsi="宋体" w:eastAsia="宋体" w:cs="宋体"/>
          <w:color w:val="auto"/>
          <w:sz w:val="24"/>
          <w:highlight w:val="none"/>
        </w:rPr>
        <w:t xml:space="preserve">                                            </w:t>
      </w:r>
    </w:p>
    <w:p>
      <w:pP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项目名称：</w:t>
      </w:r>
      <w:r>
        <w:rPr>
          <w:rFonts w:hint="eastAsia" w:ascii="宋体" w:hAnsi="宋体" w:cs="宋体"/>
          <w:color w:val="auto"/>
          <w:sz w:val="24"/>
          <w:highlight w:val="none"/>
          <w:u w:val="single"/>
          <w:lang w:eastAsia="zh-CN"/>
        </w:rPr>
        <w:t>垃圾分类收集亭提档升级（标段名称）</w:t>
      </w:r>
    </w:p>
    <w:p>
      <w:pPr>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货币单位：人民币元</w:t>
      </w:r>
    </w:p>
    <w:tbl>
      <w:tblPr>
        <w:tblStyle w:val="12"/>
        <w:tblW w:w="9425" w:type="dxa"/>
        <w:jc w:val="center"/>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60"/>
        <w:gridCol w:w="975"/>
        <w:gridCol w:w="1005"/>
        <w:gridCol w:w="1346"/>
        <w:gridCol w:w="1843"/>
        <w:gridCol w:w="708"/>
        <w:gridCol w:w="567"/>
        <w:gridCol w:w="709"/>
        <w:gridCol w:w="709"/>
        <w:gridCol w:w="1203"/>
      </w:tblGrid>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3" w:hRule="atLeast"/>
          <w:jc w:val="center"/>
        </w:trPr>
        <w:tc>
          <w:tcPr>
            <w:tcW w:w="360" w:type="dxa"/>
            <w:shd w:val="clear" w:color="auto" w:fill="C0C0C0"/>
            <w:tcMar>
              <w:top w:w="15" w:type="dxa"/>
              <w:left w:w="15" w:type="dxa"/>
              <w:bottom w:w="0" w:type="dxa"/>
              <w:right w:w="15" w:type="dxa"/>
            </w:tcMar>
            <w:vAlign w:val="center"/>
          </w:tcPr>
          <w:p>
            <w:pPr>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序号</w:t>
            </w:r>
          </w:p>
        </w:tc>
        <w:tc>
          <w:tcPr>
            <w:tcW w:w="975" w:type="dxa"/>
            <w:shd w:val="clear" w:color="auto" w:fill="C0C0C0"/>
            <w:tcMar>
              <w:top w:w="15" w:type="dxa"/>
              <w:left w:w="15" w:type="dxa"/>
              <w:bottom w:w="0" w:type="dxa"/>
              <w:right w:w="15" w:type="dxa"/>
            </w:tcMar>
            <w:vAlign w:val="center"/>
          </w:tcPr>
          <w:p>
            <w:pPr>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名称</w:t>
            </w:r>
          </w:p>
        </w:tc>
        <w:tc>
          <w:tcPr>
            <w:tcW w:w="1005" w:type="dxa"/>
            <w:shd w:val="clear" w:color="auto" w:fill="C0C0C0"/>
            <w:tcMar>
              <w:top w:w="15" w:type="dxa"/>
              <w:left w:w="15" w:type="dxa"/>
              <w:bottom w:w="0" w:type="dxa"/>
              <w:right w:w="15" w:type="dxa"/>
            </w:tcMar>
            <w:vAlign w:val="center"/>
          </w:tcPr>
          <w:p>
            <w:pPr>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品牌、规格、型号</w:t>
            </w:r>
          </w:p>
        </w:tc>
        <w:tc>
          <w:tcPr>
            <w:tcW w:w="1346" w:type="dxa"/>
            <w:shd w:val="clear" w:color="auto" w:fill="C0C0C0"/>
            <w:tcMar>
              <w:top w:w="15" w:type="dxa"/>
              <w:left w:w="15" w:type="dxa"/>
              <w:bottom w:w="0" w:type="dxa"/>
              <w:right w:w="15" w:type="dxa"/>
            </w:tcMar>
            <w:vAlign w:val="center"/>
          </w:tcPr>
          <w:p>
            <w:pPr>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产品制造企业名称（全称）</w:t>
            </w:r>
          </w:p>
        </w:tc>
        <w:tc>
          <w:tcPr>
            <w:tcW w:w="1843" w:type="dxa"/>
            <w:shd w:val="clear" w:color="auto" w:fill="C0C0C0"/>
            <w:tcMar>
              <w:top w:w="15" w:type="dxa"/>
              <w:left w:w="15" w:type="dxa"/>
              <w:bottom w:w="0" w:type="dxa"/>
              <w:right w:w="15" w:type="dxa"/>
            </w:tcMar>
            <w:vAlign w:val="center"/>
          </w:tcPr>
          <w:p>
            <w:pPr>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产品制造企业的划分（大型、中型、小型、微型、监狱企业、</w:t>
            </w:r>
            <w:r>
              <w:rPr>
                <w:rFonts w:hint="eastAsia" w:ascii="宋体" w:hAnsi="宋体" w:eastAsia="宋体" w:cs="宋体"/>
                <w:color w:val="auto"/>
                <w:kern w:val="0"/>
                <w:sz w:val="20"/>
                <w:szCs w:val="20"/>
                <w:highlight w:val="none"/>
              </w:rPr>
              <w:t>享受政府采购支持政策的残疾人福利性单位</w:t>
            </w:r>
            <w:r>
              <w:rPr>
                <w:rFonts w:hint="eastAsia" w:ascii="宋体" w:hAnsi="宋体" w:eastAsia="宋体" w:cs="宋体"/>
                <w:color w:val="auto"/>
                <w:sz w:val="20"/>
                <w:szCs w:val="20"/>
                <w:highlight w:val="none"/>
              </w:rPr>
              <w:t>）</w:t>
            </w:r>
          </w:p>
        </w:tc>
        <w:tc>
          <w:tcPr>
            <w:tcW w:w="708" w:type="dxa"/>
            <w:shd w:val="clear" w:color="auto" w:fill="C0C0C0"/>
            <w:tcMar>
              <w:top w:w="15" w:type="dxa"/>
              <w:left w:w="15" w:type="dxa"/>
              <w:bottom w:w="0" w:type="dxa"/>
              <w:right w:w="15" w:type="dxa"/>
            </w:tcMar>
            <w:vAlign w:val="center"/>
          </w:tcPr>
          <w:p>
            <w:pPr>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数量</w:t>
            </w:r>
          </w:p>
        </w:tc>
        <w:tc>
          <w:tcPr>
            <w:tcW w:w="567" w:type="dxa"/>
            <w:shd w:val="clear" w:color="auto" w:fill="C0C0C0"/>
            <w:tcMar>
              <w:top w:w="15" w:type="dxa"/>
              <w:left w:w="15" w:type="dxa"/>
              <w:bottom w:w="0" w:type="dxa"/>
              <w:right w:w="15" w:type="dxa"/>
            </w:tcMar>
            <w:vAlign w:val="center"/>
          </w:tcPr>
          <w:p>
            <w:pPr>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数量单位</w:t>
            </w:r>
          </w:p>
        </w:tc>
        <w:tc>
          <w:tcPr>
            <w:tcW w:w="709" w:type="dxa"/>
            <w:shd w:val="clear" w:color="auto" w:fill="C0C0C0"/>
            <w:tcMar>
              <w:top w:w="15" w:type="dxa"/>
              <w:left w:w="15" w:type="dxa"/>
              <w:bottom w:w="0" w:type="dxa"/>
              <w:right w:w="15" w:type="dxa"/>
            </w:tcMar>
            <w:vAlign w:val="center"/>
          </w:tcPr>
          <w:p>
            <w:pPr>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单价</w:t>
            </w:r>
          </w:p>
        </w:tc>
        <w:tc>
          <w:tcPr>
            <w:tcW w:w="709" w:type="dxa"/>
            <w:shd w:val="clear" w:color="auto" w:fill="C0C0C0"/>
            <w:vAlign w:val="center"/>
          </w:tcPr>
          <w:p>
            <w:pPr>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总价</w:t>
            </w:r>
          </w:p>
        </w:tc>
        <w:tc>
          <w:tcPr>
            <w:tcW w:w="1203" w:type="dxa"/>
            <w:shd w:val="clear" w:color="auto" w:fill="C0C0C0"/>
            <w:tcMar>
              <w:top w:w="15" w:type="dxa"/>
              <w:left w:w="15" w:type="dxa"/>
              <w:bottom w:w="0" w:type="dxa"/>
              <w:right w:w="15" w:type="dxa"/>
            </w:tcMar>
            <w:vAlign w:val="center"/>
          </w:tcPr>
          <w:p>
            <w:pPr>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“小型和微型和监狱企业和</w:t>
            </w:r>
            <w:r>
              <w:rPr>
                <w:rFonts w:hint="eastAsia" w:ascii="宋体" w:hAnsi="宋体" w:eastAsia="宋体" w:cs="宋体"/>
                <w:color w:val="auto"/>
                <w:kern w:val="0"/>
                <w:sz w:val="20"/>
                <w:szCs w:val="20"/>
                <w:highlight w:val="none"/>
              </w:rPr>
              <w:t>享受政府采购支持政策的残疾人福利性单位</w:t>
            </w:r>
            <w:r>
              <w:rPr>
                <w:rFonts w:hint="eastAsia" w:ascii="宋体" w:hAnsi="宋体" w:eastAsia="宋体" w:cs="宋体"/>
                <w:color w:val="auto"/>
                <w:sz w:val="20"/>
                <w:szCs w:val="20"/>
                <w:highlight w:val="none"/>
              </w:rPr>
              <w:t>” 总价</w:t>
            </w:r>
          </w:p>
        </w:tc>
      </w:tr>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360" w:type="dxa"/>
            <w:tcMar>
              <w:top w:w="15" w:type="dxa"/>
              <w:left w:w="15" w:type="dxa"/>
              <w:bottom w:w="0" w:type="dxa"/>
              <w:right w:w="15" w:type="dxa"/>
            </w:tcMar>
            <w:vAlign w:val="bottom"/>
          </w:tcPr>
          <w:p>
            <w:pPr>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w:t>
            </w:r>
          </w:p>
        </w:tc>
        <w:tc>
          <w:tcPr>
            <w:tcW w:w="975" w:type="dxa"/>
            <w:tcMar>
              <w:top w:w="15" w:type="dxa"/>
              <w:left w:w="15" w:type="dxa"/>
              <w:bottom w:w="0" w:type="dxa"/>
              <w:right w:w="15" w:type="dxa"/>
            </w:tcMar>
            <w:vAlign w:val="bottom"/>
          </w:tcPr>
          <w:p>
            <w:pPr>
              <w:jc w:val="center"/>
              <w:rPr>
                <w:rFonts w:hint="eastAsia" w:ascii="宋体" w:hAnsi="宋体" w:eastAsia="宋体" w:cs="宋体"/>
                <w:color w:val="auto"/>
                <w:sz w:val="20"/>
                <w:szCs w:val="20"/>
                <w:highlight w:val="none"/>
              </w:rPr>
            </w:pPr>
          </w:p>
        </w:tc>
        <w:tc>
          <w:tcPr>
            <w:tcW w:w="1005" w:type="dxa"/>
            <w:tcMar>
              <w:top w:w="15" w:type="dxa"/>
              <w:left w:w="15" w:type="dxa"/>
              <w:bottom w:w="0" w:type="dxa"/>
              <w:right w:w="15" w:type="dxa"/>
            </w:tcMar>
            <w:vAlign w:val="bottom"/>
          </w:tcPr>
          <w:p>
            <w:pPr>
              <w:jc w:val="center"/>
              <w:rPr>
                <w:rFonts w:hint="eastAsia" w:ascii="宋体" w:hAnsi="宋体" w:eastAsia="宋体" w:cs="宋体"/>
                <w:color w:val="auto"/>
                <w:sz w:val="20"/>
                <w:szCs w:val="20"/>
                <w:highlight w:val="none"/>
              </w:rPr>
            </w:pPr>
          </w:p>
        </w:tc>
        <w:tc>
          <w:tcPr>
            <w:tcW w:w="1346" w:type="dxa"/>
            <w:tcMar>
              <w:top w:w="15" w:type="dxa"/>
              <w:left w:w="15" w:type="dxa"/>
              <w:bottom w:w="0" w:type="dxa"/>
              <w:right w:w="15" w:type="dxa"/>
            </w:tcMar>
            <w:vAlign w:val="top"/>
          </w:tcPr>
          <w:p>
            <w:pPr>
              <w:jc w:val="center"/>
              <w:rPr>
                <w:rFonts w:hint="eastAsia" w:ascii="宋体" w:hAnsi="宋体" w:eastAsia="宋体" w:cs="宋体"/>
                <w:color w:val="auto"/>
                <w:sz w:val="20"/>
                <w:szCs w:val="20"/>
                <w:highlight w:val="none"/>
              </w:rPr>
            </w:pPr>
          </w:p>
        </w:tc>
        <w:tc>
          <w:tcPr>
            <w:tcW w:w="1843" w:type="dxa"/>
            <w:tcMar>
              <w:top w:w="15" w:type="dxa"/>
              <w:left w:w="15" w:type="dxa"/>
              <w:bottom w:w="0" w:type="dxa"/>
              <w:right w:w="15" w:type="dxa"/>
            </w:tcMar>
            <w:vAlign w:val="top"/>
          </w:tcPr>
          <w:p>
            <w:pPr>
              <w:jc w:val="center"/>
              <w:rPr>
                <w:rFonts w:hint="eastAsia" w:ascii="宋体" w:hAnsi="宋体" w:eastAsia="宋体" w:cs="宋体"/>
                <w:color w:val="auto"/>
                <w:sz w:val="20"/>
                <w:szCs w:val="20"/>
                <w:highlight w:val="none"/>
              </w:rPr>
            </w:pPr>
          </w:p>
        </w:tc>
        <w:tc>
          <w:tcPr>
            <w:tcW w:w="708" w:type="dxa"/>
            <w:tcMar>
              <w:top w:w="15" w:type="dxa"/>
              <w:left w:w="15" w:type="dxa"/>
              <w:bottom w:w="0" w:type="dxa"/>
              <w:right w:w="15" w:type="dxa"/>
            </w:tcMar>
            <w:vAlign w:val="bottom"/>
          </w:tcPr>
          <w:p>
            <w:pPr>
              <w:jc w:val="center"/>
              <w:rPr>
                <w:rFonts w:hint="eastAsia" w:ascii="宋体" w:hAnsi="宋体" w:eastAsia="宋体" w:cs="宋体"/>
                <w:color w:val="auto"/>
                <w:sz w:val="20"/>
                <w:szCs w:val="20"/>
                <w:highlight w:val="none"/>
              </w:rPr>
            </w:pPr>
          </w:p>
        </w:tc>
        <w:tc>
          <w:tcPr>
            <w:tcW w:w="567" w:type="dxa"/>
            <w:tcMar>
              <w:top w:w="15" w:type="dxa"/>
              <w:left w:w="15" w:type="dxa"/>
              <w:bottom w:w="0" w:type="dxa"/>
              <w:right w:w="15" w:type="dxa"/>
            </w:tcMar>
            <w:vAlign w:val="bottom"/>
          </w:tcPr>
          <w:p>
            <w:pPr>
              <w:jc w:val="center"/>
              <w:rPr>
                <w:rFonts w:hint="eastAsia" w:ascii="宋体" w:hAnsi="宋体" w:eastAsia="宋体" w:cs="宋体"/>
                <w:color w:val="auto"/>
                <w:sz w:val="20"/>
                <w:szCs w:val="20"/>
                <w:highlight w:val="none"/>
              </w:rPr>
            </w:pPr>
          </w:p>
        </w:tc>
        <w:tc>
          <w:tcPr>
            <w:tcW w:w="709" w:type="dxa"/>
            <w:tcMar>
              <w:top w:w="15" w:type="dxa"/>
              <w:left w:w="15" w:type="dxa"/>
              <w:bottom w:w="0" w:type="dxa"/>
              <w:right w:w="15" w:type="dxa"/>
            </w:tcMar>
            <w:vAlign w:val="bottom"/>
          </w:tcPr>
          <w:p>
            <w:pPr>
              <w:jc w:val="center"/>
              <w:rPr>
                <w:rFonts w:hint="eastAsia" w:ascii="宋体" w:hAnsi="宋体" w:eastAsia="宋体" w:cs="宋体"/>
                <w:color w:val="auto"/>
                <w:sz w:val="20"/>
                <w:szCs w:val="20"/>
                <w:highlight w:val="none"/>
              </w:rPr>
            </w:pPr>
          </w:p>
        </w:tc>
        <w:tc>
          <w:tcPr>
            <w:tcW w:w="709" w:type="dxa"/>
            <w:vAlign w:val="top"/>
          </w:tcPr>
          <w:p>
            <w:pPr>
              <w:jc w:val="center"/>
              <w:rPr>
                <w:rFonts w:hint="eastAsia" w:ascii="宋体" w:hAnsi="宋体" w:eastAsia="宋体" w:cs="宋体"/>
                <w:color w:val="auto"/>
                <w:sz w:val="20"/>
                <w:szCs w:val="20"/>
                <w:highlight w:val="none"/>
              </w:rPr>
            </w:pPr>
          </w:p>
        </w:tc>
        <w:tc>
          <w:tcPr>
            <w:tcW w:w="1203" w:type="dxa"/>
            <w:tcMar>
              <w:top w:w="15" w:type="dxa"/>
              <w:left w:w="15" w:type="dxa"/>
              <w:bottom w:w="0" w:type="dxa"/>
              <w:right w:w="15" w:type="dxa"/>
            </w:tcMar>
            <w:vAlign w:val="bottom"/>
          </w:tcPr>
          <w:p>
            <w:pPr>
              <w:jc w:val="center"/>
              <w:rPr>
                <w:rFonts w:hint="eastAsia" w:ascii="宋体" w:hAnsi="宋体" w:eastAsia="宋体" w:cs="宋体"/>
                <w:color w:val="auto"/>
                <w:sz w:val="20"/>
                <w:szCs w:val="20"/>
                <w:highlight w:val="none"/>
              </w:rPr>
            </w:pPr>
          </w:p>
        </w:tc>
      </w:tr>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4" w:hRule="atLeast"/>
          <w:jc w:val="center"/>
        </w:trPr>
        <w:tc>
          <w:tcPr>
            <w:tcW w:w="360" w:type="dxa"/>
            <w:tcMar>
              <w:top w:w="15" w:type="dxa"/>
              <w:left w:w="15" w:type="dxa"/>
              <w:bottom w:w="0" w:type="dxa"/>
              <w:right w:w="15" w:type="dxa"/>
            </w:tcMar>
            <w:vAlign w:val="bottom"/>
          </w:tcPr>
          <w:p>
            <w:pPr>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w:t>
            </w:r>
          </w:p>
        </w:tc>
        <w:tc>
          <w:tcPr>
            <w:tcW w:w="975" w:type="dxa"/>
            <w:tcMar>
              <w:top w:w="15" w:type="dxa"/>
              <w:left w:w="15" w:type="dxa"/>
              <w:bottom w:w="0" w:type="dxa"/>
              <w:right w:w="15" w:type="dxa"/>
            </w:tcMar>
            <w:vAlign w:val="bottom"/>
          </w:tcPr>
          <w:p>
            <w:pPr>
              <w:jc w:val="center"/>
              <w:rPr>
                <w:rFonts w:hint="eastAsia" w:ascii="宋体" w:hAnsi="宋体" w:eastAsia="宋体" w:cs="宋体"/>
                <w:color w:val="auto"/>
                <w:sz w:val="20"/>
                <w:szCs w:val="20"/>
                <w:highlight w:val="none"/>
              </w:rPr>
            </w:pPr>
          </w:p>
        </w:tc>
        <w:tc>
          <w:tcPr>
            <w:tcW w:w="1005" w:type="dxa"/>
            <w:tcMar>
              <w:top w:w="15" w:type="dxa"/>
              <w:left w:w="15" w:type="dxa"/>
              <w:bottom w:w="0" w:type="dxa"/>
              <w:right w:w="15" w:type="dxa"/>
            </w:tcMar>
            <w:vAlign w:val="bottom"/>
          </w:tcPr>
          <w:p>
            <w:pPr>
              <w:jc w:val="center"/>
              <w:rPr>
                <w:rFonts w:hint="eastAsia" w:ascii="宋体" w:hAnsi="宋体" w:eastAsia="宋体" w:cs="宋体"/>
                <w:color w:val="auto"/>
                <w:sz w:val="20"/>
                <w:szCs w:val="20"/>
                <w:highlight w:val="none"/>
              </w:rPr>
            </w:pPr>
          </w:p>
        </w:tc>
        <w:tc>
          <w:tcPr>
            <w:tcW w:w="1346" w:type="dxa"/>
            <w:tcMar>
              <w:top w:w="15" w:type="dxa"/>
              <w:left w:w="15" w:type="dxa"/>
              <w:bottom w:w="0" w:type="dxa"/>
              <w:right w:w="15" w:type="dxa"/>
            </w:tcMar>
            <w:vAlign w:val="top"/>
          </w:tcPr>
          <w:p>
            <w:pPr>
              <w:jc w:val="center"/>
              <w:rPr>
                <w:rFonts w:hint="eastAsia" w:ascii="宋体" w:hAnsi="宋体" w:eastAsia="宋体" w:cs="宋体"/>
                <w:color w:val="auto"/>
                <w:sz w:val="20"/>
                <w:szCs w:val="20"/>
                <w:highlight w:val="none"/>
              </w:rPr>
            </w:pPr>
          </w:p>
        </w:tc>
        <w:tc>
          <w:tcPr>
            <w:tcW w:w="1843" w:type="dxa"/>
            <w:tcMar>
              <w:top w:w="15" w:type="dxa"/>
              <w:left w:w="15" w:type="dxa"/>
              <w:bottom w:w="0" w:type="dxa"/>
              <w:right w:w="15" w:type="dxa"/>
            </w:tcMar>
            <w:vAlign w:val="top"/>
          </w:tcPr>
          <w:p>
            <w:pPr>
              <w:jc w:val="center"/>
              <w:rPr>
                <w:rFonts w:hint="eastAsia" w:ascii="宋体" w:hAnsi="宋体" w:eastAsia="宋体" w:cs="宋体"/>
                <w:color w:val="auto"/>
                <w:sz w:val="20"/>
                <w:szCs w:val="20"/>
                <w:highlight w:val="none"/>
              </w:rPr>
            </w:pPr>
          </w:p>
        </w:tc>
        <w:tc>
          <w:tcPr>
            <w:tcW w:w="708" w:type="dxa"/>
            <w:tcMar>
              <w:top w:w="15" w:type="dxa"/>
              <w:left w:w="15" w:type="dxa"/>
              <w:bottom w:w="0" w:type="dxa"/>
              <w:right w:w="15" w:type="dxa"/>
            </w:tcMar>
            <w:vAlign w:val="bottom"/>
          </w:tcPr>
          <w:p>
            <w:pPr>
              <w:jc w:val="center"/>
              <w:rPr>
                <w:rFonts w:hint="eastAsia" w:ascii="宋体" w:hAnsi="宋体" w:eastAsia="宋体" w:cs="宋体"/>
                <w:color w:val="auto"/>
                <w:sz w:val="20"/>
                <w:szCs w:val="20"/>
                <w:highlight w:val="none"/>
              </w:rPr>
            </w:pPr>
          </w:p>
        </w:tc>
        <w:tc>
          <w:tcPr>
            <w:tcW w:w="567" w:type="dxa"/>
            <w:tcMar>
              <w:top w:w="15" w:type="dxa"/>
              <w:left w:w="15" w:type="dxa"/>
              <w:bottom w:w="0" w:type="dxa"/>
              <w:right w:w="15" w:type="dxa"/>
            </w:tcMar>
            <w:vAlign w:val="bottom"/>
          </w:tcPr>
          <w:p>
            <w:pPr>
              <w:jc w:val="center"/>
              <w:rPr>
                <w:rFonts w:hint="eastAsia" w:ascii="宋体" w:hAnsi="宋体" w:eastAsia="宋体" w:cs="宋体"/>
                <w:color w:val="auto"/>
                <w:sz w:val="20"/>
                <w:szCs w:val="20"/>
                <w:highlight w:val="none"/>
              </w:rPr>
            </w:pPr>
          </w:p>
        </w:tc>
        <w:tc>
          <w:tcPr>
            <w:tcW w:w="709" w:type="dxa"/>
            <w:tcMar>
              <w:top w:w="15" w:type="dxa"/>
              <w:left w:w="15" w:type="dxa"/>
              <w:bottom w:w="0" w:type="dxa"/>
              <w:right w:w="15" w:type="dxa"/>
            </w:tcMar>
            <w:vAlign w:val="bottom"/>
          </w:tcPr>
          <w:p>
            <w:pPr>
              <w:jc w:val="center"/>
              <w:rPr>
                <w:rFonts w:hint="eastAsia" w:ascii="宋体" w:hAnsi="宋体" w:eastAsia="宋体" w:cs="宋体"/>
                <w:color w:val="auto"/>
                <w:sz w:val="20"/>
                <w:szCs w:val="20"/>
                <w:highlight w:val="none"/>
              </w:rPr>
            </w:pPr>
          </w:p>
        </w:tc>
        <w:tc>
          <w:tcPr>
            <w:tcW w:w="709" w:type="dxa"/>
            <w:vAlign w:val="top"/>
          </w:tcPr>
          <w:p>
            <w:pPr>
              <w:jc w:val="center"/>
              <w:rPr>
                <w:rFonts w:hint="eastAsia" w:ascii="宋体" w:hAnsi="宋体" w:eastAsia="宋体" w:cs="宋体"/>
                <w:color w:val="auto"/>
                <w:sz w:val="20"/>
                <w:szCs w:val="20"/>
                <w:highlight w:val="none"/>
              </w:rPr>
            </w:pPr>
          </w:p>
        </w:tc>
        <w:tc>
          <w:tcPr>
            <w:tcW w:w="1203" w:type="dxa"/>
            <w:tcMar>
              <w:top w:w="15" w:type="dxa"/>
              <w:left w:w="15" w:type="dxa"/>
              <w:bottom w:w="0" w:type="dxa"/>
              <w:right w:w="15" w:type="dxa"/>
            </w:tcMar>
            <w:vAlign w:val="bottom"/>
          </w:tcPr>
          <w:p>
            <w:pPr>
              <w:jc w:val="center"/>
              <w:rPr>
                <w:rFonts w:hint="eastAsia" w:ascii="宋体" w:hAnsi="宋体" w:eastAsia="宋体" w:cs="宋体"/>
                <w:color w:val="auto"/>
                <w:sz w:val="20"/>
                <w:szCs w:val="20"/>
                <w:highlight w:val="none"/>
              </w:rPr>
            </w:pPr>
          </w:p>
        </w:tc>
      </w:tr>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4" w:hRule="atLeast"/>
          <w:jc w:val="center"/>
        </w:trPr>
        <w:tc>
          <w:tcPr>
            <w:tcW w:w="360" w:type="dxa"/>
            <w:tcMar>
              <w:top w:w="15" w:type="dxa"/>
              <w:left w:w="15" w:type="dxa"/>
              <w:bottom w:w="0" w:type="dxa"/>
              <w:right w:w="15" w:type="dxa"/>
            </w:tcMar>
            <w:vAlign w:val="bottom"/>
          </w:tcPr>
          <w:p>
            <w:pPr>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w:t>
            </w:r>
          </w:p>
        </w:tc>
        <w:tc>
          <w:tcPr>
            <w:tcW w:w="975" w:type="dxa"/>
            <w:tcMar>
              <w:top w:w="15" w:type="dxa"/>
              <w:left w:w="15" w:type="dxa"/>
              <w:bottom w:w="0" w:type="dxa"/>
              <w:right w:w="15" w:type="dxa"/>
            </w:tcMar>
            <w:vAlign w:val="bottom"/>
          </w:tcPr>
          <w:p>
            <w:pPr>
              <w:jc w:val="center"/>
              <w:rPr>
                <w:rFonts w:hint="eastAsia" w:ascii="宋体" w:hAnsi="宋体" w:eastAsia="宋体" w:cs="宋体"/>
                <w:color w:val="auto"/>
                <w:sz w:val="20"/>
                <w:szCs w:val="20"/>
                <w:highlight w:val="none"/>
              </w:rPr>
            </w:pPr>
          </w:p>
        </w:tc>
        <w:tc>
          <w:tcPr>
            <w:tcW w:w="1005" w:type="dxa"/>
            <w:tcMar>
              <w:top w:w="15" w:type="dxa"/>
              <w:left w:w="15" w:type="dxa"/>
              <w:bottom w:w="0" w:type="dxa"/>
              <w:right w:w="15" w:type="dxa"/>
            </w:tcMar>
            <w:vAlign w:val="bottom"/>
          </w:tcPr>
          <w:p>
            <w:pPr>
              <w:jc w:val="center"/>
              <w:rPr>
                <w:rFonts w:hint="eastAsia" w:ascii="宋体" w:hAnsi="宋体" w:eastAsia="宋体" w:cs="宋体"/>
                <w:color w:val="auto"/>
                <w:sz w:val="20"/>
                <w:szCs w:val="20"/>
                <w:highlight w:val="none"/>
              </w:rPr>
            </w:pPr>
          </w:p>
        </w:tc>
        <w:tc>
          <w:tcPr>
            <w:tcW w:w="1346" w:type="dxa"/>
            <w:tcMar>
              <w:top w:w="15" w:type="dxa"/>
              <w:left w:w="15" w:type="dxa"/>
              <w:bottom w:w="0" w:type="dxa"/>
              <w:right w:w="15" w:type="dxa"/>
            </w:tcMar>
            <w:vAlign w:val="top"/>
          </w:tcPr>
          <w:p>
            <w:pPr>
              <w:jc w:val="center"/>
              <w:rPr>
                <w:rFonts w:hint="eastAsia" w:ascii="宋体" w:hAnsi="宋体" w:eastAsia="宋体" w:cs="宋体"/>
                <w:color w:val="auto"/>
                <w:sz w:val="20"/>
                <w:szCs w:val="20"/>
                <w:highlight w:val="none"/>
              </w:rPr>
            </w:pPr>
          </w:p>
        </w:tc>
        <w:tc>
          <w:tcPr>
            <w:tcW w:w="1843" w:type="dxa"/>
            <w:tcMar>
              <w:top w:w="15" w:type="dxa"/>
              <w:left w:w="15" w:type="dxa"/>
              <w:bottom w:w="0" w:type="dxa"/>
              <w:right w:w="15" w:type="dxa"/>
            </w:tcMar>
            <w:vAlign w:val="top"/>
          </w:tcPr>
          <w:p>
            <w:pPr>
              <w:jc w:val="center"/>
              <w:rPr>
                <w:rFonts w:hint="eastAsia" w:ascii="宋体" w:hAnsi="宋体" w:eastAsia="宋体" w:cs="宋体"/>
                <w:color w:val="auto"/>
                <w:sz w:val="20"/>
                <w:szCs w:val="20"/>
                <w:highlight w:val="none"/>
              </w:rPr>
            </w:pPr>
          </w:p>
        </w:tc>
        <w:tc>
          <w:tcPr>
            <w:tcW w:w="708" w:type="dxa"/>
            <w:tcMar>
              <w:top w:w="15" w:type="dxa"/>
              <w:left w:w="15" w:type="dxa"/>
              <w:bottom w:w="0" w:type="dxa"/>
              <w:right w:w="15" w:type="dxa"/>
            </w:tcMar>
            <w:vAlign w:val="bottom"/>
          </w:tcPr>
          <w:p>
            <w:pPr>
              <w:jc w:val="center"/>
              <w:rPr>
                <w:rFonts w:hint="eastAsia" w:ascii="宋体" w:hAnsi="宋体" w:eastAsia="宋体" w:cs="宋体"/>
                <w:color w:val="auto"/>
                <w:sz w:val="20"/>
                <w:szCs w:val="20"/>
                <w:highlight w:val="none"/>
              </w:rPr>
            </w:pPr>
          </w:p>
        </w:tc>
        <w:tc>
          <w:tcPr>
            <w:tcW w:w="567" w:type="dxa"/>
            <w:tcMar>
              <w:top w:w="15" w:type="dxa"/>
              <w:left w:w="15" w:type="dxa"/>
              <w:bottom w:w="0" w:type="dxa"/>
              <w:right w:w="15" w:type="dxa"/>
            </w:tcMar>
            <w:vAlign w:val="bottom"/>
          </w:tcPr>
          <w:p>
            <w:pPr>
              <w:jc w:val="center"/>
              <w:rPr>
                <w:rFonts w:hint="eastAsia" w:ascii="宋体" w:hAnsi="宋体" w:eastAsia="宋体" w:cs="宋体"/>
                <w:color w:val="auto"/>
                <w:sz w:val="20"/>
                <w:szCs w:val="20"/>
                <w:highlight w:val="none"/>
              </w:rPr>
            </w:pPr>
          </w:p>
        </w:tc>
        <w:tc>
          <w:tcPr>
            <w:tcW w:w="709" w:type="dxa"/>
            <w:tcMar>
              <w:top w:w="15" w:type="dxa"/>
              <w:left w:w="15" w:type="dxa"/>
              <w:bottom w:w="0" w:type="dxa"/>
              <w:right w:w="15" w:type="dxa"/>
            </w:tcMar>
            <w:vAlign w:val="bottom"/>
          </w:tcPr>
          <w:p>
            <w:pPr>
              <w:jc w:val="center"/>
              <w:rPr>
                <w:rFonts w:hint="eastAsia" w:ascii="宋体" w:hAnsi="宋体" w:eastAsia="宋体" w:cs="宋体"/>
                <w:color w:val="auto"/>
                <w:sz w:val="20"/>
                <w:szCs w:val="20"/>
                <w:highlight w:val="none"/>
              </w:rPr>
            </w:pPr>
          </w:p>
        </w:tc>
        <w:tc>
          <w:tcPr>
            <w:tcW w:w="709" w:type="dxa"/>
            <w:vAlign w:val="top"/>
          </w:tcPr>
          <w:p>
            <w:pPr>
              <w:jc w:val="center"/>
              <w:rPr>
                <w:rFonts w:hint="eastAsia" w:ascii="宋体" w:hAnsi="宋体" w:eastAsia="宋体" w:cs="宋体"/>
                <w:color w:val="auto"/>
                <w:sz w:val="20"/>
                <w:szCs w:val="20"/>
                <w:highlight w:val="none"/>
              </w:rPr>
            </w:pPr>
          </w:p>
        </w:tc>
        <w:tc>
          <w:tcPr>
            <w:tcW w:w="1203" w:type="dxa"/>
            <w:tcMar>
              <w:top w:w="15" w:type="dxa"/>
              <w:left w:w="15" w:type="dxa"/>
              <w:bottom w:w="0" w:type="dxa"/>
              <w:right w:w="15" w:type="dxa"/>
            </w:tcMar>
            <w:vAlign w:val="bottom"/>
          </w:tcPr>
          <w:p>
            <w:pPr>
              <w:jc w:val="center"/>
              <w:rPr>
                <w:rFonts w:hint="eastAsia" w:ascii="宋体" w:hAnsi="宋体" w:eastAsia="宋体" w:cs="宋体"/>
                <w:color w:val="auto"/>
                <w:sz w:val="20"/>
                <w:szCs w:val="20"/>
                <w:highlight w:val="none"/>
              </w:rPr>
            </w:pPr>
          </w:p>
        </w:tc>
      </w:tr>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360" w:type="dxa"/>
            <w:tcMar>
              <w:top w:w="15" w:type="dxa"/>
              <w:left w:w="15" w:type="dxa"/>
              <w:bottom w:w="0" w:type="dxa"/>
              <w:right w:w="15" w:type="dxa"/>
            </w:tcMar>
            <w:vAlign w:val="bottom"/>
          </w:tcPr>
          <w:p>
            <w:pPr>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w:t>
            </w:r>
          </w:p>
        </w:tc>
        <w:tc>
          <w:tcPr>
            <w:tcW w:w="975" w:type="dxa"/>
            <w:tcMar>
              <w:top w:w="15" w:type="dxa"/>
              <w:left w:w="15" w:type="dxa"/>
              <w:bottom w:w="0" w:type="dxa"/>
              <w:right w:w="15" w:type="dxa"/>
            </w:tcMar>
            <w:vAlign w:val="bottom"/>
          </w:tcPr>
          <w:p>
            <w:pPr>
              <w:jc w:val="center"/>
              <w:rPr>
                <w:rFonts w:hint="eastAsia" w:ascii="宋体" w:hAnsi="宋体" w:eastAsia="宋体" w:cs="宋体"/>
                <w:color w:val="auto"/>
                <w:sz w:val="20"/>
                <w:szCs w:val="20"/>
                <w:highlight w:val="none"/>
              </w:rPr>
            </w:pPr>
          </w:p>
        </w:tc>
        <w:tc>
          <w:tcPr>
            <w:tcW w:w="1005" w:type="dxa"/>
            <w:tcMar>
              <w:top w:w="15" w:type="dxa"/>
              <w:left w:w="15" w:type="dxa"/>
              <w:bottom w:w="0" w:type="dxa"/>
              <w:right w:w="15" w:type="dxa"/>
            </w:tcMar>
            <w:vAlign w:val="bottom"/>
          </w:tcPr>
          <w:p>
            <w:pPr>
              <w:jc w:val="center"/>
              <w:rPr>
                <w:rFonts w:hint="eastAsia" w:ascii="宋体" w:hAnsi="宋体" w:eastAsia="宋体" w:cs="宋体"/>
                <w:color w:val="auto"/>
                <w:sz w:val="20"/>
                <w:szCs w:val="20"/>
                <w:highlight w:val="none"/>
              </w:rPr>
            </w:pPr>
          </w:p>
        </w:tc>
        <w:tc>
          <w:tcPr>
            <w:tcW w:w="1346" w:type="dxa"/>
            <w:tcMar>
              <w:top w:w="15" w:type="dxa"/>
              <w:left w:w="15" w:type="dxa"/>
              <w:bottom w:w="0" w:type="dxa"/>
              <w:right w:w="15" w:type="dxa"/>
            </w:tcMar>
            <w:vAlign w:val="top"/>
          </w:tcPr>
          <w:p>
            <w:pPr>
              <w:jc w:val="center"/>
              <w:rPr>
                <w:rFonts w:hint="eastAsia" w:ascii="宋体" w:hAnsi="宋体" w:eastAsia="宋体" w:cs="宋体"/>
                <w:color w:val="auto"/>
                <w:sz w:val="20"/>
                <w:szCs w:val="20"/>
                <w:highlight w:val="none"/>
              </w:rPr>
            </w:pPr>
          </w:p>
        </w:tc>
        <w:tc>
          <w:tcPr>
            <w:tcW w:w="1843" w:type="dxa"/>
            <w:tcMar>
              <w:top w:w="15" w:type="dxa"/>
              <w:left w:w="15" w:type="dxa"/>
              <w:bottom w:w="0" w:type="dxa"/>
              <w:right w:w="15" w:type="dxa"/>
            </w:tcMar>
            <w:vAlign w:val="top"/>
          </w:tcPr>
          <w:p>
            <w:pPr>
              <w:jc w:val="center"/>
              <w:rPr>
                <w:rFonts w:hint="eastAsia" w:ascii="宋体" w:hAnsi="宋体" w:eastAsia="宋体" w:cs="宋体"/>
                <w:color w:val="auto"/>
                <w:sz w:val="20"/>
                <w:szCs w:val="20"/>
                <w:highlight w:val="none"/>
              </w:rPr>
            </w:pPr>
          </w:p>
        </w:tc>
        <w:tc>
          <w:tcPr>
            <w:tcW w:w="708" w:type="dxa"/>
            <w:tcMar>
              <w:top w:w="15" w:type="dxa"/>
              <w:left w:w="15" w:type="dxa"/>
              <w:bottom w:w="0" w:type="dxa"/>
              <w:right w:w="15" w:type="dxa"/>
            </w:tcMar>
            <w:vAlign w:val="bottom"/>
          </w:tcPr>
          <w:p>
            <w:pPr>
              <w:jc w:val="center"/>
              <w:rPr>
                <w:rFonts w:hint="eastAsia" w:ascii="宋体" w:hAnsi="宋体" w:eastAsia="宋体" w:cs="宋体"/>
                <w:color w:val="auto"/>
                <w:sz w:val="20"/>
                <w:szCs w:val="20"/>
                <w:highlight w:val="none"/>
              </w:rPr>
            </w:pPr>
          </w:p>
        </w:tc>
        <w:tc>
          <w:tcPr>
            <w:tcW w:w="567" w:type="dxa"/>
            <w:tcMar>
              <w:top w:w="15" w:type="dxa"/>
              <w:left w:w="15" w:type="dxa"/>
              <w:bottom w:w="0" w:type="dxa"/>
              <w:right w:w="15" w:type="dxa"/>
            </w:tcMar>
            <w:vAlign w:val="bottom"/>
          </w:tcPr>
          <w:p>
            <w:pPr>
              <w:jc w:val="center"/>
              <w:rPr>
                <w:rFonts w:hint="eastAsia" w:ascii="宋体" w:hAnsi="宋体" w:eastAsia="宋体" w:cs="宋体"/>
                <w:color w:val="auto"/>
                <w:sz w:val="20"/>
                <w:szCs w:val="20"/>
                <w:highlight w:val="none"/>
              </w:rPr>
            </w:pPr>
          </w:p>
        </w:tc>
        <w:tc>
          <w:tcPr>
            <w:tcW w:w="709" w:type="dxa"/>
            <w:tcMar>
              <w:top w:w="15" w:type="dxa"/>
              <w:left w:w="15" w:type="dxa"/>
              <w:bottom w:w="0" w:type="dxa"/>
              <w:right w:w="15" w:type="dxa"/>
            </w:tcMar>
            <w:vAlign w:val="bottom"/>
          </w:tcPr>
          <w:p>
            <w:pPr>
              <w:jc w:val="center"/>
              <w:rPr>
                <w:rFonts w:hint="eastAsia" w:ascii="宋体" w:hAnsi="宋体" w:eastAsia="宋体" w:cs="宋体"/>
                <w:color w:val="auto"/>
                <w:sz w:val="20"/>
                <w:szCs w:val="20"/>
                <w:highlight w:val="none"/>
              </w:rPr>
            </w:pPr>
          </w:p>
        </w:tc>
        <w:tc>
          <w:tcPr>
            <w:tcW w:w="709" w:type="dxa"/>
            <w:vAlign w:val="top"/>
          </w:tcPr>
          <w:p>
            <w:pPr>
              <w:jc w:val="center"/>
              <w:rPr>
                <w:rFonts w:hint="eastAsia" w:ascii="宋体" w:hAnsi="宋体" w:eastAsia="宋体" w:cs="宋体"/>
                <w:color w:val="auto"/>
                <w:sz w:val="20"/>
                <w:szCs w:val="20"/>
                <w:highlight w:val="none"/>
              </w:rPr>
            </w:pPr>
          </w:p>
        </w:tc>
        <w:tc>
          <w:tcPr>
            <w:tcW w:w="1203" w:type="dxa"/>
            <w:tcMar>
              <w:top w:w="15" w:type="dxa"/>
              <w:left w:w="15" w:type="dxa"/>
              <w:bottom w:w="0" w:type="dxa"/>
              <w:right w:w="15" w:type="dxa"/>
            </w:tcMar>
            <w:vAlign w:val="bottom"/>
          </w:tcPr>
          <w:p>
            <w:pPr>
              <w:jc w:val="center"/>
              <w:rPr>
                <w:rFonts w:hint="eastAsia" w:ascii="宋体" w:hAnsi="宋体" w:eastAsia="宋体" w:cs="宋体"/>
                <w:color w:val="auto"/>
                <w:sz w:val="20"/>
                <w:szCs w:val="20"/>
                <w:highlight w:val="none"/>
              </w:rPr>
            </w:pPr>
          </w:p>
        </w:tc>
      </w:tr>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360" w:type="dxa"/>
            <w:tcMar>
              <w:top w:w="15" w:type="dxa"/>
              <w:left w:w="15" w:type="dxa"/>
              <w:bottom w:w="0" w:type="dxa"/>
              <w:right w:w="15" w:type="dxa"/>
            </w:tcMar>
            <w:vAlign w:val="bottom"/>
          </w:tcPr>
          <w:p>
            <w:pPr>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w:t>
            </w:r>
          </w:p>
        </w:tc>
        <w:tc>
          <w:tcPr>
            <w:tcW w:w="975" w:type="dxa"/>
            <w:tcMar>
              <w:top w:w="15" w:type="dxa"/>
              <w:left w:w="15" w:type="dxa"/>
              <w:bottom w:w="0" w:type="dxa"/>
              <w:right w:w="15" w:type="dxa"/>
            </w:tcMar>
            <w:vAlign w:val="bottom"/>
          </w:tcPr>
          <w:p>
            <w:pPr>
              <w:jc w:val="center"/>
              <w:rPr>
                <w:rFonts w:hint="eastAsia" w:ascii="宋体" w:hAnsi="宋体" w:eastAsia="宋体" w:cs="宋体"/>
                <w:color w:val="auto"/>
                <w:sz w:val="20"/>
                <w:szCs w:val="20"/>
                <w:highlight w:val="none"/>
              </w:rPr>
            </w:pPr>
          </w:p>
        </w:tc>
        <w:tc>
          <w:tcPr>
            <w:tcW w:w="1005" w:type="dxa"/>
            <w:tcMar>
              <w:top w:w="15" w:type="dxa"/>
              <w:left w:w="15" w:type="dxa"/>
              <w:bottom w:w="0" w:type="dxa"/>
              <w:right w:w="15" w:type="dxa"/>
            </w:tcMar>
            <w:vAlign w:val="bottom"/>
          </w:tcPr>
          <w:p>
            <w:pPr>
              <w:jc w:val="center"/>
              <w:rPr>
                <w:rFonts w:hint="eastAsia" w:ascii="宋体" w:hAnsi="宋体" w:eastAsia="宋体" w:cs="宋体"/>
                <w:color w:val="auto"/>
                <w:sz w:val="20"/>
                <w:szCs w:val="20"/>
                <w:highlight w:val="none"/>
              </w:rPr>
            </w:pPr>
          </w:p>
        </w:tc>
        <w:tc>
          <w:tcPr>
            <w:tcW w:w="1346" w:type="dxa"/>
            <w:tcMar>
              <w:top w:w="15" w:type="dxa"/>
              <w:left w:w="15" w:type="dxa"/>
              <w:bottom w:w="0" w:type="dxa"/>
              <w:right w:w="15" w:type="dxa"/>
            </w:tcMar>
            <w:vAlign w:val="top"/>
          </w:tcPr>
          <w:p>
            <w:pPr>
              <w:jc w:val="center"/>
              <w:rPr>
                <w:rFonts w:hint="eastAsia" w:ascii="宋体" w:hAnsi="宋体" w:eastAsia="宋体" w:cs="宋体"/>
                <w:color w:val="auto"/>
                <w:sz w:val="20"/>
                <w:szCs w:val="20"/>
                <w:highlight w:val="none"/>
              </w:rPr>
            </w:pPr>
          </w:p>
        </w:tc>
        <w:tc>
          <w:tcPr>
            <w:tcW w:w="1843" w:type="dxa"/>
            <w:tcMar>
              <w:top w:w="15" w:type="dxa"/>
              <w:left w:w="15" w:type="dxa"/>
              <w:bottom w:w="0" w:type="dxa"/>
              <w:right w:w="15" w:type="dxa"/>
            </w:tcMar>
            <w:vAlign w:val="top"/>
          </w:tcPr>
          <w:p>
            <w:pPr>
              <w:jc w:val="center"/>
              <w:rPr>
                <w:rFonts w:hint="eastAsia" w:ascii="宋体" w:hAnsi="宋体" w:eastAsia="宋体" w:cs="宋体"/>
                <w:color w:val="auto"/>
                <w:sz w:val="20"/>
                <w:szCs w:val="20"/>
                <w:highlight w:val="none"/>
              </w:rPr>
            </w:pPr>
          </w:p>
        </w:tc>
        <w:tc>
          <w:tcPr>
            <w:tcW w:w="708" w:type="dxa"/>
            <w:tcMar>
              <w:top w:w="15" w:type="dxa"/>
              <w:left w:w="15" w:type="dxa"/>
              <w:bottom w:w="0" w:type="dxa"/>
              <w:right w:w="15" w:type="dxa"/>
            </w:tcMar>
            <w:vAlign w:val="bottom"/>
          </w:tcPr>
          <w:p>
            <w:pPr>
              <w:jc w:val="center"/>
              <w:rPr>
                <w:rFonts w:hint="eastAsia" w:ascii="宋体" w:hAnsi="宋体" w:eastAsia="宋体" w:cs="宋体"/>
                <w:color w:val="auto"/>
                <w:sz w:val="20"/>
                <w:szCs w:val="20"/>
                <w:highlight w:val="none"/>
              </w:rPr>
            </w:pPr>
          </w:p>
        </w:tc>
        <w:tc>
          <w:tcPr>
            <w:tcW w:w="567" w:type="dxa"/>
            <w:tcMar>
              <w:top w:w="15" w:type="dxa"/>
              <w:left w:w="15" w:type="dxa"/>
              <w:bottom w:w="0" w:type="dxa"/>
              <w:right w:w="15" w:type="dxa"/>
            </w:tcMar>
            <w:vAlign w:val="bottom"/>
          </w:tcPr>
          <w:p>
            <w:pPr>
              <w:jc w:val="center"/>
              <w:rPr>
                <w:rFonts w:hint="eastAsia" w:ascii="宋体" w:hAnsi="宋体" w:eastAsia="宋体" w:cs="宋体"/>
                <w:color w:val="auto"/>
                <w:sz w:val="20"/>
                <w:szCs w:val="20"/>
                <w:highlight w:val="none"/>
              </w:rPr>
            </w:pPr>
          </w:p>
        </w:tc>
        <w:tc>
          <w:tcPr>
            <w:tcW w:w="709" w:type="dxa"/>
            <w:tcMar>
              <w:top w:w="15" w:type="dxa"/>
              <w:left w:w="15" w:type="dxa"/>
              <w:bottom w:w="0" w:type="dxa"/>
              <w:right w:w="15" w:type="dxa"/>
            </w:tcMar>
            <w:vAlign w:val="bottom"/>
          </w:tcPr>
          <w:p>
            <w:pPr>
              <w:jc w:val="center"/>
              <w:rPr>
                <w:rFonts w:hint="eastAsia" w:ascii="宋体" w:hAnsi="宋体" w:eastAsia="宋体" w:cs="宋体"/>
                <w:color w:val="auto"/>
                <w:sz w:val="20"/>
                <w:szCs w:val="20"/>
                <w:highlight w:val="none"/>
              </w:rPr>
            </w:pPr>
          </w:p>
        </w:tc>
        <w:tc>
          <w:tcPr>
            <w:tcW w:w="709" w:type="dxa"/>
            <w:vAlign w:val="top"/>
          </w:tcPr>
          <w:p>
            <w:pPr>
              <w:jc w:val="center"/>
              <w:rPr>
                <w:rFonts w:hint="eastAsia" w:ascii="宋体" w:hAnsi="宋体" w:eastAsia="宋体" w:cs="宋体"/>
                <w:color w:val="auto"/>
                <w:sz w:val="20"/>
                <w:szCs w:val="20"/>
                <w:highlight w:val="none"/>
              </w:rPr>
            </w:pPr>
          </w:p>
        </w:tc>
        <w:tc>
          <w:tcPr>
            <w:tcW w:w="1203" w:type="dxa"/>
            <w:tcMar>
              <w:top w:w="15" w:type="dxa"/>
              <w:left w:w="15" w:type="dxa"/>
              <w:bottom w:w="0" w:type="dxa"/>
              <w:right w:w="15" w:type="dxa"/>
            </w:tcMar>
            <w:vAlign w:val="bottom"/>
          </w:tcPr>
          <w:p>
            <w:pPr>
              <w:jc w:val="center"/>
              <w:rPr>
                <w:rFonts w:hint="eastAsia" w:ascii="宋体" w:hAnsi="宋体" w:eastAsia="宋体" w:cs="宋体"/>
                <w:color w:val="auto"/>
                <w:sz w:val="20"/>
                <w:szCs w:val="20"/>
                <w:highlight w:val="none"/>
              </w:rPr>
            </w:pPr>
          </w:p>
        </w:tc>
      </w:tr>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360" w:type="dxa"/>
            <w:tcMar>
              <w:top w:w="15" w:type="dxa"/>
              <w:left w:w="15" w:type="dxa"/>
              <w:bottom w:w="0" w:type="dxa"/>
              <w:right w:w="15" w:type="dxa"/>
            </w:tcMar>
            <w:vAlign w:val="bottom"/>
          </w:tcPr>
          <w:p>
            <w:pPr>
              <w:jc w:val="center"/>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w:t>
            </w:r>
          </w:p>
        </w:tc>
        <w:tc>
          <w:tcPr>
            <w:tcW w:w="975" w:type="dxa"/>
            <w:tcMar>
              <w:top w:w="15" w:type="dxa"/>
              <w:left w:w="15" w:type="dxa"/>
              <w:bottom w:w="0" w:type="dxa"/>
              <w:right w:w="15" w:type="dxa"/>
            </w:tcMar>
            <w:vAlign w:val="bottom"/>
          </w:tcPr>
          <w:p>
            <w:pPr>
              <w:jc w:val="center"/>
              <w:rPr>
                <w:rFonts w:hint="eastAsia" w:ascii="宋体" w:hAnsi="宋体" w:eastAsia="宋体" w:cs="宋体"/>
                <w:color w:val="auto"/>
                <w:sz w:val="20"/>
                <w:szCs w:val="20"/>
                <w:highlight w:val="none"/>
              </w:rPr>
            </w:pPr>
          </w:p>
        </w:tc>
        <w:tc>
          <w:tcPr>
            <w:tcW w:w="1005" w:type="dxa"/>
            <w:tcMar>
              <w:top w:w="15" w:type="dxa"/>
              <w:left w:w="15" w:type="dxa"/>
              <w:bottom w:w="0" w:type="dxa"/>
              <w:right w:w="15" w:type="dxa"/>
            </w:tcMar>
            <w:vAlign w:val="bottom"/>
          </w:tcPr>
          <w:p>
            <w:pPr>
              <w:jc w:val="center"/>
              <w:rPr>
                <w:rFonts w:hint="eastAsia" w:ascii="宋体" w:hAnsi="宋体" w:eastAsia="宋体" w:cs="宋体"/>
                <w:color w:val="auto"/>
                <w:sz w:val="20"/>
                <w:szCs w:val="20"/>
                <w:highlight w:val="none"/>
              </w:rPr>
            </w:pPr>
          </w:p>
        </w:tc>
        <w:tc>
          <w:tcPr>
            <w:tcW w:w="1346" w:type="dxa"/>
            <w:tcMar>
              <w:top w:w="15" w:type="dxa"/>
              <w:left w:w="15" w:type="dxa"/>
              <w:bottom w:w="0" w:type="dxa"/>
              <w:right w:w="15" w:type="dxa"/>
            </w:tcMar>
            <w:vAlign w:val="top"/>
          </w:tcPr>
          <w:p>
            <w:pPr>
              <w:jc w:val="center"/>
              <w:rPr>
                <w:rFonts w:hint="eastAsia" w:ascii="宋体" w:hAnsi="宋体" w:eastAsia="宋体" w:cs="宋体"/>
                <w:color w:val="auto"/>
                <w:sz w:val="20"/>
                <w:szCs w:val="20"/>
                <w:highlight w:val="none"/>
              </w:rPr>
            </w:pPr>
          </w:p>
        </w:tc>
        <w:tc>
          <w:tcPr>
            <w:tcW w:w="1843" w:type="dxa"/>
            <w:tcMar>
              <w:top w:w="15" w:type="dxa"/>
              <w:left w:w="15" w:type="dxa"/>
              <w:bottom w:w="0" w:type="dxa"/>
              <w:right w:w="15" w:type="dxa"/>
            </w:tcMar>
            <w:vAlign w:val="top"/>
          </w:tcPr>
          <w:p>
            <w:pPr>
              <w:jc w:val="center"/>
              <w:rPr>
                <w:rFonts w:hint="eastAsia" w:ascii="宋体" w:hAnsi="宋体" w:eastAsia="宋体" w:cs="宋体"/>
                <w:color w:val="auto"/>
                <w:sz w:val="20"/>
                <w:szCs w:val="20"/>
                <w:highlight w:val="none"/>
              </w:rPr>
            </w:pPr>
          </w:p>
        </w:tc>
        <w:tc>
          <w:tcPr>
            <w:tcW w:w="708" w:type="dxa"/>
            <w:tcMar>
              <w:top w:w="15" w:type="dxa"/>
              <w:left w:w="15" w:type="dxa"/>
              <w:bottom w:w="0" w:type="dxa"/>
              <w:right w:w="15" w:type="dxa"/>
            </w:tcMar>
            <w:vAlign w:val="bottom"/>
          </w:tcPr>
          <w:p>
            <w:pPr>
              <w:jc w:val="center"/>
              <w:rPr>
                <w:rFonts w:hint="eastAsia" w:ascii="宋体" w:hAnsi="宋体" w:eastAsia="宋体" w:cs="宋体"/>
                <w:color w:val="auto"/>
                <w:sz w:val="20"/>
                <w:szCs w:val="20"/>
                <w:highlight w:val="none"/>
              </w:rPr>
            </w:pPr>
          </w:p>
        </w:tc>
        <w:tc>
          <w:tcPr>
            <w:tcW w:w="567" w:type="dxa"/>
            <w:tcMar>
              <w:top w:w="15" w:type="dxa"/>
              <w:left w:w="15" w:type="dxa"/>
              <w:bottom w:w="0" w:type="dxa"/>
              <w:right w:w="15" w:type="dxa"/>
            </w:tcMar>
            <w:vAlign w:val="bottom"/>
          </w:tcPr>
          <w:p>
            <w:pPr>
              <w:jc w:val="center"/>
              <w:rPr>
                <w:rFonts w:hint="eastAsia" w:ascii="宋体" w:hAnsi="宋体" w:eastAsia="宋体" w:cs="宋体"/>
                <w:color w:val="auto"/>
                <w:sz w:val="20"/>
                <w:szCs w:val="20"/>
                <w:highlight w:val="none"/>
              </w:rPr>
            </w:pPr>
          </w:p>
        </w:tc>
        <w:tc>
          <w:tcPr>
            <w:tcW w:w="709" w:type="dxa"/>
            <w:tcMar>
              <w:top w:w="15" w:type="dxa"/>
              <w:left w:w="15" w:type="dxa"/>
              <w:bottom w:w="0" w:type="dxa"/>
              <w:right w:w="15" w:type="dxa"/>
            </w:tcMar>
            <w:vAlign w:val="bottom"/>
          </w:tcPr>
          <w:p>
            <w:pPr>
              <w:jc w:val="center"/>
              <w:rPr>
                <w:rFonts w:hint="eastAsia" w:ascii="宋体" w:hAnsi="宋体" w:eastAsia="宋体" w:cs="宋体"/>
                <w:color w:val="auto"/>
                <w:sz w:val="20"/>
                <w:szCs w:val="20"/>
                <w:highlight w:val="none"/>
              </w:rPr>
            </w:pPr>
          </w:p>
        </w:tc>
        <w:tc>
          <w:tcPr>
            <w:tcW w:w="709" w:type="dxa"/>
            <w:vAlign w:val="top"/>
          </w:tcPr>
          <w:p>
            <w:pPr>
              <w:jc w:val="center"/>
              <w:rPr>
                <w:rFonts w:hint="eastAsia" w:ascii="宋体" w:hAnsi="宋体" w:eastAsia="宋体" w:cs="宋体"/>
                <w:color w:val="auto"/>
                <w:sz w:val="20"/>
                <w:szCs w:val="20"/>
                <w:highlight w:val="none"/>
              </w:rPr>
            </w:pPr>
          </w:p>
        </w:tc>
        <w:tc>
          <w:tcPr>
            <w:tcW w:w="1203" w:type="dxa"/>
            <w:tcMar>
              <w:top w:w="15" w:type="dxa"/>
              <w:left w:w="15" w:type="dxa"/>
              <w:bottom w:w="0" w:type="dxa"/>
              <w:right w:w="15" w:type="dxa"/>
            </w:tcMar>
            <w:vAlign w:val="bottom"/>
          </w:tcPr>
          <w:p>
            <w:pPr>
              <w:jc w:val="center"/>
              <w:rPr>
                <w:rFonts w:hint="eastAsia" w:ascii="宋体" w:hAnsi="宋体" w:eastAsia="宋体" w:cs="宋体"/>
                <w:color w:val="auto"/>
                <w:sz w:val="20"/>
                <w:szCs w:val="20"/>
                <w:highlight w:val="none"/>
              </w:rPr>
            </w:pPr>
          </w:p>
        </w:tc>
      </w:tr>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jc w:val="center"/>
        </w:trPr>
        <w:tc>
          <w:tcPr>
            <w:tcW w:w="3686" w:type="dxa"/>
            <w:gridSpan w:val="4"/>
            <w:tcMar>
              <w:top w:w="15" w:type="dxa"/>
              <w:left w:w="15" w:type="dxa"/>
              <w:bottom w:w="0" w:type="dxa"/>
              <w:right w:w="15" w:type="dxa"/>
            </w:tcMar>
            <w:vAlign w:val="bottom"/>
          </w:tcPr>
          <w:p>
            <w:pPr>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总价合计（即《开标一览表》中的“总价”）</w:t>
            </w:r>
          </w:p>
        </w:tc>
        <w:tc>
          <w:tcPr>
            <w:tcW w:w="5739" w:type="dxa"/>
            <w:gridSpan w:val="6"/>
            <w:vAlign w:val="top"/>
          </w:tcPr>
          <w:p>
            <w:pPr>
              <w:jc w:val="center"/>
              <w:rPr>
                <w:rFonts w:hint="eastAsia" w:ascii="宋体" w:hAnsi="宋体" w:eastAsia="宋体" w:cs="宋体"/>
                <w:color w:val="auto"/>
                <w:sz w:val="20"/>
                <w:szCs w:val="20"/>
                <w:highlight w:val="none"/>
              </w:rPr>
            </w:pPr>
          </w:p>
        </w:tc>
      </w:tr>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jc w:val="center"/>
        </w:trPr>
        <w:tc>
          <w:tcPr>
            <w:tcW w:w="3686" w:type="dxa"/>
            <w:gridSpan w:val="4"/>
            <w:tcMar>
              <w:top w:w="15" w:type="dxa"/>
              <w:left w:w="15" w:type="dxa"/>
              <w:bottom w:w="0" w:type="dxa"/>
              <w:right w:w="15" w:type="dxa"/>
            </w:tcMar>
            <w:vAlign w:val="bottom"/>
          </w:tcPr>
          <w:p>
            <w:pPr>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“小型和微型和监狱企业和</w:t>
            </w:r>
            <w:r>
              <w:rPr>
                <w:rFonts w:hint="eastAsia" w:ascii="宋体" w:hAnsi="宋体" w:eastAsia="宋体" w:cs="宋体"/>
                <w:color w:val="auto"/>
                <w:kern w:val="0"/>
                <w:sz w:val="20"/>
                <w:szCs w:val="20"/>
                <w:highlight w:val="none"/>
              </w:rPr>
              <w:t>享受政府采购支持政策的残疾人福利性单位</w:t>
            </w:r>
            <w:r>
              <w:rPr>
                <w:rFonts w:hint="eastAsia" w:ascii="宋体" w:hAnsi="宋体" w:eastAsia="宋体" w:cs="宋体"/>
                <w:color w:val="auto"/>
                <w:sz w:val="20"/>
                <w:szCs w:val="20"/>
                <w:highlight w:val="none"/>
              </w:rPr>
              <w:t xml:space="preserve">” 总价合计 </w:t>
            </w:r>
          </w:p>
        </w:tc>
        <w:tc>
          <w:tcPr>
            <w:tcW w:w="5739" w:type="dxa"/>
            <w:gridSpan w:val="6"/>
            <w:vAlign w:val="top"/>
          </w:tcPr>
          <w:p>
            <w:pPr>
              <w:jc w:val="center"/>
              <w:rPr>
                <w:rFonts w:hint="eastAsia" w:ascii="宋体" w:hAnsi="宋体" w:eastAsia="宋体" w:cs="宋体"/>
                <w:color w:val="auto"/>
                <w:sz w:val="20"/>
                <w:szCs w:val="20"/>
                <w:highlight w:val="none"/>
              </w:rPr>
            </w:pPr>
          </w:p>
        </w:tc>
      </w:tr>
    </w:tbl>
    <w:p>
      <w:pPr>
        <w:rPr>
          <w:rFonts w:hint="eastAsia" w:ascii="宋体" w:hAnsi="宋体" w:eastAsia="宋体" w:cs="宋体"/>
          <w:color w:val="auto"/>
          <w:sz w:val="24"/>
          <w:highlight w:val="none"/>
        </w:rPr>
      </w:pPr>
    </w:p>
    <w:p>
      <w:pPr>
        <w:spacing w:line="300" w:lineRule="auto"/>
        <w:ind w:firstLine="3120" w:firstLineChars="1300"/>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（盖单位公章）</w:t>
      </w:r>
    </w:p>
    <w:p>
      <w:pPr>
        <w:spacing w:line="360" w:lineRule="auto"/>
        <w:rPr>
          <w:rFonts w:hint="eastAsia" w:ascii="宋体" w:hAnsi="宋体" w:eastAsia="宋体" w:cs="宋体"/>
          <w:color w:val="auto"/>
          <w:sz w:val="24"/>
          <w:highlight w:val="none"/>
        </w:rPr>
      </w:pPr>
    </w:p>
    <w:p>
      <w:pPr>
        <w:spacing w:line="360" w:lineRule="auto"/>
        <w:ind w:firstLine="3120" w:firstLineChars="1300"/>
        <w:rPr>
          <w:rFonts w:hint="eastAsia" w:ascii="宋体" w:hAnsi="宋体" w:eastAsia="宋体" w:cs="宋体"/>
          <w:color w:val="auto"/>
          <w:sz w:val="24"/>
          <w:highlight w:val="none"/>
        </w:rPr>
      </w:pPr>
      <w:r>
        <w:rPr>
          <w:rFonts w:hint="eastAsia" w:ascii="宋体" w:hAnsi="宋体" w:eastAsia="宋体" w:cs="宋体"/>
          <w:color w:val="auto"/>
          <w:sz w:val="24"/>
          <w:highlight w:val="none"/>
        </w:rPr>
        <w:t>日期：   年  月  日</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说明：</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1.本表中“产品制造企业的划分”中“微型”或“小型”必须是提供本企业（投标人）制造的货物，或者提供其他“微型”或“小型”企业制造的货物。小型、微型企业提供中型企业制造的货物的，视同为中型企业。具体以《政府采购促进中小企业发展暂行办法》（</w:t>
      </w:r>
      <w:r>
        <w:rPr>
          <w:rFonts w:hint="eastAsia" w:ascii="宋体" w:hAnsi="宋体" w:eastAsia="宋体" w:cs="宋体"/>
          <w:color w:val="auto"/>
          <w:sz w:val="24"/>
          <w:highlight w:val="none"/>
          <w:lang w:val="en-US" w:eastAsia="zh-CN"/>
        </w:rPr>
        <w:t>財库【2020】46号文</w:t>
      </w:r>
      <w:r>
        <w:rPr>
          <w:rFonts w:hint="eastAsia" w:ascii="宋体" w:hAnsi="宋体" w:eastAsia="宋体" w:cs="宋体"/>
          <w:color w:val="auto"/>
          <w:sz w:val="24"/>
          <w:highlight w:val="none"/>
        </w:rPr>
        <w:t>）和《工业和信息化部、国家统计局、国家发展和改革委员会、财政部关于印发中小企业划型标准规定的通知》（工信部联企业[2011]300号）的规定为准。</w:t>
      </w:r>
    </w:p>
    <w:p>
      <w:pPr>
        <w:widowControl/>
        <w:adjustRightInd w:val="0"/>
        <w:snapToGrid w:val="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2. 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具</w:t>
      </w:r>
      <w:r>
        <w:rPr>
          <w:rFonts w:hint="eastAsia" w:ascii="宋体" w:hAnsi="宋体" w:eastAsia="宋体" w:cs="宋体"/>
          <w:color w:val="auto"/>
          <w:kern w:val="0"/>
          <w:sz w:val="24"/>
          <w:highlight w:val="none"/>
        </w:rPr>
        <w:t>体以《财政部 司法部关于政府采购支持监狱企业发展有关问题的通知》（财库〔2014〕68号）的规定为准。</w:t>
      </w:r>
    </w:p>
    <w:p>
      <w:pPr>
        <w:widowControl/>
        <w:adjustRightInd w:val="0"/>
        <w:snapToGrid w:val="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 享受政府采购支持政策的残疾人福利性单位的条件以《三部门联合发布关于促进残疾人就业政府采购政策的通知》（财库〔2017〕141号）规定为准。</w:t>
      </w:r>
    </w:p>
    <w:p>
      <w:pPr>
        <w:widowControl/>
        <w:adjustRightInd w:val="0"/>
        <w:snapToGrid w:val="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４．产品制造企业为“微型”或“小型”或“监狱企业”或“享受政府采购支持政策的残疾人福利性单位”的，须算出““小型和微型和监狱企业和享受政府采购支持政策的残疾人福利性单位”总价合计”。</w:t>
      </w:r>
    </w:p>
    <w:p>
      <w:pPr>
        <w:widowControl/>
        <w:adjustRightInd w:val="0"/>
        <w:snapToGrid w:val="0"/>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根据财政部国库司的答复,小微企业提供的货物中包含大、中型企业产品的，不享受优惠待遇。</w:t>
      </w:r>
    </w:p>
    <w:p>
      <w:pPr>
        <w:widowControl/>
        <w:adjustRightInd w:val="0"/>
        <w:snapToGrid w:val="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５.《三部门联合发布关于促进残疾人就业政府采购政策的通知》（财库〔2017〕141号）规定：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pPr>
        <w:widowControl/>
        <w:adjustRightInd w:val="0"/>
        <w:snapToGrid w:val="0"/>
        <w:ind w:firstLine="480" w:firstLineChars="200"/>
        <w:jc w:val="left"/>
        <w:rPr>
          <w:rFonts w:hint="eastAsia" w:ascii="宋体" w:hAnsi="宋体" w:eastAsia="宋体" w:cs="宋体"/>
          <w:color w:val="auto"/>
          <w:kern w:val="0"/>
          <w:sz w:val="24"/>
          <w:highlight w:val="none"/>
        </w:rPr>
      </w:pPr>
    </w:p>
    <w:p>
      <w:pPr>
        <w:widowControl/>
        <w:adjustRightInd w:val="0"/>
        <w:snapToGrid w:val="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注：1．如果不提供详细分项报价将视为没有实质性响应招标文件。</w:t>
      </w:r>
    </w:p>
    <w:p>
      <w:pPr>
        <w:widowControl/>
        <w:adjustRightInd w:val="0"/>
        <w:snapToGrid w:val="0"/>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2．投标人对以上数据的真实性负责。</w:t>
      </w:r>
    </w:p>
    <w:p>
      <w:pPr>
        <w:widowControl/>
        <w:adjustRightInd w:val="0"/>
        <w:snapToGrid w:val="0"/>
        <w:ind w:firstLine="482" w:firstLineChars="200"/>
        <w:jc w:val="left"/>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采购人或采购代理机构有权将以上内容进行公示。</w:t>
      </w:r>
    </w:p>
    <w:p>
      <w:pPr>
        <w:ind w:firstLine="480" w:firstLineChars="200"/>
        <w:jc w:val="center"/>
        <w:rPr>
          <w:rFonts w:hint="eastAsia" w:ascii="宋体" w:hAnsi="宋体" w:eastAsia="宋体" w:cs="宋体"/>
          <w:color w:val="auto"/>
          <w:sz w:val="28"/>
          <w:szCs w:val="28"/>
          <w:highlight w:val="none"/>
        </w:rPr>
      </w:pPr>
      <w:r>
        <w:rPr>
          <w:rFonts w:hint="eastAsia" w:ascii="宋体" w:hAnsi="宋体" w:eastAsia="宋体" w:cs="宋体"/>
          <w:color w:val="auto"/>
          <w:sz w:val="24"/>
          <w:highlight w:val="none"/>
        </w:rPr>
        <w:br w:type="page"/>
      </w:r>
      <w:r>
        <w:rPr>
          <w:rFonts w:hint="eastAsia" w:ascii="宋体" w:hAnsi="宋体" w:eastAsia="宋体" w:cs="宋体"/>
          <w:b/>
          <w:bCs/>
          <w:color w:val="auto"/>
          <w:sz w:val="28"/>
          <w:szCs w:val="28"/>
          <w:highlight w:val="none"/>
        </w:rPr>
        <w:t>4.偏离表</w:t>
      </w:r>
    </w:p>
    <w:p>
      <w:pPr>
        <w:rPr>
          <w:rFonts w:hint="eastAsia" w:ascii="宋体" w:hAnsi="宋体" w:eastAsia="宋体" w:cs="宋体"/>
          <w:color w:val="auto"/>
          <w:sz w:val="24"/>
          <w:highlight w:val="none"/>
        </w:rPr>
      </w:pPr>
    </w:p>
    <w:p>
      <w:pPr>
        <w:rPr>
          <w:rFonts w:hint="eastAsia" w:ascii="宋体" w:hAnsi="宋体" w:eastAsia="宋体" w:cs="宋体"/>
          <w:bCs/>
          <w:color w:val="auto"/>
          <w:sz w:val="24"/>
          <w:highlight w:val="none"/>
          <w:u w:val="single"/>
        </w:rPr>
      </w:pPr>
      <w:r>
        <w:rPr>
          <w:rFonts w:hint="eastAsia" w:ascii="宋体" w:hAnsi="宋体" w:eastAsia="宋体" w:cs="宋体"/>
          <w:color w:val="auto"/>
          <w:sz w:val="24"/>
          <w:highlight w:val="none"/>
        </w:rPr>
        <w:t>项目编号：</w:t>
      </w:r>
      <w:r>
        <w:rPr>
          <w:rFonts w:hint="eastAsia" w:ascii="宋体" w:hAnsi="宋体" w:eastAsia="宋体" w:cs="宋体"/>
          <w:bCs/>
          <w:color w:val="auto"/>
          <w:sz w:val="24"/>
          <w:highlight w:val="none"/>
          <w:u w:val="single"/>
        </w:rPr>
        <w:t xml:space="preserve"> </w:t>
      </w:r>
      <w:r>
        <w:rPr>
          <w:rFonts w:hint="eastAsia" w:ascii="宋体" w:hAnsi="宋体" w:cs="宋体"/>
          <w:bCs/>
          <w:color w:val="auto"/>
          <w:sz w:val="24"/>
          <w:highlight w:val="none"/>
          <w:u w:val="single"/>
          <w:lang w:eastAsia="zh-CN"/>
        </w:rPr>
        <w:t>徐采公（2021）YZJS（Q）024</w:t>
      </w:r>
      <w:r>
        <w:rPr>
          <w:rFonts w:hint="eastAsia" w:ascii="宋体" w:hAnsi="宋体" w:eastAsia="宋体" w:cs="宋体"/>
          <w:bCs/>
          <w:color w:val="auto"/>
          <w:sz w:val="24"/>
          <w:highlight w:val="none"/>
          <w:u w:val="single"/>
        </w:rPr>
        <w:t xml:space="preserve"> </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项目名称：</w:t>
      </w:r>
      <w:r>
        <w:rPr>
          <w:rFonts w:hint="eastAsia" w:ascii="宋体" w:hAnsi="宋体" w:cs="宋体"/>
          <w:color w:val="auto"/>
          <w:sz w:val="24"/>
          <w:highlight w:val="none"/>
          <w:u w:val="single"/>
          <w:lang w:eastAsia="zh-CN"/>
        </w:rPr>
        <w:t>垃圾分类收集亭提档升级（标段名称）</w:t>
      </w:r>
      <w:r>
        <w:rPr>
          <w:rFonts w:hint="eastAsia" w:ascii="宋体" w:hAnsi="宋体" w:eastAsia="宋体" w:cs="宋体"/>
          <w:color w:val="auto"/>
          <w:sz w:val="24"/>
          <w:highlight w:val="none"/>
          <w:u w:val="single"/>
        </w:rPr>
        <w:t xml:space="preserve"> </w:t>
      </w:r>
    </w:p>
    <w:p>
      <w:pPr>
        <w:rPr>
          <w:rFonts w:hint="eastAsia" w:ascii="宋体" w:hAnsi="宋体" w:eastAsia="宋体" w:cs="宋体"/>
          <w:bCs/>
          <w:color w:val="auto"/>
          <w:sz w:val="24"/>
          <w:highlight w:val="none"/>
        </w:rPr>
      </w:pPr>
    </w:p>
    <w:tbl>
      <w:tblPr>
        <w:tblStyle w:val="12"/>
        <w:tblW w:w="8928" w:type="dxa"/>
        <w:tblInd w:w="0" w:type="dxa"/>
        <w:tblBorders>
          <w:top w:val="double" w:color="auto" w:sz="6" w:space="0"/>
          <w:left w:val="double" w:color="auto" w:sz="6" w:space="0"/>
          <w:bottom w:val="double" w:color="auto" w:sz="6" w:space="0"/>
          <w:right w:val="double" w:color="auto" w:sz="6" w:space="0"/>
          <w:insideH w:val="none" w:color="auto" w:sz="0" w:space="0"/>
          <w:insideV w:val="none" w:color="auto" w:sz="0" w:space="0"/>
        </w:tblBorders>
        <w:tblLayout w:type="fixed"/>
        <w:tblCellMar>
          <w:top w:w="0" w:type="dxa"/>
          <w:left w:w="108" w:type="dxa"/>
          <w:bottom w:w="0" w:type="dxa"/>
          <w:right w:w="108" w:type="dxa"/>
        </w:tblCellMar>
      </w:tblPr>
      <w:tblGrid>
        <w:gridCol w:w="828"/>
        <w:gridCol w:w="1404"/>
        <w:gridCol w:w="1356"/>
        <w:gridCol w:w="1740"/>
        <w:gridCol w:w="1260"/>
        <w:gridCol w:w="2340"/>
      </w:tblGrid>
      <w:tr>
        <w:tblPrEx>
          <w:tblBorders>
            <w:top w:val="double" w:color="auto" w:sz="6" w:space="0"/>
            <w:left w:val="double" w:color="auto" w:sz="6" w:space="0"/>
            <w:bottom w:val="double" w:color="auto" w:sz="6" w:space="0"/>
            <w:right w:val="double" w:color="auto" w:sz="6" w:space="0"/>
            <w:insideH w:val="none" w:color="auto" w:sz="0" w:space="0"/>
            <w:insideV w:val="none" w:color="auto" w:sz="0" w:space="0"/>
          </w:tblBorders>
          <w:tblCellMar>
            <w:top w:w="0" w:type="dxa"/>
            <w:left w:w="108" w:type="dxa"/>
            <w:bottom w:w="0" w:type="dxa"/>
            <w:right w:w="108" w:type="dxa"/>
          </w:tblCellMar>
        </w:tblPrEx>
        <w:trPr>
          <w:trHeight w:val="414" w:hRule="atLeast"/>
        </w:trPr>
        <w:tc>
          <w:tcPr>
            <w:tcW w:w="828" w:type="dxa"/>
            <w:tcBorders>
              <w:top w:val="double" w:color="000000" w:sz="6" w:space="0"/>
              <w:left w:val="double" w:color="000000" w:sz="6" w:space="0"/>
              <w:bottom w:val="single" w:color="000000" w:sz="6" w:space="0"/>
              <w:right w:val="single" w:color="000000" w:sz="6" w:space="0"/>
            </w:tcBorders>
            <w:vAlign w:val="center"/>
          </w:tcPr>
          <w:p>
            <w:pPr>
              <w:jc w:val="center"/>
              <w:rPr>
                <w:rFonts w:hint="eastAsia" w:ascii="宋体" w:hAnsi="宋体" w:eastAsia="宋体" w:cs="宋体"/>
                <w:caps/>
                <w:color w:val="auto"/>
                <w:sz w:val="24"/>
                <w:highlight w:val="none"/>
              </w:rPr>
            </w:pPr>
            <w:r>
              <w:rPr>
                <w:rFonts w:hint="eastAsia" w:ascii="宋体" w:hAnsi="宋体" w:eastAsia="宋体" w:cs="宋体"/>
                <w:caps/>
                <w:color w:val="auto"/>
                <w:sz w:val="24"/>
                <w:highlight w:val="none"/>
              </w:rPr>
              <w:t>序号</w:t>
            </w:r>
          </w:p>
        </w:tc>
        <w:tc>
          <w:tcPr>
            <w:tcW w:w="1404" w:type="dxa"/>
            <w:tcBorders>
              <w:top w:val="doub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caps/>
                <w:color w:val="auto"/>
                <w:sz w:val="24"/>
                <w:highlight w:val="none"/>
              </w:rPr>
            </w:pPr>
            <w:r>
              <w:rPr>
                <w:rFonts w:hint="eastAsia" w:ascii="宋体" w:hAnsi="宋体" w:eastAsia="宋体" w:cs="宋体"/>
                <w:caps/>
                <w:color w:val="auto"/>
                <w:sz w:val="24"/>
                <w:highlight w:val="none"/>
              </w:rPr>
              <w:t>标的名称</w:t>
            </w:r>
          </w:p>
        </w:tc>
        <w:tc>
          <w:tcPr>
            <w:tcW w:w="1356" w:type="dxa"/>
            <w:tcBorders>
              <w:top w:val="doub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caps/>
                <w:color w:val="auto"/>
                <w:sz w:val="24"/>
                <w:highlight w:val="none"/>
              </w:rPr>
            </w:pPr>
            <w:r>
              <w:rPr>
                <w:rFonts w:hint="eastAsia" w:ascii="宋体" w:hAnsi="宋体" w:eastAsia="宋体" w:cs="宋体"/>
                <w:caps/>
                <w:color w:val="auto"/>
                <w:sz w:val="24"/>
                <w:highlight w:val="none"/>
              </w:rPr>
              <w:t>招标规格</w:t>
            </w:r>
          </w:p>
        </w:tc>
        <w:tc>
          <w:tcPr>
            <w:tcW w:w="1740" w:type="dxa"/>
            <w:tcBorders>
              <w:top w:val="doub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caps/>
                <w:color w:val="auto"/>
                <w:sz w:val="24"/>
                <w:highlight w:val="none"/>
              </w:rPr>
            </w:pPr>
            <w:r>
              <w:rPr>
                <w:rFonts w:hint="eastAsia" w:ascii="宋体" w:hAnsi="宋体" w:eastAsia="宋体" w:cs="宋体"/>
                <w:caps/>
                <w:color w:val="auto"/>
                <w:sz w:val="24"/>
                <w:highlight w:val="none"/>
              </w:rPr>
              <w:t>投标规格</w:t>
            </w:r>
          </w:p>
        </w:tc>
        <w:tc>
          <w:tcPr>
            <w:tcW w:w="1260" w:type="dxa"/>
            <w:tcBorders>
              <w:top w:val="doub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caps/>
                <w:color w:val="auto"/>
                <w:sz w:val="24"/>
                <w:highlight w:val="none"/>
              </w:rPr>
            </w:pPr>
            <w:r>
              <w:rPr>
                <w:rFonts w:hint="eastAsia" w:ascii="宋体" w:hAnsi="宋体" w:eastAsia="宋体" w:cs="宋体"/>
                <w:caps/>
                <w:color w:val="auto"/>
                <w:sz w:val="24"/>
                <w:highlight w:val="none"/>
              </w:rPr>
              <w:t>（正/负/无）偏离</w:t>
            </w:r>
          </w:p>
        </w:tc>
        <w:tc>
          <w:tcPr>
            <w:tcW w:w="2340" w:type="dxa"/>
            <w:tcBorders>
              <w:top w:val="double" w:color="000000" w:sz="6" w:space="0"/>
              <w:left w:val="single" w:color="000000" w:sz="6" w:space="0"/>
              <w:bottom w:val="single" w:color="000000" w:sz="6" w:space="0"/>
              <w:right w:val="double" w:color="000000" w:sz="6" w:space="0"/>
            </w:tcBorders>
            <w:vAlign w:val="center"/>
          </w:tcPr>
          <w:p>
            <w:pPr>
              <w:jc w:val="center"/>
              <w:rPr>
                <w:rFonts w:hint="eastAsia" w:ascii="宋体" w:hAnsi="宋体" w:eastAsia="宋体" w:cs="宋体"/>
                <w:caps/>
                <w:color w:val="auto"/>
                <w:sz w:val="24"/>
                <w:highlight w:val="none"/>
              </w:rPr>
            </w:pPr>
            <w:r>
              <w:rPr>
                <w:rFonts w:hint="eastAsia" w:ascii="宋体" w:hAnsi="宋体" w:eastAsia="宋体" w:cs="宋体"/>
                <w:caps/>
                <w:color w:val="auto"/>
                <w:sz w:val="24"/>
                <w:highlight w:val="none"/>
              </w:rPr>
              <w:t>说明</w:t>
            </w:r>
          </w:p>
        </w:tc>
      </w:tr>
      <w:tr>
        <w:tblPrEx>
          <w:tblBorders>
            <w:top w:val="double" w:color="auto" w:sz="6" w:space="0"/>
            <w:left w:val="double" w:color="auto" w:sz="6" w:space="0"/>
            <w:bottom w:val="double" w:color="auto" w:sz="6" w:space="0"/>
            <w:right w:val="double" w:color="auto" w:sz="6"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28" w:type="dxa"/>
            <w:tcBorders>
              <w:top w:val="single" w:color="000000" w:sz="6" w:space="0"/>
              <w:left w:val="double" w:color="000000" w:sz="6" w:space="0"/>
              <w:bottom w:val="single" w:color="000000" w:sz="6" w:space="0"/>
              <w:right w:val="single" w:color="000000" w:sz="6" w:space="0"/>
            </w:tcBorders>
            <w:vAlign w:val="top"/>
          </w:tcPr>
          <w:p>
            <w:pPr>
              <w:rPr>
                <w:rFonts w:hint="eastAsia" w:ascii="宋体" w:hAnsi="宋体" w:eastAsia="宋体" w:cs="宋体"/>
                <w:color w:val="auto"/>
                <w:sz w:val="24"/>
                <w:highlight w:val="none"/>
              </w:rPr>
            </w:pPr>
          </w:p>
        </w:tc>
        <w:tc>
          <w:tcPr>
            <w:tcW w:w="1404" w:type="dxa"/>
            <w:tcBorders>
              <w:top w:val="single" w:color="000000" w:sz="6" w:space="0"/>
              <w:left w:val="single" w:color="000000" w:sz="6" w:space="0"/>
              <w:bottom w:val="single" w:color="000000" w:sz="6" w:space="0"/>
              <w:right w:val="single" w:color="000000" w:sz="6" w:space="0"/>
            </w:tcBorders>
            <w:vAlign w:val="top"/>
          </w:tcPr>
          <w:p>
            <w:pPr>
              <w:rPr>
                <w:rFonts w:hint="eastAsia" w:ascii="宋体" w:hAnsi="宋体" w:eastAsia="宋体" w:cs="宋体"/>
                <w:color w:val="auto"/>
                <w:sz w:val="24"/>
                <w:highlight w:val="none"/>
              </w:rPr>
            </w:pPr>
          </w:p>
        </w:tc>
        <w:tc>
          <w:tcPr>
            <w:tcW w:w="1356" w:type="dxa"/>
            <w:tcBorders>
              <w:top w:val="single" w:color="000000" w:sz="6" w:space="0"/>
              <w:left w:val="single" w:color="000000" w:sz="6" w:space="0"/>
              <w:bottom w:val="single" w:color="000000" w:sz="6" w:space="0"/>
              <w:right w:val="single" w:color="000000" w:sz="6" w:space="0"/>
            </w:tcBorders>
            <w:vAlign w:val="top"/>
          </w:tcPr>
          <w:p>
            <w:pPr>
              <w:rPr>
                <w:rFonts w:hint="eastAsia" w:ascii="宋体" w:hAnsi="宋体" w:eastAsia="宋体" w:cs="宋体"/>
                <w:color w:val="auto"/>
                <w:sz w:val="24"/>
                <w:highlight w:val="none"/>
              </w:rPr>
            </w:pPr>
          </w:p>
        </w:tc>
        <w:tc>
          <w:tcPr>
            <w:tcW w:w="1740" w:type="dxa"/>
            <w:tcBorders>
              <w:top w:val="single" w:color="000000" w:sz="6" w:space="0"/>
              <w:left w:val="single" w:color="000000" w:sz="6" w:space="0"/>
              <w:bottom w:val="single" w:color="000000" w:sz="6" w:space="0"/>
              <w:right w:val="single" w:color="000000" w:sz="6" w:space="0"/>
            </w:tcBorders>
            <w:vAlign w:val="top"/>
          </w:tcPr>
          <w:p>
            <w:pPr>
              <w:rPr>
                <w:rFonts w:hint="eastAsia" w:ascii="宋体" w:hAnsi="宋体" w:eastAsia="宋体" w:cs="宋体"/>
                <w:color w:val="auto"/>
                <w:sz w:val="24"/>
                <w:highlight w:val="none"/>
              </w:rPr>
            </w:pPr>
          </w:p>
        </w:tc>
        <w:tc>
          <w:tcPr>
            <w:tcW w:w="1260" w:type="dxa"/>
            <w:tcBorders>
              <w:top w:val="single" w:color="000000" w:sz="6" w:space="0"/>
              <w:left w:val="single" w:color="000000" w:sz="6" w:space="0"/>
              <w:bottom w:val="single" w:color="000000" w:sz="6" w:space="0"/>
              <w:right w:val="single" w:color="000000" w:sz="6" w:space="0"/>
            </w:tcBorders>
            <w:vAlign w:val="top"/>
          </w:tcPr>
          <w:p>
            <w:pPr>
              <w:rPr>
                <w:rFonts w:hint="eastAsia" w:ascii="宋体" w:hAnsi="宋体" w:eastAsia="宋体" w:cs="宋体"/>
                <w:color w:val="auto"/>
                <w:sz w:val="24"/>
                <w:highlight w:val="none"/>
              </w:rPr>
            </w:pPr>
          </w:p>
        </w:tc>
        <w:tc>
          <w:tcPr>
            <w:tcW w:w="2340" w:type="dxa"/>
            <w:tcBorders>
              <w:top w:val="single" w:color="000000" w:sz="6" w:space="0"/>
              <w:left w:val="single" w:color="000000" w:sz="6" w:space="0"/>
              <w:bottom w:val="single" w:color="000000" w:sz="6" w:space="0"/>
              <w:right w:val="double" w:color="000000" w:sz="6" w:space="0"/>
            </w:tcBorders>
            <w:vAlign w:val="top"/>
          </w:tcPr>
          <w:p>
            <w:pPr>
              <w:rPr>
                <w:rFonts w:hint="eastAsia" w:ascii="宋体" w:hAnsi="宋体" w:eastAsia="宋体" w:cs="宋体"/>
                <w:color w:val="auto"/>
                <w:sz w:val="24"/>
                <w:highlight w:val="none"/>
              </w:rPr>
            </w:pPr>
          </w:p>
        </w:tc>
      </w:tr>
      <w:tr>
        <w:tblPrEx>
          <w:tblBorders>
            <w:top w:val="double" w:color="auto" w:sz="6" w:space="0"/>
            <w:left w:val="double" w:color="auto" w:sz="6" w:space="0"/>
            <w:bottom w:val="double" w:color="auto" w:sz="6" w:space="0"/>
            <w:right w:val="double" w:color="auto" w:sz="6"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28" w:type="dxa"/>
            <w:tcBorders>
              <w:top w:val="single" w:color="000000" w:sz="6" w:space="0"/>
              <w:left w:val="double" w:color="000000" w:sz="6" w:space="0"/>
              <w:bottom w:val="single" w:color="000000" w:sz="6" w:space="0"/>
              <w:right w:val="single" w:color="000000" w:sz="6" w:space="0"/>
            </w:tcBorders>
            <w:vAlign w:val="top"/>
          </w:tcPr>
          <w:p>
            <w:pPr>
              <w:rPr>
                <w:rFonts w:hint="eastAsia" w:ascii="宋体" w:hAnsi="宋体" w:eastAsia="宋体" w:cs="宋体"/>
                <w:color w:val="auto"/>
                <w:sz w:val="24"/>
                <w:highlight w:val="none"/>
              </w:rPr>
            </w:pPr>
          </w:p>
        </w:tc>
        <w:tc>
          <w:tcPr>
            <w:tcW w:w="1404" w:type="dxa"/>
            <w:tcBorders>
              <w:top w:val="single" w:color="000000" w:sz="6" w:space="0"/>
              <w:left w:val="single" w:color="000000" w:sz="6" w:space="0"/>
              <w:bottom w:val="single" w:color="000000" w:sz="6" w:space="0"/>
              <w:right w:val="single" w:color="000000" w:sz="6" w:space="0"/>
            </w:tcBorders>
            <w:vAlign w:val="top"/>
          </w:tcPr>
          <w:p>
            <w:pPr>
              <w:rPr>
                <w:rFonts w:hint="eastAsia" w:ascii="宋体" w:hAnsi="宋体" w:eastAsia="宋体" w:cs="宋体"/>
                <w:color w:val="auto"/>
                <w:sz w:val="24"/>
                <w:highlight w:val="none"/>
              </w:rPr>
            </w:pPr>
          </w:p>
        </w:tc>
        <w:tc>
          <w:tcPr>
            <w:tcW w:w="1356" w:type="dxa"/>
            <w:tcBorders>
              <w:top w:val="single" w:color="000000" w:sz="6" w:space="0"/>
              <w:left w:val="single" w:color="000000" w:sz="6" w:space="0"/>
              <w:bottom w:val="single" w:color="000000" w:sz="6" w:space="0"/>
              <w:right w:val="single" w:color="000000" w:sz="6" w:space="0"/>
            </w:tcBorders>
            <w:vAlign w:val="top"/>
          </w:tcPr>
          <w:p>
            <w:pPr>
              <w:rPr>
                <w:rFonts w:hint="eastAsia" w:ascii="宋体" w:hAnsi="宋体" w:eastAsia="宋体" w:cs="宋体"/>
                <w:color w:val="auto"/>
                <w:sz w:val="24"/>
                <w:highlight w:val="none"/>
              </w:rPr>
            </w:pPr>
          </w:p>
        </w:tc>
        <w:tc>
          <w:tcPr>
            <w:tcW w:w="1740" w:type="dxa"/>
            <w:tcBorders>
              <w:top w:val="single" w:color="000000" w:sz="6" w:space="0"/>
              <w:left w:val="single" w:color="000000" w:sz="6" w:space="0"/>
              <w:bottom w:val="single" w:color="000000" w:sz="6" w:space="0"/>
              <w:right w:val="single" w:color="000000" w:sz="6" w:space="0"/>
            </w:tcBorders>
            <w:vAlign w:val="top"/>
          </w:tcPr>
          <w:p>
            <w:pPr>
              <w:rPr>
                <w:rFonts w:hint="eastAsia" w:ascii="宋体" w:hAnsi="宋体" w:eastAsia="宋体" w:cs="宋体"/>
                <w:color w:val="auto"/>
                <w:sz w:val="24"/>
                <w:highlight w:val="none"/>
              </w:rPr>
            </w:pPr>
          </w:p>
        </w:tc>
        <w:tc>
          <w:tcPr>
            <w:tcW w:w="1260" w:type="dxa"/>
            <w:tcBorders>
              <w:top w:val="single" w:color="000000" w:sz="6" w:space="0"/>
              <w:left w:val="single" w:color="000000" w:sz="6" w:space="0"/>
              <w:bottom w:val="single" w:color="000000" w:sz="6" w:space="0"/>
              <w:right w:val="single" w:color="000000" w:sz="6" w:space="0"/>
            </w:tcBorders>
            <w:vAlign w:val="top"/>
          </w:tcPr>
          <w:p>
            <w:pPr>
              <w:rPr>
                <w:rFonts w:hint="eastAsia" w:ascii="宋体" w:hAnsi="宋体" w:eastAsia="宋体" w:cs="宋体"/>
                <w:color w:val="auto"/>
                <w:sz w:val="24"/>
                <w:highlight w:val="none"/>
              </w:rPr>
            </w:pPr>
          </w:p>
        </w:tc>
        <w:tc>
          <w:tcPr>
            <w:tcW w:w="2340" w:type="dxa"/>
            <w:tcBorders>
              <w:top w:val="single" w:color="000000" w:sz="6" w:space="0"/>
              <w:left w:val="single" w:color="000000" w:sz="6" w:space="0"/>
              <w:bottom w:val="single" w:color="000000" w:sz="6" w:space="0"/>
              <w:right w:val="double" w:color="000000" w:sz="6" w:space="0"/>
            </w:tcBorders>
            <w:vAlign w:val="top"/>
          </w:tcPr>
          <w:p>
            <w:pPr>
              <w:rPr>
                <w:rFonts w:hint="eastAsia" w:ascii="宋体" w:hAnsi="宋体" w:eastAsia="宋体" w:cs="宋体"/>
                <w:color w:val="auto"/>
                <w:sz w:val="24"/>
                <w:highlight w:val="none"/>
              </w:rPr>
            </w:pPr>
          </w:p>
        </w:tc>
      </w:tr>
      <w:tr>
        <w:tblPrEx>
          <w:tblBorders>
            <w:top w:val="double" w:color="auto" w:sz="6" w:space="0"/>
            <w:left w:val="double" w:color="auto" w:sz="6" w:space="0"/>
            <w:bottom w:val="double" w:color="auto" w:sz="6" w:space="0"/>
            <w:right w:val="double" w:color="auto" w:sz="6"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28" w:type="dxa"/>
            <w:tcBorders>
              <w:top w:val="single" w:color="000000" w:sz="6" w:space="0"/>
              <w:left w:val="double" w:color="000000" w:sz="6" w:space="0"/>
              <w:bottom w:val="single" w:color="000000" w:sz="6" w:space="0"/>
              <w:right w:val="single" w:color="000000" w:sz="6" w:space="0"/>
            </w:tcBorders>
            <w:vAlign w:val="top"/>
          </w:tcPr>
          <w:p>
            <w:pPr>
              <w:rPr>
                <w:rFonts w:hint="eastAsia" w:ascii="宋体" w:hAnsi="宋体" w:eastAsia="宋体" w:cs="宋体"/>
                <w:color w:val="auto"/>
                <w:sz w:val="24"/>
                <w:highlight w:val="none"/>
              </w:rPr>
            </w:pPr>
          </w:p>
        </w:tc>
        <w:tc>
          <w:tcPr>
            <w:tcW w:w="1404" w:type="dxa"/>
            <w:tcBorders>
              <w:top w:val="single" w:color="000000" w:sz="6" w:space="0"/>
              <w:left w:val="single" w:color="000000" w:sz="6" w:space="0"/>
              <w:bottom w:val="single" w:color="000000" w:sz="6" w:space="0"/>
              <w:right w:val="single" w:color="000000" w:sz="6" w:space="0"/>
            </w:tcBorders>
            <w:vAlign w:val="top"/>
          </w:tcPr>
          <w:p>
            <w:pPr>
              <w:rPr>
                <w:rFonts w:hint="eastAsia" w:ascii="宋体" w:hAnsi="宋体" w:eastAsia="宋体" w:cs="宋体"/>
                <w:color w:val="auto"/>
                <w:sz w:val="24"/>
                <w:highlight w:val="none"/>
              </w:rPr>
            </w:pPr>
          </w:p>
        </w:tc>
        <w:tc>
          <w:tcPr>
            <w:tcW w:w="1356" w:type="dxa"/>
            <w:tcBorders>
              <w:top w:val="single" w:color="000000" w:sz="6" w:space="0"/>
              <w:left w:val="single" w:color="000000" w:sz="6" w:space="0"/>
              <w:bottom w:val="single" w:color="000000" w:sz="6" w:space="0"/>
              <w:right w:val="single" w:color="000000" w:sz="6" w:space="0"/>
            </w:tcBorders>
            <w:vAlign w:val="top"/>
          </w:tcPr>
          <w:p>
            <w:pPr>
              <w:rPr>
                <w:rFonts w:hint="eastAsia" w:ascii="宋体" w:hAnsi="宋体" w:eastAsia="宋体" w:cs="宋体"/>
                <w:color w:val="auto"/>
                <w:sz w:val="24"/>
                <w:highlight w:val="none"/>
              </w:rPr>
            </w:pPr>
          </w:p>
        </w:tc>
        <w:tc>
          <w:tcPr>
            <w:tcW w:w="1740" w:type="dxa"/>
            <w:tcBorders>
              <w:top w:val="single" w:color="000000" w:sz="6" w:space="0"/>
              <w:left w:val="single" w:color="000000" w:sz="6" w:space="0"/>
              <w:bottom w:val="single" w:color="000000" w:sz="6" w:space="0"/>
              <w:right w:val="single" w:color="000000" w:sz="6" w:space="0"/>
            </w:tcBorders>
            <w:vAlign w:val="top"/>
          </w:tcPr>
          <w:p>
            <w:pPr>
              <w:rPr>
                <w:rFonts w:hint="eastAsia" w:ascii="宋体" w:hAnsi="宋体" w:eastAsia="宋体" w:cs="宋体"/>
                <w:color w:val="auto"/>
                <w:sz w:val="24"/>
                <w:highlight w:val="none"/>
              </w:rPr>
            </w:pPr>
          </w:p>
        </w:tc>
        <w:tc>
          <w:tcPr>
            <w:tcW w:w="1260" w:type="dxa"/>
            <w:tcBorders>
              <w:top w:val="single" w:color="000000" w:sz="6" w:space="0"/>
              <w:left w:val="single" w:color="000000" w:sz="6" w:space="0"/>
              <w:bottom w:val="single" w:color="000000" w:sz="6" w:space="0"/>
              <w:right w:val="single" w:color="000000" w:sz="6" w:space="0"/>
            </w:tcBorders>
            <w:vAlign w:val="top"/>
          </w:tcPr>
          <w:p>
            <w:pPr>
              <w:rPr>
                <w:rFonts w:hint="eastAsia" w:ascii="宋体" w:hAnsi="宋体" w:eastAsia="宋体" w:cs="宋体"/>
                <w:color w:val="auto"/>
                <w:sz w:val="24"/>
                <w:highlight w:val="none"/>
              </w:rPr>
            </w:pPr>
          </w:p>
        </w:tc>
        <w:tc>
          <w:tcPr>
            <w:tcW w:w="2340" w:type="dxa"/>
            <w:tcBorders>
              <w:top w:val="single" w:color="000000" w:sz="6" w:space="0"/>
              <w:left w:val="single" w:color="000000" w:sz="6" w:space="0"/>
              <w:bottom w:val="single" w:color="000000" w:sz="6" w:space="0"/>
              <w:right w:val="double" w:color="000000" w:sz="6" w:space="0"/>
            </w:tcBorders>
            <w:vAlign w:val="top"/>
          </w:tcPr>
          <w:p>
            <w:pPr>
              <w:rPr>
                <w:rFonts w:hint="eastAsia" w:ascii="宋体" w:hAnsi="宋体" w:eastAsia="宋体" w:cs="宋体"/>
                <w:color w:val="auto"/>
                <w:sz w:val="24"/>
                <w:highlight w:val="none"/>
              </w:rPr>
            </w:pPr>
          </w:p>
        </w:tc>
      </w:tr>
      <w:tr>
        <w:tblPrEx>
          <w:tblBorders>
            <w:top w:val="double" w:color="auto" w:sz="6" w:space="0"/>
            <w:left w:val="double" w:color="auto" w:sz="6" w:space="0"/>
            <w:bottom w:val="double" w:color="auto" w:sz="6" w:space="0"/>
            <w:right w:val="double" w:color="auto" w:sz="6"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28" w:type="dxa"/>
            <w:tcBorders>
              <w:top w:val="single" w:color="000000" w:sz="6" w:space="0"/>
              <w:left w:val="double" w:color="000000" w:sz="6" w:space="0"/>
              <w:bottom w:val="single" w:color="000000" w:sz="6" w:space="0"/>
              <w:right w:val="single" w:color="000000" w:sz="6" w:space="0"/>
            </w:tcBorders>
            <w:vAlign w:val="top"/>
          </w:tcPr>
          <w:p>
            <w:pPr>
              <w:rPr>
                <w:rFonts w:hint="eastAsia" w:ascii="宋体" w:hAnsi="宋体" w:eastAsia="宋体" w:cs="宋体"/>
                <w:color w:val="auto"/>
                <w:sz w:val="24"/>
                <w:highlight w:val="none"/>
              </w:rPr>
            </w:pPr>
          </w:p>
        </w:tc>
        <w:tc>
          <w:tcPr>
            <w:tcW w:w="1404" w:type="dxa"/>
            <w:tcBorders>
              <w:top w:val="single" w:color="000000" w:sz="6" w:space="0"/>
              <w:left w:val="single" w:color="000000" w:sz="6" w:space="0"/>
              <w:bottom w:val="single" w:color="000000" w:sz="6" w:space="0"/>
              <w:right w:val="single" w:color="000000" w:sz="6" w:space="0"/>
            </w:tcBorders>
            <w:vAlign w:val="top"/>
          </w:tcPr>
          <w:p>
            <w:pPr>
              <w:rPr>
                <w:rFonts w:hint="eastAsia" w:ascii="宋体" w:hAnsi="宋体" w:eastAsia="宋体" w:cs="宋体"/>
                <w:color w:val="auto"/>
                <w:sz w:val="24"/>
                <w:highlight w:val="none"/>
              </w:rPr>
            </w:pPr>
          </w:p>
        </w:tc>
        <w:tc>
          <w:tcPr>
            <w:tcW w:w="1356" w:type="dxa"/>
            <w:tcBorders>
              <w:top w:val="single" w:color="000000" w:sz="6" w:space="0"/>
              <w:left w:val="single" w:color="000000" w:sz="6" w:space="0"/>
              <w:bottom w:val="single" w:color="000000" w:sz="6" w:space="0"/>
              <w:right w:val="single" w:color="000000" w:sz="6" w:space="0"/>
            </w:tcBorders>
            <w:vAlign w:val="top"/>
          </w:tcPr>
          <w:p>
            <w:pPr>
              <w:rPr>
                <w:rFonts w:hint="eastAsia" w:ascii="宋体" w:hAnsi="宋体" w:eastAsia="宋体" w:cs="宋体"/>
                <w:color w:val="auto"/>
                <w:sz w:val="24"/>
                <w:highlight w:val="none"/>
              </w:rPr>
            </w:pPr>
          </w:p>
        </w:tc>
        <w:tc>
          <w:tcPr>
            <w:tcW w:w="1740" w:type="dxa"/>
            <w:tcBorders>
              <w:top w:val="single" w:color="000000" w:sz="6" w:space="0"/>
              <w:left w:val="single" w:color="000000" w:sz="6" w:space="0"/>
              <w:bottom w:val="single" w:color="000000" w:sz="6" w:space="0"/>
              <w:right w:val="single" w:color="000000" w:sz="6" w:space="0"/>
            </w:tcBorders>
            <w:vAlign w:val="top"/>
          </w:tcPr>
          <w:p>
            <w:pPr>
              <w:rPr>
                <w:rFonts w:hint="eastAsia" w:ascii="宋体" w:hAnsi="宋体" w:eastAsia="宋体" w:cs="宋体"/>
                <w:color w:val="auto"/>
                <w:sz w:val="24"/>
                <w:highlight w:val="none"/>
              </w:rPr>
            </w:pPr>
          </w:p>
        </w:tc>
        <w:tc>
          <w:tcPr>
            <w:tcW w:w="1260" w:type="dxa"/>
            <w:tcBorders>
              <w:top w:val="single" w:color="000000" w:sz="6" w:space="0"/>
              <w:left w:val="single" w:color="000000" w:sz="6" w:space="0"/>
              <w:bottom w:val="single" w:color="000000" w:sz="6" w:space="0"/>
              <w:right w:val="single" w:color="000000" w:sz="6" w:space="0"/>
            </w:tcBorders>
            <w:vAlign w:val="top"/>
          </w:tcPr>
          <w:p>
            <w:pPr>
              <w:rPr>
                <w:rFonts w:hint="eastAsia" w:ascii="宋体" w:hAnsi="宋体" w:eastAsia="宋体" w:cs="宋体"/>
                <w:color w:val="auto"/>
                <w:sz w:val="24"/>
                <w:highlight w:val="none"/>
              </w:rPr>
            </w:pPr>
          </w:p>
        </w:tc>
        <w:tc>
          <w:tcPr>
            <w:tcW w:w="2340" w:type="dxa"/>
            <w:tcBorders>
              <w:top w:val="single" w:color="000000" w:sz="6" w:space="0"/>
              <w:left w:val="single" w:color="000000" w:sz="6" w:space="0"/>
              <w:bottom w:val="single" w:color="000000" w:sz="6" w:space="0"/>
              <w:right w:val="double" w:color="000000" w:sz="6" w:space="0"/>
            </w:tcBorders>
            <w:vAlign w:val="top"/>
          </w:tcPr>
          <w:p>
            <w:pPr>
              <w:rPr>
                <w:rFonts w:hint="eastAsia" w:ascii="宋体" w:hAnsi="宋体" w:eastAsia="宋体" w:cs="宋体"/>
                <w:color w:val="auto"/>
                <w:sz w:val="24"/>
                <w:highlight w:val="none"/>
              </w:rPr>
            </w:pPr>
          </w:p>
        </w:tc>
      </w:tr>
      <w:tr>
        <w:tblPrEx>
          <w:tblBorders>
            <w:top w:val="double" w:color="auto" w:sz="6" w:space="0"/>
            <w:left w:val="double" w:color="auto" w:sz="6" w:space="0"/>
            <w:bottom w:val="double" w:color="auto" w:sz="6" w:space="0"/>
            <w:right w:val="double" w:color="auto" w:sz="6"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28" w:type="dxa"/>
            <w:tcBorders>
              <w:top w:val="single" w:color="000000" w:sz="6" w:space="0"/>
              <w:left w:val="double" w:color="000000" w:sz="6" w:space="0"/>
              <w:bottom w:val="single" w:color="000000" w:sz="6" w:space="0"/>
              <w:right w:val="single" w:color="000000" w:sz="6" w:space="0"/>
            </w:tcBorders>
            <w:vAlign w:val="top"/>
          </w:tcPr>
          <w:p>
            <w:pPr>
              <w:rPr>
                <w:rFonts w:hint="eastAsia" w:ascii="宋体" w:hAnsi="宋体" w:eastAsia="宋体" w:cs="宋体"/>
                <w:color w:val="auto"/>
                <w:sz w:val="24"/>
                <w:highlight w:val="none"/>
              </w:rPr>
            </w:pPr>
          </w:p>
        </w:tc>
        <w:tc>
          <w:tcPr>
            <w:tcW w:w="1404" w:type="dxa"/>
            <w:tcBorders>
              <w:top w:val="single" w:color="000000" w:sz="6" w:space="0"/>
              <w:left w:val="single" w:color="000000" w:sz="6" w:space="0"/>
              <w:bottom w:val="single" w:color="000000" w:sz="6" w:space="0"/>
              <w:right w:val="single" w:color="000000" w:sz="6" w:space="0"/>
            </w:tcBorders>
            <w:vAlign w:val="top"/>
          </w:tcPr>
          <w:p>
            <w:pPr>
              <w:rPr>
                <w:rFonts w:hint="eastAsia" w:ascii="宋体" w:hAnsi="宋体" w:eastAsia="宋体" w:cs="宋体"/>
                <w:color w:val="auto"/>
                <w:sz w:val="24"/>
                <w:highlight w:val="none"/>
              </w:rPr>
            </w:pPr>
          </w:p>
        </w:tc>
        <w:tc>
          <w:tcPr>
            <w:tcW w:w="1356" w:type="dxa"/>
            <w:tcBorders>
              <w:top w:val="single" w:color="000000" w:sz="6" w:space="0"/>
              <w:left w:val="single" w:color="000000" w:sz="6" w:space="0"/>
              <w:bottom w:val="single" w:color="000000" w:sz="6" w:space="0"/>
              <w:right w:val="single" w:color="000000" w:sz="6" w:space="0"/>
            </w:tcBorders>
            <w:vAlign w:val="top"/>
          </w:tcPr>
          <w:p>
            <w:pPr>
              <w:rPr>
                <w:rFonts w:hint="eastAsia" w:ascii="宋体" w:hAnsi="宋体" w:eastAsia="宋体" w:cs="宋体"/>
                <w:color w:val="auto"/>
                <w:sz w:val="24"/>
                <w:highlight w:val="none"/>
              </w:rPr>
            </w:pPr>
          </w:p>
        </w:tc>
        <w:tc>
          <w:tcPr>
            <w:tcW w:w="1740" w:type="dxa"/>
            <w:tcBorders>
              <w:top w:val="single" w:color="000000" w:sz="6" w:space="0"/>
              <w:left w:val="single" w:color="000000" w:sz="6" w:space="0"/>
              <w:bottom w:val="single" w:color="000000" w:sz="6" w:space="0"/>
              <w:right w:val="single" w:color="000000" w:sz="6" w:space="0"/>
            </w:tcBorders>
            <w:vAlign w:val="top"/>
          </w:tcPr>
          <w:p>
            <w:pPr>
              <w:rPr>
                <w:rFonts w:hint="eastAsia" w:ascii="宋体" w:hAnsi="宋体" w:eastAsia="宋体" w:cs="宋体"/>
                <w:color w:val="auto"/>
                <w:sz w:val="24"/>
                <w:highlight w:val="none"/>
              </w:rPr>
            </w:pPr>
          </w:p>
        </w:tc>
        <w:tc>
          <w:tcPr>
            <w:tcW w:w="1260" w:type="dxa"/>
            <w:tcBorders>
              <w:top w:val="single" w:color="000000" w:sz="6" w:space="0"/>
              <w:left w:val="single" w:color="000000" w:sz="6" w:space="0"/>
              <w:bottom w:val="single" w:color="000000" w:sz="6" w:space="0"/>
              <w:right w:val="single" w:color="000000" w:sz="6" w:space="0"/>
            </w:tcBorders>
            <w:vAlign w:val="top"/>
          </w:tcPr>
          <w:p>
            <w:pPr>
              <w:rPr>
                <w:rFonts w:hint="eastAsia" w:ascii="宋体" w:hAnsi="宋体" w:eastAsia="宋体" w:cs="宋体"/>
                <w:color w:val="auto"/>
                <w:sz w:val="24"/>
                <w:highlight w:val="none"/>
              </w:rPr>
            </w:pPr>
          </w:p>
        </w:tc>
        <w:tc>
          <w:tcPr>
            <w:tcW w:w="2340" w:type="dxa"/>
            <w:tcBorders>
              <w:top w:val="single" w:color="000000" w:sz="6" w:space="0"/>
              <w:left w:val="single" w:color="000000" w:sz="6" w:space="0"/>
              <w:bottom w:val="single" w:color="000000" w:sz="6" w:space="0"/>
              <w:right w:val="double" w:color="000000" w:sz="6" w:space="0"/>
            </w:tcBorders>
            <w:vAlign w:val="top"/>
          </w:tcPr>
          <w:p>
            <w:pPr>
              <w:rPr>
                <w:rFonts w:hint="eastAsia" w:ascii="宋体" w:hAnsi="宋体" w:eastAsia="宋体" w:cs="宋体"/>
                <w:color w:val="auto"/>
                <w:sz w:val="24"/>
                <w:highlight w:val="none"/>
              </w:rPr>
            </w:pPr>
          </w:p>
        </w:tc>
      </w:tr>
      <w:tr>
        <w:tblPrEx>
          <w:tblBorders>
            <w:top w:val="double" w:color="auto" w:sz="6" w:space="0"/>
            <w:left w:val="double" w:color="auto" w:sz="6" w:space="0"/>
            <w:bottom w:val="double" w:color="auto" w:sz="6" w:space="0"/>
            <w:right w:val="double" w:color="auto" w:sz="6"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28" w:type="dxa"/>
            <w:tcBorders>
              <w:top w:val="single" w:color="000000" w:sz="6" w:space="0"/>
              <w:left w:val="double" w:color="000000" w:sz="6" w:space="0"/>
              <w:bottom w:val="single" w:color="000000" w:sz="6" w:space="0"/>
              <w:right w:val="single" w:color="000000" w:sz="6" w:space="0"/>
            </w:tcBorders>
            <w:vAlign w:val="top"/>
          </w:tcPr>
          <w:p>
            <w:pPr>
              <w:rPr>
                <w:rFonts w:hint="eastAsia" w:ascii="宋体" w:hAnsi="宋体" w:eastAsia="宋体" w:cs="宋体"/>
                <w:color w:val="auto"/>
                <w:sz w:val="24"/>
                <w:highlight w:val="none"/>
              </w:rPr>
            </w:pPr>
          </w:p>
        </w:tc>
        <w:tc>
          <w:tcPr>
            <w:tcW w:w="1404" w:type="dxa"/>
            <w:tcBorders>
              <w:top w:val="single" w:color="000000" w:sz="6" w:space="0"/>
              <w:left w:val="single" w:color="000000" w:sz="6" w:space="0"/>
              <w:bottom w:val="single" w:color="000000" w:sz="6" w:space="0"/>
              <w:right w:val="single" w:color="000000" w:sz="6" w:space="0"/>
            </w:tcBorders>
            <w:vAlign w:val="top"/>
          </w:tcPr>
          <w:p>
            <w:pPr>
              <w:rPr>
                <w:rFonts w:hint="eastAsia" w:ascii="宋体" w:hAnsi="宋体" w:eastAsia="宋体" w:cs="宋体"/>
                <w:color w:val="auto"/>
                <w:sz w:val="24"/>
                <w:highlight w:val="none"/>
              </w:rPr>
            </w:pPr>
          </w:p>
        </w:tc>
        <w:tc>
          <w:tcPr>
            <w:tcW w:w="1356" w:type="dxa"/>
            <w:tcBorders>
              <w:top w:val="single" w:color="000000" w:sz="6" w:space="0"/>
              <w:left w:val="single" w:color="000000" w:sz="6" w:space="0"/>
              <w:bottom w:val="single" w:color="000000" w:sz="6" w:space="0"/>
              <w:right w:val="single" w:color="000000" w:sz="6" w:space="0"/>
            </w:tcBorders>
            <w:vAlign w:val="top"/>
          </w:tcPr>
          <w:p>
            <w:pPr>
              <w:rPr>
                <w:rFonts w:hint="eastAsia" w:ascii="宋体" w:hAnsi="宋体" w:eastAsia="宋体" w:cs="宋体"/>
                <w:color w:val="auto"/>
                <w:sz w:val="24"/>
                <w:highlight w:val="none"/>
              </w:rPr>
            </w:pPr>
          </w:p>
        </w:tc>
        <w:tc>
          <w:tcPr>
            <w:tcW w:w="1740" w:type="dxa"/>
            <w:tcBorders>
              <w:top w:val="single" w:color="000000" w:sz="6" w:space="0"/>
              <w:left w:val="single" w:color="000000" w:sz="6" w:space="0"/>
              <w:bottom w:val="single" w:color="000000" w:sz="6" w:space="0"/>
              <w:right w:val="single" w:color="000000" w:sz="6" w:space="0"/>
            </w:tcBorders>
            <w:vAlign w:val="top"/>
          </w:tcPr>
          <w:p>
            <w:pPr>
              <w:rPr>
                <w:rFonts w:hint="eastAsia" w:ascii="宋体" w:hAnsi="宋体" w:eastAsia="宋体" w:cs="宋体"/>
                <w:color w:val="auto"/>
                <w:sz w:val="24"/>
                <w:highlight w:val="none"/>
              </w:rPr>
            </w:pPr>
          </w:p>
        </w:tc>
        <w:tc>
          <w:tcPr>
            <w:tcW w:w="1260" w:type="dxa"/>
            <w:tcBorders>
              <w:top w:val="single" w:color="000000" w:sz="6" w:space="0"/>
              <w:left w:val="single" w:color="000000" w:sz="6" w:space="0"/>
              <w:bottom w:val="single" w:color="000000" w:sz="6" w:space="0"/>
              <w:right w:val="single" w:color="000000" w:sz="6" w:space="0"/>
            </w:tcBorders>
            <w:vAlign w:val="top"/>
          </w:tcPr>
          <w:p>
            <w:pPr>
              <w:rPr>
                <w:rFonts w:hint="eastAsia" w:ascii="宋体" w:hAnsi="宋体" w:eastAsia="宋体" w:cs="宋体"/>
                <w:color w:val="auto"/>
                <w:sz w:val="24"/>
                <w:highlight w:val="none"/>
              </w:rPr>
            </w:pPr>
          </w:p>
        </w:tc>
        <w:tc>
          <w:tcPr>
            <w:tcW w:w="2340" w:type="dxa"/>
            <w:tcBorders>
              <w:top w:val="single" w:color="000000" w:sz="6" w:space="0"/>
              <w:left w:val="single" w:color="000000" w:sz="6" w:space="0"/>
              <w:bottom w:val="single" w:color="000000" w:sz="6" w:space="0"/>
              <w:right w:val="double" w:color="000000" w:sz="6" w:space="0"/>
            </w:tcBorders>
            <w:vAlign w:val="top"/>
          </w:tcPr>
          <w:p>
            <w:pPr>
              <w:rPr>
                <w:rFonts w:hint="eastAsia" w:ascii="宋体" w:hAnsi="宋体" w:eastAsia="宋体" w:cs="宋体"/>
                <w:color w:val="auto"/>
                <w:sz w:val="24"/>
                <w:highlight w:val="none"/>
              </w:rPr>
            </w:pPr>
          </w:p>
        </w:tc>
      </w:tr>
      <w:tr>
        <w:tblPrEx>
          <w:tblBorders>
            <w:top w:val="double" w:color="auto" w:sz="6" w:space="0"/>
            <w:left w:val="double" w:color="auto" w:sz="6" w:space="0"/>
            <w:bottom w:val="double" w:color="auto" w:sz="6" w:space="0"/>
            <w:right w:val="double" w:color="auto" w:sz="6"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28" w:type="dxa"/>
            <w:tcBorders>
              <w:top w:val="single" w:color="000000" w:sz="6" w:space="0"/>
              <w:left w:val="double" w:color="000000" w:sz="6" w:space="0"/>
              <w:bottom w:val="single" w:color="000000" w:sz="6" w:space="0"/>
              <w:right w:val="single" w:color="000000" w:sz="6" w:space="0"/>
            </w:tcBorders>
            <w:vAlign w:val="top"/>
          </w:tcPr>
          <w:p>
            <w:pPr>
              <w:rPr>
                <w:rFonts w:hint="eastAsia" w:ascii="宋体" w:hAnsi="宋体" w:eastAsia="宋体" w:cs="宋体"/>
                <w:color w:val="auto"/>
                <w:sz w:val="24"/>
                <w:highlight w:val="none"/>
              </w:rPr>
            </w:pPr>
          </w:p>
        </w:tc>
        <w:tc>
          <w:tcPr>
            <w:tcW w:w="1404" w:type="dxa"/>
            <w:tcBorders>
              <w:top w:val="single" w:color="000000" w:sz="6" w:space="0"/>
              <w:left w:val="single" w:color="000000" w:sz="6" w:space="0"/>
              <w:bottom w:val="single" w:color="000000" w:sz="6" w:space="0"/>
              <w:right w:val="single" w:color="000000" w:sz="6" w:space="0"/>
            </w:tcBorders>
            <w:vAlign w:val="top"/>
          </w:tcPr>
          <w:p>
            <w:pPr>
              <w:rPr>
                <w:rFonts w:hint="eastAsia" w:ascii="宋体" w:hAnsi="宋体" w:eastAsia="宋体" w:cs="宋体"/>
                <w:color w:val="auto"/>
                <w:sz w:val="24"/>
                <w:highlight w:val="none"/>
              </w:rPr>
            </w:pPr>
          </w:p>
        </w:tc>
        <w:tc>
          <w:tcPr>
            <w:tcW w:w="1356" w:type="dxa"/>
            <w:tcBorders>
              <w:top w:val="single" w:color="000000" w:sz="6" w:space="0"/>
              <w:left w:val="single" w:color="000000" w:sz="6" w:space="0"/>
              <w:bottom w:val="single" w:color="000000" w:sz="6" w:space="0"/>
              <w:right w:val="single" w:color="000000" w:sz="6" w:space="0"/>
            </w:tcBorders>
            <w:vAlign w:val="top"/>
          </w:tcPr>
          <w:p>
            <w:pPr>
              <w:rPr>
                <w:rFonts w:hint="eastAsia" w:ascii="宋体" w:hAnsi="宋体" w:eastAsia="宋体" w:cs="宋体"/>
                <w:color w:val="auto"/>
                <w:sz w:val="24"/>
                <w:highlight w:val="none"/>
              </w:rPr>
            </w:pPr>
          </w:p>
        </w:tc>
        <w:tc>
          <w:tcPr>
            <w:tcW w:w="1740" w:type="dxa"/>
            <w:tcBorders>
              <w:top w:val="single" w:color="000000" w:sz="6" w:space="0"/>
              <w:left w:val="single" w:color="000000" w:sz="6" w:space="0"/>
              <w:bottom w:val="single" w:color="000000" w:sz="6" w:space="0"/>
              <w:right w:val="single" w:color="000000" w:sz="6" w:space="0"/>
            </w:tcBorders>
            <w:vAlign w:val="top"/>
          </w:tcPr>
          <w:p>
            <w:pPr>
              <w:rPr>
                <w:rFonts w:hint="eastAsia" w:ascii="宋体" w:hAnsi="宋体" w:eastAsia="宋体" w:cs="宋体"/>
                <w:color w:val="auto"/>
                <w:sz w:val="24"/>
                <w:highlight w:val="none"/>
              </w:rPr>
            </w:pPr>
          </w:p>
        </w:tc>
        <w:tc>
          <w:tcPr>
            <w:tcW w:w="1260" w:type="dxa"/>
            <w:tcBorders>
              <w:top w:val="single" w:color="000000" w:sz="6" w:space="0"/>
              <w:left w:val="single" w:color="000000" w:sz="6" w:space="0"/>
              <w:bottom w:val="single" w:color="000000" w:sz="6" w:space="0"/>
              <w:right w:val="single" w:color="000000" w:sz="6" w:space="0"/>
            </w:tcBorders>
            <w:vAlign w:val="top"/>
          </w:tcPr>
          <w:p>
            <w:pPr>
              <w:rPr>
                <w:rFonts w:hint="eastAsia" w:ascii="宋体" w:hAnsi="宋体" w:eastAsia="宋体" w:cs="宋体"/>
                <w:color w:val="auto"/>
                <w:sz w:val="24"/>
                <w:highlight w:val="none"/>
              </w:rPr>
            </w:pPr>
          </w:p>
        </w:tc>
        <w:tc>
          <w:tcPr>
            <w:tcW w:w="2340" w:type="dxa"/>
            <w:tcBorders>
              <w:top w:val="single" w:color="000000" w:sz="6" w:space="0"/>
              <w:left w:val="single" w:color="000000" w:sz="6" w:space="0"/>
              <w:bottom w:val="single" w:color="000000" w:sz="6" w:space="0"/>
              <w:right w:val="double" w:color="000000" w:sz="6" w:space="0"/>
            </w:tcBorders>
            <w:vAlign w:val="top"/>
          </w:tcPr>
          <w:p>
            <w:pPr>
              <w:rPr>
                <w:rFonts w:hint="eastAsia" w:ascii="宋体" w:hAnsi="宋体" w:eastAsia="宋体" w:cs="宋体"/>
                <w:color w:val="auto"/>
                <w:sz w:val="24"/>
                <w:highlight w:val="none"/>
              </w:rPr>
            </w:pPr>
          </w:p>
        </w:tc>
      </w:tr>
      <w:tr>
        <w:tblPrEx>
          <w:tblBorders>
            <w:top w:val="double" w:color="auto" w:sz="6" w:space="0"/>
            <w:left w:val="double" w:color="auto" w:sz="6" w:space="0"/>
            <w:bottom w:val="double" w:color="auto" w:sz="6" w:space="0"/>
            <w:right w:val="double" w:color="auto" w:sz="6"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28" w:type="dxa"/>
            <w:tcBorders>
              <w:top w:val="single" w:color="000000" w:sz="6" w:space="0"/>
              <w:left w:val="double" w:color="000000" w:sz="6" w:space="0"/>
              <w:bottom w:val="single" w:color="000000" w:sz="6" w:space="0"/>
              <w:right w:val="single" w:color="000000" w:sz="6" w:space="0"/>
            </w:tcBorders>
            <w:vAlign w:val="top"/>
          </w:tcPr>
          <w:p>
            <w:pPr>
              <w:rPr>
                <w:rFonts w:hint="eastAsia" w:ascii="宋体" w:hAnsi="宋体" w:eastAsia="宋体" w:cs="宋体"/>
                <w:color w:val="auto"/>
                <w:sz w:val="24"/>
                <w:highlight w:val="none"/>
              </w:rPr>
            </w:pPr>
          </w:p>
        </w:tc>
        <w:tc>
          <w:tcPr>
            <w:tcW w:w="1404" w:type="dxa"/>
            <w:tcBorders>
              <w:top w:val="single" w:color="000000" w:sz="6" w:space="0"/>
              <w:left w:val="single" w:color="000000" w:sz="6" w:space="0"/>
              <w:bottom w:val="single" w:color="000000" w:sz="6" w:space="0"/>
              <w:right w:val="single" w:color="000000" w:sz="6" w:space="0"/>
            </w:tcBorders>
            <w:vAlign w:val="top"/>
          </w:tcPr>
          <w:p>
            <w:pPr>
              <w:rPr>
                <w:rFonts w:hint="eastAsia" w:ascii="宋体" w:hAnsi="宋体" w:eastAsia="宋体" w:cs="宋体"/>
                <w:color w:val="auto"/>
                <w:sz w:val="24"/>
                <w:highlight w:val="none"/>
              </w:rPr>
            </w:pPr>
          </w:p>
        </w:tc>
        <w:tc>
          <w:tcPr>
            <w:tcW w:w="1356" w:type="dxa"/>
            <w:tcBorders>
              <w:top w:val="single" w:color="000000" w:sz="6" w:space="0"/>
              <w:left w:val="single" w:color="000000" w:sz="6" w:space="0"/>
              <w:bottom w:val="single" w:color="000000" w:sz="6" w:space="0"/>
              <w:right w:val="single" w:color="000000" w:sz="6" w:space="0"/>
            </w:tcBorders>
            <w:vAlign w:val="top"/>
          </w:tcPr>
          <w:p>
            <w:pPr>
              <w:rPr>
                <w:rFonts w:hint="eastAsia" w:ascii="宋体" w:hAnsi="宋体" w:eastAsia="宋体" w:cs="宋体"/>
                <w:color w:val="auto"/>
                <w:sz w:val="24"/>
                <w:highlight w:val="none"/>
              </w:rPr>
            </w:pPr>
          </w:p>
        </w:tc>
        <w:tc>
          <w:tcPr>
            <w:tcW w:w="1740" w:type="dxa"/>
            <w:tcBorders>
              <w:top w:val="single" w:color="000000" w:sz="6" w:space="0"/>
              <w:left w:val="single" w:color="000000" w:sz="6" w:space="0"/>
              <w:bottom w:val="single" w:color="000000" w:sz="6" w:space="0"/>
              <w:right w:val="single" w:color="000000" w:sz="6" w:space="0"/>
            </w:tcBorders>
            <w:vAlign w:val="top"/>
          </w:tcPr>
          <w:p>
            <w:pPr>
              <w:rPr>
                <w:rFonts w:hint="eastAsia" w:ascii="宋体" w:hAnsi="宋体" w:eastAsia="宋体" w:cs="宋体"/>
                <w:color w:val="auto"/>
                <w:sz w:val="24"/>
                <w:highlight w:val="none"/>
              </w:rPr>
            </w:pPr>
          </w:p>
        </w:tc>
        <w:tc>
          <w:tcPr>
            <w:tcW w:w="1260" w:type="dxa"/>
            <w:tcBorders>
              <w:top w:val="single" w:color="000000" w:sz="6" w:space="0"/>
              <w:left w:val="single" w:color="000000" w:sz="6" w:space="0"/>
              <w:bottom w:val="single" w:color="000000" w:sz="6" w:space="0"/>
              <w:right w:val="single" w:color="000000" w:sz="6" w:space="0"/>
            </w:tcBorders>
            <w:vAlign w:val="top"/>
          </w:tcPr>
          <w:p>
            <w:pPr>
              <w:rPr>
                <w:rFonts w:hint="eastAsia" w:ascii="宋体" w:hAnsi="宋体" w:eastAsia="宋体" w:cs="宋体"/>
                <w:color w:val="auto"/>
                <w:sz w:val="24"/>
                <w:highlight w:val="none"/>
              </w:rPr>
            </w:pPr>
          </w:p>
        </w:tc>
        <w:tc>
          <w:tcPr>
            <w:tcW w:w="2340" w:type="dxa"/>
            <w:tcBorders>
              <w:top w:val="single" w:color="000000" w:sz="6" w:space="0"/>
              <w:left w:val="single" w:color="000000" w:sz="6" w:space="0"/>
              <w:bottom w:val="single" w:color="000000" w:sz="6" w:space="0"/>
              <w:right w:val="double" w:color="000000" w:sz="6" w:space="0"/>
            </w:tcBorders>
            <w:vAlign w:val="top"/>
          </w:tcPr>
          <w:p>
            <w:pPr>
              <w:rPr>
                <w:rFonts w:hint="eastAsia" w:ascii="宋体" w:hAnsi="宋体" w:eastAsia="宋体" w:cs="宋体"/>
                <w:color w:val="auto"/>
                <w:sz w:val="24"/>
                <w:highlight w:val="none"/>
              </w:rPr>
            </w:pPr>
          </w:p>
        </w:tc>
      </w:tr>
      <w:tr>
        <w:tblPrEx>
          <w:tblBorders>
            <w:top w:val="double" w:color="auto" w:sz="6" w:space="0"/>
            <w:left w:val="double" w:color="auto" w:sz="6" w:space="0"/>
            <w:bottom w:val="double" w:color="auto" w:sz="6" w:space="0"/>
            <w:right w:val="double" w:color="auto" w:sz="6"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28" w:type="dxa"/>
            <w:tcBorders>
              <w:top w:val="single" w:color="000000" w:sz="6" w:space="0"/>
              <w:left w:val="double" w:color="000000" w:sz="6" w:space="0"/>
              <w:bottom w:val="double" w:color="000000" w:sz="6" w:space="0"/>
              <w:right w:val="single" w:color="000000" w:sz="6" w:space="0"/>
            </w:tcBorders>
            <w:vAlign w:val="top"/>
          </w:tcPr>
          <w:p>
            <w:pPr>
              <w:rPr>
                <w:rFonts w:hint="eastAsia" w:ascii="宋体" w:hAnsi="宋体" w:eastAsia="宋体" w:cs="宋体"/>
                <w:color w:val="auto"/>
                <w:sz w:val="24"/>
                <w:highlight w:val="none"/>
              </w:rPr>
            </w:pPr>
          </w:p>
        </w:tc>
        <w:tc>
          <w:tcPr>
            <w:tcW w:w="1404" w:type="dxa"/>
            <w:tcBorders>
              <w:top w:val="single" w:color="000000" w:sz="6" w:space="0"/>
              <w:left w:val="single" w:color="000000" w:sz="6" w:space="0"/>
              <w:bottom w:val="double" w:color="000000" w:sz="6" w:space="0"/>
              <w:right w:val="single" w:color="000000" w:sz="6" w:space="0"/>
            </w:tcBorders>
            <w:vAlign w:val="top"/>
          </w:tcPr>
          <w:p>
            <w:pPr>
              <w:rPr>
                <w:rFonts w:hint="eastAsia" w:ascii="宋体" w:hAnsi="宋体" w:eastAsia="宋体" w:cs="宋体"/>
                <w:color w:val="auto"/>
                <w:sz w:val="24"/>
                <w:highlight w:val="none"/>
              </w:rPr>
            </w:pPr>
          </w:p>
        </w:tc>
        <w:tc>
          <w:tcPr>
            <w:tcW w:w="1356" w:type="dxa"/>
            <w:tcBorders>
              <w:top w:val="single" w:color="000000" w:sz="6" w:space="0"/>
              <w:left w:val="single" w:color="000000" w:sz="6" w:space="0"/>
              <w:bottom w:val="double" w:color="000000" w:sz="6" w:space="0"/>
              <w:right w:val="single" w:color="000000" w:sz="6" w:space="0"/>
            </w:tcBorders>
            <w:vAlign w:val="top"/>
          </w:tcPr>
          <w:p>
            <w:pPr>
              <w:rPr>
                <w:rFonts w:hint="eastAsia" w:ascii="宋体" w:hAnsi="宋体" w:eastAsia="宋体" w:cs="宋体"/>
                <w:color w:val="auto"/>
                <w:sz w:val="24"/>
                <w:highlight w:val="none"/>
              </w:rPr>
            </w:pPr>
          </w:p>
        </w:tc>
        <w:tc>
          <w:tcPr>
            <w:tcW w:w="1740" w:type="dxa"/>
            <w:tcBorders>
              <w:top w:val="single" w:color="000000" w:sz="6" w:space="0"/>
              <w:left w:val="single" w:color="000000" w:sz="6" w:space="0"/>
              <w:bottom w:val="double" w:color="000000" w:sz="6" w:space="0"/>
              <w:right w:val="single" w:color="000000" w:sz="6" w:space="0"/>
            </w:tcBorders>
            <w:vAlign w:val="top"/>
          </w:tcPr>
          <w:p>
            <w:pPr>
              <w:rPr>
                <w:rFonts w:hint="eastAsia" w:ascii="宋体" w:hAnsi="宋体" w:eastAsia="宋体" w:cs="宋体"/>
                <w:color w:val="auto"/>
                <w:sz w:val="24"/>
                <w:highlight w:val="none"/>
              </w:rPr>
            </w:pPr>
          </w:p>
        </w:tc>
        <w:tc>
          <w:tcPr>
            <w:tcW w:w="1260" w:type="dxa"/>
            <w:tcBorders>
              <w:top w:val="single" w:color="000000" w:sz="6" w:space="0"/>
              <w:left w:val="single" w:color="000000" w:sz="6" w:space="0"/>
              <w:bottom w:val="double" w:color="000000" w:sz="6" w:space="0"/>
              <w:right w:val="single" w:color="000000" w:sz="6" w:space="0"/>
            </w:tcBorders>
            <w:vAlign w:val="top"/>
          </w:tcPr>
          <w:p>
            <w:pPr>
              <w:rPr>
                <w:rFonts w:hint="eastAsia" w:ascii="宋体" w:hAnsi="宋体" w:eastAsia="宋体" w:cs="宋体"/>
                <w:color w:val="auto"/>
                <w:sz w:val="24"/>
                <w:highlight w:val="none"/>
              </w:rPr>
            </w:pPr>
          </w:p>
        </w:tc>
        <w:tc>
          <w:tcPr>
            <w:tcW w:w="2340" w:type="dxa"/>
            <w:tcBorders>
              <w:top w:val="single" w:color="000000" w:sz="6" w:space="0"/>
              <w:left w:val="single" w:color="000000" w:sz="6" w:space="0"/>
              <w:bottom w:val="double" w:color="000000" w:sz="6" w:space="0"/>
              <w:right w:val="double" w:color="000000" w:sz="6" w:space="0"/>
            </w:tcBorders>
            <w:vAlign w:val="top"/>
          </w:tcPr>
          <w:p>
            <w:pPr>
              <w:rPr>
                <w:rFonts w:hint="eastAsia" w:ascii="宋体" w:hAnsi="宋体" w:eastAsia="宋体" w:cs="宋体"/>
                <w:color w:val="auto"/>
                <w:sz w:val="24"/>
                <w:highlight w:val="none"/>
              </w:rPr>
            </w:pPr>
          </w:p>
        </w:tc>
      </w:tr>
    </w:tbl>
    <w:p>
      <w:pPr>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注：投标人的投标文件中的内容与招标文件（含招标文件的澄清或者修改的内容，下同）的要求不同时，逐条列在偏离表中，否则将认为投标人接受招标文件的要求。</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（盖单位公章）</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日期：   年  月  日</w:t>
      </w:r>
    </w:p>
    <w:p>
      <w:pPr>
        <w:jc w:val="center"/>
        <w:rPr>
          <w:rFonts w:hint="eastAsia" w:ascii="宋体" w:hAnsi="宋体" w:eastAsia="宋体" w:cs="宋体"/>
          <w:bCs/>
          <w:color w:val="auto"/>
          <w:sz w:val="28"/>
          <w:szCs w:val="28"/>
          <w:highlight w:val="none"/>
        </w:rPr>
      </w:pPr>
      <w:r>
        <w:rPr>
          <w:rFonts w:hint="eastAsia" w:ascii="宋体" w:hAnsi="宋体" w:eastAsia="宋体" w:cs="宋体"/>
          <w:color w:val="auto"/>
          <w:sz w:val="24"/>
          <w:highlight w:val="none"/>
        </w:rPr>
        <w:br w:type="page"/>
      </w:r>
      <w:r>
        <w:rPr>
          <w:rFonts w:hint="eastAsia" w:ascii="宋体" w:hAnsi="宋体" w:eastAsia="宋体" w:cs="宋体"/>
          <w:b/>
          <w:bCs/>
          <w:color w:val="auto"/>
          <w:sz w:val="28"/>
          <w:szCs w:val="28"/>
          <w:highlight w:val="none"/>
        </w:rPr>
        <w:t>5.授权委托书</w:t>
      </w:r>
    </w:p>
    <w:p>
      <w:pPr>
        <w:spacing w:line="360" w:lineRule="auto"/>
        <w:jc w:val="center"/>
        <w:rPr>
          <w:rFonts w:hint="eastAsia" w:ascii="宋体" w:hAnsi="宋体" w:eastAsia="宋体" w:cs="宋体"/>
          <w:bCs/>
          <w:color w:val="auto"/>
          <w:sz w:val="24"/>
          <w:highlight w:val="none"/>
        </w:rPr>
      </w:pPr>
    </w:p>
    <w:p>
      <w:pPr>
        <w:spacing w:line="360" w:lineRule="auto"/>
        <w:ind w:firstLine="470" w:firstLineChars="196"/>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委托人：</w:t>
      </w:r>
    </w:p>
    <w:p>
      <w:pPr>
        <w:spacing w:line="360" w:lineRule="auto"/>
        <w:ind w:firstLine="470" w:firstLineChars="196"/>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地  址：</w:t>
      </w:r>
    </w:p>
    <w:p>
      <w:pPr>
        <w:spacing w:line="360" w:lineRule="auto"/>
        <w:ind w:firstLine="470" w:firstLineChars="196"/>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法定代表人（负责人）：               职务：</w:t>
      </w:r>
    </w:p>
    <w:p>
      <w:pPr>
        <w:spacing w:line="360" w:lineRule="auto"/>
        <w:ind w:firstLine="470" w:firstLineChars="196"/>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营业执照注册号（统一社会信用代码）：</w:t>
      </w:r>
    </w:p>
    <w:p>
      <w:pPr>
        <w:spacing w:line="360" w:lineRule="auto"/>
        <w:ind w:firstLine="470" w:firstLineChars="196"/>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受托人：                   性别：男（女）  </w:t>
      </w:r>
    </w:p>
    <w:p>
      <w:pPr>
        <w:spacing w:line="360" w:lineRule="auto"/>
        <w:ind w:firstLine="470" w:firstLineChars="196"/>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年龄：  岁                 民族：   族</w:t>
      </w:r>
    </w:p>
    <w:p>
      <w:pPr>
        <w:spacing w:line="360" w:lineRule="auto"/>
        <w:ind w:firstLine="470" w:firstLineChars="196"/>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职务：</w:t>
      </w:r>
    </w:p>
    <w:p>
      <w:pPr>
        <w:spacing w:line="360" w:lineRule="auto"/>
        <w:ind w:firstLine="470" w:firstLineChars="196"/>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身份证号：</w:t>
      </w:r>
    </w:p>
    <w:p>
      <w:pPr>
        <w:spacing w:line="360" w:lineRule="auto"/>
        <w:ind w:firstLine="470" w:firstLineChars="196"/>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兹委托（</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）全权代表我企业（公司）参与</w:t>
      </w:r>
      <w:r>
        <w:rPr>
          <w:rFonts w:hint="eastAsia" w:ascii="宋体" w:hAnsi="宋体" w:eastAsia="宋体" w:cs="宋体"/>
          <w:b/>
          <w:bCs w:val="0"/>
          <w:color w:val="auto"/>
          <w:sz w:val="24"/>
          <w:highlight w:val="none"/>
          <w:u w:val="single"/>
        </w:rPr>
        <w:t xml:space="preserve"> </w:t>
      </w:r>
      <w:r>
        <w:rPr>
          <w:rFonts w:hint="eastAsia" w:ascii="宋体" w:hAnsi="宋体" w:cs="宋体"/>
          <w:bCs/>
          <w:color w:val="auto"/>
          <w:sz w:val="24"/>
          <w:highlight w:val="none"/>
          <w:u w:val="single"/>
          <w:lang w:eastAsia="zh-CN"/>
        </w:rPr>
        <w:t>垃圾分类收集亭提档升级（标段名称）</w:t>
      </w:r>
      <w:r>
        <w:rPr>
          <w:rFonts w:hint="eastAsia" w:ascii="宋体" w:hAnsi="宋体" w:eastAsia="宋体" w:cs="宋体"/>
          <w:bCs/>
          <w:color w:val="auto"/>
          <w:sz w:val="24"/>
          <w:highlight w:val="none"/>
          <w:u w:val="none"/>
          <w:lang w:eastAsia="zh-CN"/>
        </w:rPr>
        <w:t>项目</w:t>
      </w:r>
      <w:r>
        <w:rPr>
          <w:rFonts w:hint="eastAsia" w:ascii="宋体" w:hAnsi="宋体" w:eastAsia="宋体" w:cs="宋体"/>
          <w:bCs/>
          <w:color w:val="auto"/>
          <w:sz w:val="24"/>
          <w:highlight w:val="none"/>
        </w:rPr>
        <w:t>（项目编号：</w:t>
      </w:r>
      <w:r>
        <w:rPr>
          <w:rFonts w:hint="eastAsia" w:ascii="宋体" w:hAnsi="宋体" w:cs="宋体"/>
          <w:bCs/>
          <w:color w:val="auto"/>
          <w:sz w:val="24"/>
          <w:highlight w:val="none"/>
          <w:u w:val="single"/>
          <w:lang w:eastAsia="zh-CN"/>
        </w:rPr>
        <w:t>徐采公（2021）YZJS（Q）024</w:t>
      </w:r>
      <w:r>
        <w:rPr>
          <w:rFonts w:hint="eastAsia" w:ascii="宋体" w:hAnsi="宋体" w:eastAsia="宋体" w:cs="宋体"/>
          <w:bCs/>
          <w:color w:val="auto"/>
          <w:sz w:val="24"/>
          <w:highlight w:val="none"/>
        </w:rPr>
        <w:t>）的招、投标活动及签订经济合同。（      ）以我企业（公司）名义所为的法律行为及签署的文件，我企业（公司）均予以认可。有关法律责任均由我企业（公司）承担。（    ）无转委托权。委托期限自  年  月   日起至  年  月    日止。</w:t>
      </w:r>
    </w:p>
    <w:p>
      <w:pPr>
        <w:spacing w:line="360" w:lineRule="auto"/>
        <w:ind w:firstLine="470" w:firstLineChars="196"/>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特此授权委托。</w:t>
      </w:r>
    </w:p>
    <w:p>
      <w:pPr>
        <w:spacing w:line="360" w:lineRule="auto"/>
        <w:ind w:firstLine="470" w:firstLineChars="196"/>
        <w:rPr>
          <w:rFonts w:hint="eastAsia" w:ascii="宋体" w:hAnsi="宋体" w:eastAsia="宋体" w:cs="宋体"/>
          <w:bCs/>
          <w:color w:val="auto"/>
          <w:sz w:val="24"/>
          <w:highlight w:val="none"/>
        </w:rPr>
      </w:pPr>
    </w:p>
    <w:p>
      <w:pPr>
        <w:spacing w:line="360" w:lineRule="auto"/>
        <w:ind w:firstLine="470" w:firstLineChars="196"/>
        <w:rPr>
          <w:rFonts w:hint="eastAsia" w:ascii="宋体" w:hAnsi="宋体" w:eastAsia="宋体" w:cs="宋体"/>
          <w:bCs/>
          <w:color w:val="auto"/>
          <w:sz w:val="24"/>
          <w:highlight w:val="none"/>
        </w:rPr>
      </w:pPr>
    </w:p>
    <w:p>
      <w:pPr>
        <w:spacing w:line="360" w:lineRule="auto"/>
        <w:ind w:firstLine="470" w:firstLineChars="196"/>
        <w:rPr>
          <w:rFonts w:hint="eastAsia" w:ascii="宋体" w:hAnsi="宋体" w:eastAsia="宋体" w:cs="宋体"/>
          <w:bCs/>
          <w:color w:val="auto"/>
          <w:sz w:val="24"/>
          <w:highlight w:val="none"/>
        </w:rPr>
      </w:pP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委托人（公章）：                        受托人</w:t>
      </w:r>
      <w:r>
        <w:rPr>
          <w:rFonts w:hint="eastAsia" w:ascii="宋体" w:hAnsi="宋体" w:eastAsia="宋体" w:cs="宋体"/>
          <w:b/>
          <w:bCs w:val="0"/>
          <w:color w:val="auto"/>
          <w:sz w:val="24"/>
          <w:highlight w:val="none"/>
        </w:rPr>
        <w:t>（签字或盖章）：</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法定代表人（负责人）</w:t>
      </w:r>
      <w:r>
        <w:rPr>
          <w:rFonts w:hint="eastAsia" w:ascii="宋体" w:hAnsi="宋体" w:eastAsia="宋体" w:cs="宋体"/>
          <w:b/>
          <w:bCs w:val="0"/>
          <w:color w:val="auto"/>
          <w:sz w:val="24"/>
          <w:highlight w:val="none"/>
        </w:rPr>
        <w:t xml:space="preserve">（签字或盖章）： </w:t>
      </w:r>
    </w:p>
    <w:p>
      <w:pPr>
        <w:spacing w:line="360" w:lineRule="auto"/>
        <w:ind w:firstLine="950" w:firstLineChars="396"/>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   年   月   日 </w:t>
      </w:r>
    </w:p>
    <w:p>
      <w:pPr>
        <w:spacing w:line="360" w:lineRule="auto"/>
        <w:ind w:firstLine="470" w:firstLineChars="196"/>
        <w:rPr>
          <w:rFonts w:hint="eastAsia" w:ascii="宋体" w:hAnsi="宋体" w:eastAsia="宋体" w:cs="宋体"/>
          <w:bCs/>
          <w:color w:val="auto"/>
          <w:sz w:val="24"/>
          <w:highlight w:val="none"/>
        </w:rPr>
      </w:pPr>
    </w:p>
    <w:p>
      <w:pPr>
        <w:spacing w:line="360" w:lineRule="auto"/>
        <w:rPr>
          <w:rFonts w:hint="eastAsia" w:ascii="宋体" w:hAnsi="宋体" w:eastAsia="宋体" w:cs="宋体"/>
          <w:b/>
          <w:bCs w:val="0"/>
          <w:color w:val="auto"/>
          <w:sz w:val="24"/>
          <w:highlight w:val="none"/>
        </w:rPr>
      </w:pPr>
      <w:r>
        <w:rPr>
          <w:rFonts w:hint="eastAsia" w:ascii="宋体" w:hAnsi="宋体" w:eastAsia="宋体" w:cs="宋体"/>
          <w:b/>
          <w:bCs w:val="0"/>
          <w:color w:val="auto"/>
          <w:sz w:val="24"/>
          <w:highlight w:val="none"/>
        </w:rPr>
        <w:t>(受托人身份证复印件附后)</w:t>
      </w:r>
    </w:p>
    <w:p>
      <w:pPr>
        <w:ind w:firstLine="470" w:firstLineChars="196"/>
        <w:rPr>
          <w:rFonts w:hint="eastAsia" w:ascii="宋体" w:hAnsi="宋体" w:eastAsia="宋体" w:cs="宋体"/>
          <w:bCs/>
          <w:color w:val="auto"/>
          <w:sz w:val="24"/>
          <w:highlight w:val="none"/>
        </w:rPr>
      </w:pPr>
    </w:p>
    <w:p>
      <w:pPr>
        <w:ind w:firstLine="470" w:firstLineChars="196"/>
        <w:rPr>
          <w:rFonts w:hint="eastAsia" w:ascii="宋体" w:hAnsi="宋体" w:eastAsia="宋体" w:cs="宋体"/>
          <w:bCs/>
          <w:color w:val="auto"/>
          <w:sz w:val="24"/>
          <w:highlight w:val="none"/>
        </w:rPr>
      </w:pPr>
    </w:p>
    <w:p>
      <w:pPr>
        <w:spacing w:line="480" w:lineRule="auto"/>
        <w:rPr>
          <w:rFonts w:hint="eastAsia" w:ascii="宋体" w:hAnsi="宋体" w:eastAsia="宋体" w:cs="宋体"/>
          <w:color w:val="auto"/>
          <w:highlight w:val="none"/>
        </w:rPr>
      </w:pPr>
    </w:p>
    <w:p>
      <w:pPr>
        <w:widowControl/>
        <w:spacing w:before="100" w:beforeLines="0" w:beforeAutospacing="1" w:after="100" w:afterLines="0" w:afterAutospacing="1" w:line="450" w:lineRule="atLeast"/>
        <w:rPr>
          <w:rFonts w:hint="eastAsia" w:ascii="宋体" w:hAnsi="宋体" w:eastAsia="宋体" w:cs="宋体"/>
          <w:color w:val="auto"/>
          <w:kern w:val="0"/>
          <w:sz w:val="28"/>
          <w:szCs w:val="28"/>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widowControl/>
        <w:spacing w:before="100" w:beforeLines="0" w:beforeAutospacing="1" w:after="100" w:afterLines="0" w:afterAutospacing="1" w:line="450" w:lineRule="atLeast"/>
        <w:jc w:val="center"/>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t>6.中小企业声明函</w:t>
      </w:r>
    </w:p>
    <w:p>
      <w:pPr>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项目编号：</w:t>
      </w:r>
      <w:r>
        <w:rPr>
          <w:rFonts w:hint="eastAsia" w:ascii="宋体" w:hAnsi="宋体" w:cs="宋体"/>
          <w:color w:val="auto"/>
          <w:sz w:val="24"/>
          <w:highlight w:val="none"/>
          <w:u w:val="single"/>
          <w:lang w:eastAsia="zh-CN"/>
        </w:rPr>
        <w:t>徐采公（2021）YZJS（Q）024</w:t>
      </w:r>
      <w:r>
        <w:rPr>
          <w:rFonts w:hint="eastAsia" w:ascii="宋体" w:hAnsi="宋体" w:eastAsia="宋体" w:cs="宋体"/>
          <w:color w:val="auto"/>
          <w:sz w:val="24"/>
          <w:highlight w:val="none"/>
          <w:u w:val="single"/>
        </w:rPr>
        <w:t xml:space="preserve"> </w:t>
      </w:r>
    </w:p>
    <w:p>
      <w:pPr>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rPr>
        <w:t>项目名称：</w:t>
      </w:r>
      <w:r>
        <w:rPr>
          <w:rFonts w:hint="eastAsia" w:ascii="宋体" w:hAnsi="宋体" w:cs="宋体"/>
          <w:color w:val="auto"/>
          <w:sz w:val="24"/>
          <w:highlight w:val="none"/>
          <w:u w:val="single"/>
          <w:lang w:eastAsia="zh-CN"/>
        </w:rPr>
        <w:t>垃圾分类收集亭提档升级（标段名称）</w:t>
      </w:r>
    </w:p>
    <w:p>
      <w:pPr>
        <w:spacing w:line="380" w:lineRule="exact"/>
        <w:rPr>
          <w:rFonts w:hint="eastAsia" w:ascii="宋体" w:hAnsi="宋体" w:eastAsia="宋体" w:cs="宋体"/>
          <w:color w:val="auto"/>
          <w:kern w:val="0"/>
          <w:sz w:val="24"/>
          <w:highlight w:val="none"/>
        </w:rPr>
      </w:pPr>
    </w:p>
    <w:p>
      <w:pPr>
        <w:spacing w:line="360" w:lineRule="auto"/>
        <w:ind w:firstLine="720" w:firstLineChars="3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本公司（联合体）郑重声明，根据《政府采购促进中小企业发展管理办法》（财库[2020]46号）的规定，本公司（联合体）参加（</w:t>
      </w:r>
      <w:r>
        <w:rPr>
          <w:rFonts w:hint="eastAsia" w:ascii="宋体" w:hAnsi="宋体" w:cs="宋体"/>
          <w:color w:val="auto"/>
          <w:sz w:val="24"/>
          <w:highlight w:val="none"/>
          <w:u w:val="single"/>
          <w:lang w:eastAsia="zh-CN"/>
        </w:rPr>
        <w:t>徐州市鼓楼区城市管理局</w:t>
      </w:r>
      <w:r>
        <w:rPr>
          <w:rFonts w:hint="eastAsia" w:ascii="宋体" w:hAnsi="宋体" w:eastAsia="宋体" w:cs="宋体"/>
          <w:color w:val="auto"/>
          <w:kern w:val="0"/>
          <w:sz w:val="24"/>
          <w:highlight w:val="none"/>
        </w:rPr>
        <w:t>）的（</w:t>
      </w:r>
      <w:r>
        <w:rPr>
          <w:rFonts w:hint="eastAsia" w:ascii="宋体" w:hAnsi="宋体" w:cs="宋体"/>
          <w:color w:val="auto"/>
          <w:kern w:val="0"/>
          <w:sz w:val="24"/>
          <w:highlight w:val="none"/>
          <w:u w:val="single"/>
          <w:lang w:eastAsia="zh-CN"/>
        </w:rPr>
        <w:t>垃圾分类收集亭提档升级</w:t>
      </w:r>
      <w:r>
        <w:rPr>
          <w:rFonts w:hint="eastAsia" w:ascii="宋体" w:hAnsi="宋体" w:eastAsia="宋体" w:cs="宋体"/>
          <w:color w:val="auto"/>
          <w:kern w:val="0"/>
          <w:sz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pStyle w:val="6"/>
        <w:numPr>
          <w:ilvl w:val="0"/>
          <w:numId w:val="8"/>
        </w:numPr>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（标的名称），属于（采购文件中明确的所属行业）；承建（承建）企业为（企业名称），从业人员（  ）人，营业收入为（   万元），资产总额为（  万元）①，属于（中型企业、小型企业、微型企业）；</w:t>
      </w:r>
    </w:p>
    <w:p>
      <w:pPr>
        <w:pStyle w:val="6"/>
        <w:numPr>
          <w:ilvl w:val="0"/>
          <w:numId w:val="8"/>
        </w:numPr>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（标的名称），属于（采购文件中明确的所属行业）；承建（承建）企业为（企业名称），从业人员（  ）人，营业收入为（   万元），资产总额为（  万元）①，属于（中型企业、小型企业、微型企业）；</w:t>
      </w:r>
    </w:p>
    <w:p>
      <w:pPr>
        <w:pStyle w:val="6"/>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p>
      <w:pPr>
        <w:pStyle w:val="6"/>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以上企业，不属于大企业的分值机构，不存在控股股东为大企业的情况，也不存在与大企业的负责人为同一人的情况。</w:t>
      </w:r>
    </w:p>
    <w:p>
      <w:pPr>
        <w:pStyle w:val="6"/>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本企业对上述声明内容的真实性负责。如有虚假，将依法承担相应责任。</w:t>
      </w:r>
    </w:p>
    <w:p>
      <w:pPr>
        <w:pStyle w:val="6"/>
        <w:rPr>
          <w:rFonts w:hint="eastAsia" w:ascii="宋体" w:hAnsi="宋体" w:eastAsia="宋体" w:cs="宋体"/>
          <w:color w:val="auto"/>
          <w:kern w:val="0"/>
          <w:sz w:val="24"/>
          <w:highlight w:val="none"/>
        </w:rPr>
      </w:pPr>
    </w:p>
    <w:p>
      <w:pPr>
        <w:pStyle w:val="6"/>
        <w:jc w:val="right"/>
        <w:rPr>
          <w:rFonts w:hint="eastAsia" w:ascii="宋体" w:hAnsi="宋体" w:eastAsia="宋体" w:cs="宋体"/>
          <w:color w:val="auto"/>
          <w:kern w:val="0"/>
          <w:sz w:val="24"/>
          <w:highlight w:val="none"/>
        </w:rPr>
      </w:pPr>
    </w:p>
    <w:p>
      <w:pPr>
        <w:pStyle w:val="6"/>
        <w:jc w:val="both"/>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企业名称（盖章）：</w:t>
      </w:r>
    </w:p>
    <w:p>
      <w:pPr>
        <w:pStyle w:val="6"/>
        <w:jc w:val="both"/>
        <w:rPr>
          <w:rFonts w:hint="eastAsia" w:ascii="宋体" w:hAnsi="宋体" w:eastAsia="宋体" w:cs="宋体"/>
          <w:b/>
          <w:bCs/>
          <w:color w:val="auto"/>
          <w:kern w:val="0"/>
          <w:sz w:val="24"/>
          <w:highlight w:val="none"/>
          <w:lang w:val="en-US" w:eastAsia="zh-CN"/>
        </w:rPr>
      </w:pPr>
      <w:r>
        <w:rPr>
          <w:rFonts w:hint="eastAsia" w:ascii="宋体" w:hAnsi="宋体" w:eastAsia="宋体" w:cs="宋体"/>
          <w:b/>
          <w:bCs/>
          <w:color w:val="auto"/>
          <w:kern w:val="0"/>
          <w:sz w:val="24"/>
          <w:highlight w:val="none"/>
        </w:rPr>
        <w:t>日期：</w:t>
      </w:r>
      <w:r>
        <w:rPr>
          <w:rFonts w:hint="eastAsia" w:ascii="宋体" w:hAnsi="宋体" w:eastAsia="宋体" w:cs="宋体"/>
          <w:b/>
          <w:bCs/>
          <w:color w:val="auto"/>
          <w:kern w:val="0"/>
          <w:sz w:val="24"/>
          <w:highlight w:val="none"/>
          <w:lang w:val="en-US" w:eastAsia="zh-CN"/>
        </w:rPr>
        <w:t xml:space="preserve">  年  月  日</w:t>
      </w:r>
    </w:p>
    <w:p>
      <w:pPr>
        <w:pStyle w:val="6"/>
        <w:rPr>
          <w:rFonts w:hint="eastAsia" w:ascii="宋体" w:hAnsi="宋体" w:eastAsia="宋体" w:cs="宋体"/>
          <w:color w:val="auto"/>
          <w:kern w:val="0"/>
          <w:sz w:val="24"/>
          <w:highlight w:val="none"/>
        </w:rPr>
      </w:pPr>
    </w:p>
    <w:p>
      <w:pPr>
        <w:pStyle w:val="6"/>
        <w:rPr>
          <w:rFonts w:hint="eastAsia" w:ascii="宋体" w:hAnsi="宋体" w:eastAsia="宋体" w:cs="宋体"/>
          <w:color w:val="auto"/>
          <w:kern w:val="0"/>
          <w:sz w:val="24"/>
          <w:highlight w:val="none"/>
        </w:rPr>
      </w:pPr>
    </w:p>
    <w:p>
      <w:pPr>
        <w:pStyle w:val="6"/>
        <w:rPr>
          <w:rFonts w:hint="eastAsia" w:ascii="宋体" w:hAnsi="宋体" w:eastAsia="宋体" w:cs="宋体"/>
          <w:color w:val="auto"/>
          <w:kern w:val="0"/>
          <w:sz w:val="24"/>
          <w:highlight w:val="none"/>
        </w:rPr>
      </w:pPr>
    </w:p>
    <w:p>
      <w:pPr>
        <w:pStyle w:val="6"/>
        <w:ind w:left="0" w:leftChars="0" w:firstLine="0" w:firstLineChars="0"/>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从业人员、营业收入、资产总额填报上一年度数据，无上一年度数据的新成立企业可不填报。</w:t>
      </w:r>
    </w:p>
    <w:p>
      <w:pPr>
        <w:pStyle w:val="6"/>
        <w:ind w:left="0" w:leftChars="0" w:firstLine="0" w:firstLineChars="0"/>
        <w:rPr>
          <w:rFonts w:hint="eastAsia" w:ascii="宋体" w:hAnsi="宋体" w:eastAsia="宋体" w:cs="宋体"/>
          <w:b/>
          <w:bCs/>
          <w:color w:val="auto"/>
          <w:kern w:val="0"/>
          <w:sz w:val="24"/>
          <w:highlight w:val="none"/>
        </w:rPr>
      </w:pPr>
    </w:p>
    <w:p>
      <w:pPr>
        <w:pStyle w:val="6"/>
        <w:ind w:left="0" w:leftChars="0" w:firstLine="0" w:firstLineChars="0"/>
        <w:jc w:val="center"/>
        <w:rPr>
          <w:rFonts w:hint="eastAsia" w:ascii="宋体" w:hAnsi="宋体" w:eastAsia="宋体" w:cs="宋体"/>
          <w:b/>
          <w:bCs w:val="0"/>
          <w:color w:val="auto"/>
          <w:kern w:val="0"/>
          <w:sz w:val="28"/>
          <w:szCs w:val="28"/>
          <w:highlight w:val="none"/>
        </w:rPr>
      </w:pPr>
      <w:r>
        <w:rPr>
          <w:rFonts w:hint="eastAsia" w:ascii="宋体" w:hAnsi="宋体" w:eastAsia="宋体" w:cs="宋体"/>
          <w:b/>
          <w:bCs w:val="0"/>
          <w:color w:val="auto"/>
          <w:sz w:val="28"/>
          <w:szCs w:val="28"/>
          <w:highlight w:val="none"/>
        </w:rPr>
        <w:t>《中小企业声明函》</w:t>
      </w:r>
      <w:r>
        <w:rPr>
          <w:rFonts w:hint="eastAsia" w:ascii="宋体" w:hAnsi="宋体" w:eastAsia="宋体" w:cs="宋体"/>
          <w:b/>
          <w:bCs w:val="0"/>
          <w:color w:val="auto"/>
          <w:sz w:val="28"/>
          <w:szCs w:val="28"/>
          <w:highlight w:val="none"/>
          <w:lang w:val="en-US" w:eastAsia="zh-CN"/>
        </w:rPr>
        <w:t>查询渠道参考工业和信息化部发布的中小企业规模自测小程序</w:t>
      </w:r>
    </w:p>
    <w:p>
      <w:pPr>
        <w:pStyle w:val="6"/>
        <w:ind w:left="0" w:leftChars="0" w:firstLine="0" w:firstLineChars="0"/>
        <w:rPr>
          <w:rFonts w:hint="eastAsia" w:ascii="宋体" w:hAnsi="宋体" w:eastAsia="宋体" w:cs="宋体"/>
          <w:b/>
          <w:bCs/>
          <w:color w:val="auto"/>
          <w:kern w:val="0"/>
          <w:sz w:val="24"/>
          <w:highlight w:val="none"/>
        </w:rPr>
      </w:pPr>
      <w:r>
        <w:drawing>
          <wp:inline distT="0" distB="0" distL="114300" distR="114300">
            <wp:extent cx="4686300" cy="7153275"/>
            <wp:effectExtent l="0" t="0" r="0" b="952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4"/>
                    <a:stretch>
                      <a:fillRect/>
                    </a:stretch>
                  </pic:blipFill>
                  <pic:spPr>
                    <a:xfrm>
                      <a:off x="0" y="0"/>
                      <a:ext cx="4686300" cy="7153275"/>
                    </a:xfrm>
                    <a:prstGeom prst="rect">
                      <a:avLst/>
                    </a:prstGeom>
                    <a:noFill/>
                    <a:ln>
                      <a:noFill/>
                    </a:ln>
                  </pic:spPr>
                </pic:pic>
              </a:graphicData>
            </a:graphic>
          </wp:inline>
        </w:drawing>
      </w:r>
    </w:p>
    <w:p>
      <w:pPr>
        <w:widowControl/>
        <w:spacing w:before="100" w:beforeLines="0" w:beforeAutospacing="1" w:after="100" w:afterLines="0" w:afterAutospacing="1" w:line="450" w:lineRule="atLeast"/>
        <w:jc w:val="center"/>
        <w:rPr>
          <w:rFonts w:hint="eastAsia" w:ascii="宋体" w:hAnsi="宋体" w:eastAsia="宋体" w:cs="宋体"/>
          <w:b/>
          <w:bCs/>
          <w:color w:val="auto"/>
          <w:sz w:val="28"/>
          <w:szCs w:val="28"/>
          <w:highlight w:val="none"/>
        </w:rPr>
      </w:pPr>
    </w:p>
    <w:p>
      <w:pPr>
        <w:widowControl/>
        <w:spacing w:before="100" w:beforeLines="0" w:beforeAutospacing="1" w:after="100" w:afterLines="0" w:afterAutospacing="1" w:line="450" w:lineRule="atLeast"/>
        <w:jc w:val="center"/>
        <w:rPr>
          <w:rFonts w:hint="eastAsia" w:ascii="宋体" w:hAnsi="宋体" w:eastAsia="宋体" w:cs="宋体"/>
          <w:b/>
          <w:bCs/>
          <w:color w:val="auto"/>
          <w:kern w:val="0"/>
          <w:sz w:val="28"/>
          <w:szCs w:val="28"/>
          <w:highlight w:val="none"/>
        </w:rPr>
      </w:pPr>
      <w:r>
        <w:rPr>
          <w:rFonts w:hint="eastAsia" w:ascii="宋体" w:hAnsi="宋体" w:eastAsia="宋体" w:cs="宋体"/>
          <w:b/>
          <w:bCs/>
          <w:color w:val="auto"/>
          <w:sz w:val="28"/>
          <w:szCs w:val="28"/>
          <w:highlight w:val="none"/>
        </w:rPr>
        <w:t>7.</w:t>
      </w:r>
      <w:r>
        <w:rPr>
          <w:rFonts w:hint="eastAsia" w:ascii="宋体" w:hAnsi="宋体" w:eastAsia="宋体" w:cs="宋体"/>
          <w:b/>
          <w:bCs/>
          <w:color w:val="auto"/>
          <w:kern w:val="0"/>
          <w:sz w:val="28"/>
          <w:szCs w:val="28"/>
          <w:highlight w:val="none"/>
        </w:rPr>
        <w:t>残疾人福利性单位声明函</w:t>
      </w:r>
    </w:p>
    <w:p>
      <w:pPr>
        <w:spacing w:line="588" w:lineRule="exact"/>
        <w:jc w:val="cente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（如</w:t>
      </w:r>
      <w:r>
        <w:rPr>
          <w:rFonts w:hint="eastAsia" w:ascii="宋体" w:hAnsi="宋体" w:cs="宋体"/>
          <w:color w:val="auto"/>
          <w:sz w:val="28"/>
          <w:szCs w:val="28"/>
          <w:highlight w:val="none"/>
          <w:lang w:eastAsia="zh-CN"/>
        </w:rPr>
        <w:t>投标人</w:t>
      </w:r>
      <w:r>
        <w:rPr>
          <w:rFonts w:hint="eastAsia" w:ascii="宋体" w:hAnsi="宋体" w:eastAsia="宋体" w:cs="宋体"/>
          <w:color w:val="auto"/>
          <w:sz w:val="28"/>
          <w:szCs w:val="28"/>
          <w:highlight w:val="none"/>
          <w:lang w:eastAsia="zh-CN"/>
        </w:rPr>
        <w:t>不属于残疾人福利性单位不需要提供此声明函）</w:t>
      </w:r>
    </w:p>
    <w:p>
      <w:pPr>
        <w:spacing w:line="588" w:lineRule="exact"/>
        <w:ind w:firstLine="504" w:firstLineChars="200"/>
        <w:rPr>
          <w:rFonts w:hint="eastAsia" w:ascii="宋体" w:hAnsi="宋体" w:eastAsia="宋体" w:cs="宋体"/>
          <w:color w:val="auto"/>
          <w:spacing w:val="6"/>
          <w:sz w:val="24"/>
          <w:highlight w:val="none"/>
          <w:u w:val="single"/>
          <w:lang w:eastAsia="zh-CN"/>
        </w:rPr>
      </w:pPr>
      <w:r>
        <w:rPr>
          <w:rFonts w:hint="eastAsia" w:ascii="宋体" w:hAnsi="宋体" w:eastAsia="宋体" w:cs="宋体"/>
          <w:color w:val="auto"/>
          <w:spacing w:val="6"/>
          <w:sz w:val="24"/>
          <w:highlight w:val="none"/>
        </w:rPr>
        <w:t>项目编号：</w:t>
      </w:r>
      <w:r>
        <w:rPr>
          <w:rFonts w:hint="eastAsia" w:ascii="宋体" w:hAnsi="宋体" w:cs="宋体"/>
          <w:color w:val="auto"/>
          <w:spacing w:val="6"/>
          <w:sz w:val="24"/>
          <w:highlight w:val="none"/>
          <w:u w:val="single"/>
          <w:lang w:eastAsia="zh-CN"/>
        </w:rPr>
        <w:t>徐采公（2021）YZJS（Q）024</w:t>
      </w:r>
    </w:p>
    <w:p>
      <w:pPr>
        <w:spacing w:line="588" w:lineRule="exact"/>
        <w:ind w:firstLine="504" w:firstLineChars="200"/>
        <w:rPr>
          <w:rFonts w:hint="eastAsia" w:ascii="宋体" w:hAnsi="宋体" w:eastAsia="宋体" w:cs="宋体"/>
          <w:color w:val="auto"/>
          <w:spacing w:val="6"/>
          <w:sz w:val="24"/>
          <w:highlight w:val="none"/>
          <w:u w:val="single"/>
          <w:lang w:eastAsia="zh-CN"/>
        </w:rPr>
      </w:pPr>
      <w:r>
        <w:rPr>
          <w:rFonts w:hint="eastAsia" w:ascii="宋体" w:hAnsi="宋体" w:eastAsia="宋体" w:cs="宋体"/>
          <w:color w:val="auto"/>
          <w:spacing w:val="6"/>
          <w:sz w:val="24"/>
          <w:highlight w:val="none"/>
        </w:rPr>
        <w:t>项目名称：</w:t>
      </w:r>
      <w:r>
        <w:rPr>
          <w:rFonts w:hint="eastAsia" w:ascii="宋体" w:hAnsi="宋体" w:cs="宋体"/>
          <w:color w:val="auto"/>
          <w:spacing w:val="6"/>
          <w:sz w:val="24"/>
          <w:highlight w:val="none"/>
          <w:u w:val="single"/>
          <w:lang w:eastAsia="zh-CN"/>
        </w:rPr>
        <w:t>垃圾分类收集亭提档升级（标段名称）</w:t>
      </w:r>
    </w:p>
    <w:p>
      <w:pPr>
        <w:spacing w:line="588" w:lineRule="exact"/>
        <w:ind w:firstLine="504" w:firstLineChars="200"/>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本单位郑重声明，根据《财政部 民政部 中国残疾人联合会关于促进残疾人就业政府采购政策的通知》（财库</w:t>
      </w:r>
      <w:r>
        <w:rPr>
          <w:rFonts w:hint="eastAsia" w:ascii="宋体" w:hAnsi="宋体" w:eastAsia="宋体" w:cs="宋体"/>
          <w:color w:val="auto"/>
          <w:sz w:val="24"/>
          <w:highlight w:val="none"/>
        </w:rPr>
        <w:t>〔2017〕 141</w:t>
      </w:r>
      <w:r>
        <w:rPr>
          <w:rFonts w:hint="eastAsia" w:ascii="宋体" w:hAnsi="宋体" w:eastAsia="宋体" w:cs="宋体"/>
          <w:color w:val="auto"/>
          <w:spacing w:val="6"/>
          <w:sz w:val="24"/>
          <w:highlight w:val="none"/>
        </w:rPr>
        <w:t>号）的规定，本单位为符合条件的残疾人福利性单位，且本单位参加</w:t>
      </w:r>
      <w:r>
        <w:rPr>
          <w:rFonts w:hint="eastAsia" w:ascii="宋体" w:hAnsi="宋体" w:eastAsia="宋体" w:cs="宋体"/>
          <w:color w:val="auto"/>
          <w:spacing w:val="6"/>
          <w:sz w:val="24"/>
          <w:highlight w:val="none"/>
          <w:u w:val="single"/>
          <w:lang w:val="en-US" w:eastAsia="zh-CN"/>
        </w:rPr>
        <w:t xml:space="preserve"> </w:t>
      </w:r>
      <w:r>
        <w:rPr>
          <w:rFonts w:hint="eastAsia" w:ascii="宋体" w:hAnsi="宋体" w:cs="宋体"/>
          <w:color w:val="auto"/>
          <w:kern w:val="0"/>
          <w:sz w:val="24"/>
          <w:highlight w:val="none"/>
          <w:u w:val="single"/>
          <w:lang w:eastAsia="zh-CN"/>
        </w:rPr>
        <w:t>徐州市鼓楼区城市管理局</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spacing w:val="6"/>
          <w:sz w:val="24"/>
          <w:highlight w:val="none"/>
        </w:rPr>
        <w:t>单位的</w:t>
      </w:r>
      <w:r>
        <w:rPr>
          <w:rFonts w:hint="eastAsia" w:ascii="宋体" w:hAnsi="宋体" w:cs="宋体"/>
          <w:color w:val="auto"/>
          <w:spacing w:val="6"/>
          <w:sz w:val="24"/>
          <w:highlight w:val="none"/>
          <w:u w:val="single"/>
          <w:lang w:eastAsia="zh-CN"/>
        </w:rPr>
        <w:t>垃圾分类收集亭提档升级（标段名称）</w:t>
      </w:r>
      <w:r>
        <w:rPr>
          <w:rFonts w:hint="eastAsia" w:ascii="宋体" w:hAnsi="宋体" w:eastAsia="宋体" w:cs="宋体"/>
          <w:color w:val="auto"/>
          <w:spacing w:val="6"/>
          <w:sz w:val="24"/>
          <w:highlight w:val="none"/>
        </w:rPr>
        <w:t>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本单位对上述声明的真实性负责。如有虚假，将依法承担相应责任。</w:t>
      </w:r>
    </w:p>
    <w:p>
      <w:pPr>
        <w:spacing w:line="588" w:lineRule="exact"/>
        <w:ind w:firstLine="504" w:firstLineChars="200"/>
        <w:rPr>
          <w:rFonts w:hint="eastAsia" w:ascii="宋体" w:hAnsi="宋体" w:eastAsia="宋体" w:cs="宋体"/>
          <w:color w:val="auto"/>
          <w:spacing w:val="6"/>
          <w:sz w:val="24"/>
          <w:highlight w:val="none"/>
        </w:rPr>
      </w:pPr>
    </w:p>
    <w:p>
      <w:pPr>
        <w:spacing w:line="588" w:lineRule="exact"/>
        <w:ind w:firstLine="504" w:firstLineChars="200"/>
        <w:rPr>
          <w:rFonts w:hint="eastAsia" w:ascii="宋体" w:hAnsi="宋体" w:eastAsia="宋体" w:cs="宋体"/>
          <w:color w:val="auto"/>
          <w:spacing w:val="6"/>
          <w:sz w:val="24"/>
          <w:highlight w:val="none"/>
        </w:rPr>
      </w:pPr>
    </w:p>
    <w:p>
      <w:pPr>
        <w:spacing w:line="300" w:lineRule="auto"/>
        <w:ind w:firstLine="3600" w:firstLineChars="1500"/>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（盖单位公章）</w:t>
      </w:r>
    </w:p>
    <w:p>
      <w:pPr>
        <w:spacing w:line="360" w:lineRule="auto"/>
        <w:ind w:firstLine="3600" w:firstLineChars="1500"/>
        <w:rPr>
          <w:rFonts w:hint="eastAsia" w:ascii="宋体" w:hAnsi="宋体" w:eastAsia="宋体" w:cs="宋体"/>
          <w:color w:val="auto"/>
          <w:sz w:val="24"/>
          <w:highlight w:val="none"/>
        </w:rPr>
      </w:pPr>
      <w:r>
        <w:rPr>
          <w:rFonts w:hint="eastAsia" w:ascii="宋体" w:hAnsi="宋体" w:eastAsia="宋体" w:cs="宋体"/>
          <w:color w:val="auto"/>
          <w:sz w:val="24"/>
          <w:highlight w:val="none"/>
        </w:rPr>
        <w:t>日期：   年  月  日</w:t>
      </w:r>
    </w:p>
    <w:p>
      <w:pPr>
        <w:spacing w:line="360" w:lineRule="auto"/>
        <w:ind w:firstLine="470" w:firstLineChars="196"/>
        <w:jc w:val="center"/>
        <w:rPr>
          <w:rFonts w:hint="eastAsia" w:ascii="宋体" w:hAnsi="宋体" w:eastAsia="宋体" w:cs="宋体"/>
          <w:bCs/>
          <w:color w:val="auto"/>
          <w:sz w:val="24"/>
          <w:highlight w:val="none"/>
        </w:rPr>
      </w:pPr>
    </w:p>
    <w:p>
      <w:pPr>
        <w:spacing w:line="360" w:lineRule="auto"/>
        <w:ind w:firstLine="470" w:firstLineChars="196"/>
        <w:jc w:val="center"/>
        <w:rPr>
          <w:rFonts w:hint="eastAsia" w:ascii="宋体" w:hAnsi="宋体" w:eastAsia="宋体" w:cs="宋体"/>
          <w:bCs/>
          <w:color w:val="auto"/>
          <w:sz w:val="24"/>
          <w:highlight w:val="none"/>
        </w:rPr>
      </w:pPr>
    </w:p>
    <w:p>
      <w:pPr>
        <w:spacing w:line="360" w:lineRule="auto"/>
        <w:ind w:firstLine="470" w:firstLineChars="196"/>
        <w:jc w:val="center"/>
        <w:rPr>
          <w:rFonts w:hint="eastAsia" w:ascii="宋体" w:hAnsi="宋体" w:eastAsia="宋体" w:cs="宋体"/>
          <w:bCs/>
          <w:color w:val="auto"/>
          <w:sz w:val="24"/>
          <w:highlight w:val="none"/>
        </w:rPr>
      </w:pPr>
    </w:p>
    <w:p>
      <w:pPr>
        <w:spacing w:line="360" w:lineRule="auto"/>
        <w:ind w:firstLine="470" w:firstLineChars="196"/>
        <w:jc w:val="center"/>
        <w:rPr>
          <w:rFonts w:hint="eastAsia" w:ascii="宋体" w:hAnsi="宋体" w:eastAsia="宋体" w:cs="宋体"/>
          <w:bCs/>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注：具体以《关于促进残疾人就业政府采购政策的通知》（财库〔2017〕141号）的规定为准。</w:t>
      </w:r>
    </w:p>
    <w:p>
      <w:pPr>
        <w:spacing w:line="360" w:lineRule="auto"/>
        <w:ind w:firstLine="470" w:firstLineChars="196"/>
        <w:jc w:val="center"/>
        <w:rPr>
          <w:rFonts w:hint="eastAsia" w:ascii="宋体" w:hAnsi="宋体" w:eastAsia="宋体" w:cs="宋体"/>
          <w:bCs/>
          <w:color w:val="auto"/>
          <w:sz w:val="24"/>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widowControl/>
        <w:spacing w:before="100" w:beforeLines="0" w:beforeAutospacing="1" w:after="100" w:afterLines="0" w:afterAutospacing="1" w:line="450" w:lineRule="atLeast"/>
        <w:jc w:val="center"/>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t>8.投标人参加政府采购活动前3年内在经营活动中没有重大违法记录的书面声明</w:t>
      </w:r>
    </w:p>
    <w:p>
      <w:pPr>
        <w:ind w:firstLine="548" w:firstLineChars="196"/>
        <w:rPr>
          <w:rFonts w:hint="eastAsia" w:ascii="宋体" w:hAnsi="宋体" w:eastAsia="宋体" w:cs="宋体"/>
          <w:bCs/>
          <w:color w:val="auto"/>
          <w:sz w:val="28"/>
          <w:szCs w:val="28"/>
          <w:highlight w:val="none"/>
        </w:rPr>
      </w:pPr>
    </w:p>
    <w:p>
      <w:pPr>
        <w:spacing w:line="360" w:lineRule="auto"/>
        <w:ind w:firstLine="548" w:firstLineChars="196"/>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我单位在参加</w:t>
      </w:r>
      <w:r>
        <w:rPr>
          <w:rFonts w:hint="eastAsia" w:ascii="宋体" w:hAnsi="宋体" w:cs="宋体"/>
          <w:bCs/>
          <w:color w:val="auto"/>
          <w:sz w:val="28"/>
          <w:szCs w:val="28"/>
          <w:highlight w:val="none"/>
          <w:u w:val="single"/>
          <w:lang w:eastAsia="zh-CN"/>
        </w:rPr>
        <w:t>垃圾分类收集亭提档升级（标段名称）</w:t>
      </w:r>
      <w:r>
        <w:rPr>
          <w:rFonts w:hint="eastAsia" w:ascii="宋体" w:hAnsi="宋体" w:eastAsia="宋体" w:cs="宋体"/>
          <w:bCs/>
          <w:color w:val="auto"/>
          <w:sz w:val="28"/>
          <w:szCs w:val="28"/>
          <w:highlight w:val="none"/>
        </w:rPr>
        <w:t>（项目编号：</w:t>
      </w:r>
      <w:r>
        <w:rPr>
          <w:rFonts w:hint="eastAsia" w:ascii="宋体" w:hAnsi="宋体" w:cs="宋体"/>
          <w:bCs/>
          <w:color w:val="auto"/>
          <w:sz w:val="28"/>
          <w:szCs w:val="28"/>
          <w:highlight w:val="none"/>
          <w:u w:val="single"/>
          <w:lang w:eastAsia="zh-CN"/>
        </w:rPr>
        <w:t>徐采公（2021）YZJS（Q）024</w:t>
      </w:r>
      <w:r>
        <w:rPr>
          <w:rFonts w:hint="eastAsia" w:ascii="宋体" w:hAnsi="宋体" w:eastAsia="宋体" w:cs="宋体"/>
          <w:bCs/>
          <w:color w:val="auto"/>
          <w:sz w:val="28"/>
          <w:szCs w:val="28"/>
          <w:highlight w:val="none"/>
        </w:rPr>
        <w:t>）政府采购活动前3年内在经营活动中没有重大违法记录。重大违法记录是指因违法经营受到刑事处罚或者责令停产停业、吊销许可证或者执照、较大数额罚款等行政处罚。</w:t>
      </w:r>
    </w:p>
    <w:p>
      <w:pPr>
        <w:spacing w:line="360" w:lineRule="auto"/>
        <w:ind w:firstLine="548" w:firstLineChars="196"/>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我单位对上述声明的真实性负责。如有虚假，将依法承担相应责任。</w:t>
      </w:r>
    </w:p>
    <w:p>
      <w:pPr>
        <w:ind w:firstLine="548" w:firstLineChars="196"/>
        <w:rPr>
          <w:rFonts w:hint="eastAsia" w:ascii="宋体" w:hAnsi="宋体" w:eastAsia="宋体" w:cs="宋体"/>
          <w:bCs/>
          <w:color w:val="auto"/>
          <w:sz w:val="28"/>
          <w:szCs w:val="28"/>
          <w:highlight w:val="none"/>
        </w:rPr>
      </w:pPr>
    </w:p>
    <w:p>
      <w:pPr>
        <w:ind w:firstLine="548" w:firstLineChars="196"/>
        <w:rPr>
          <w:rFonts w:hint="eastAsia" w:ascii="宋体" w:hAnsi="宋体" w:eastAsia="宋体" w:cs="宋体"/>
          <w:bCs/>
          <w:color w:val="auto"/>
          <w:sz w:val="28"/>
          <w:szCs w:val="28"/>
          <w:highlight w:val="none"/>
        </w:rPr>
      </w:pPr>
    </w:p>
    <w:p>
      <w:pPr>
        <w:ind w:firstLine="548" w:firstLineChars="196"/>
        <w:rPr>
          <w:rFonts w:hint="eastAsia" w:ascii="宋体" w:hAnsi="宋体" w:eastAsia="宋体" w:cs="宋体"/>
          <w:bCs/>
          <w:color w:val="auto"/>
          <w:sz w:val="28"/>
          <w:szCs w:val="28"/>
          <w:highlight w:val="none"/>
        </w:rPr>
      </w:pPr>
    </w:p>
    <w:p>
      <w:pPr>
        <w:spacing w:line="300" w:lineRule="auto"/>
        <w:ind w:firstLine="2520" w:firstLineChars="9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投标人：</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（盖单位公章）</w:t>
      </w:r>
    </w:p>
    <w:p>
      <w:pPr>
        <w:ind w:firstLine="2520" w:firstLineChars="9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日期：   年  月  日</w:t>
      </w:r>
    </w:p>
    <w:p>
      <w:pPr>
        <w:pStyle w:val="5"/>
        <w:rPr>
          <w:rFonts w:hint="eastAsia" w:ascii="宋体" w:hAnsi="宋体" w:eastAsia="宋体" w:cs="宋体"/>
          <w:color w:val="auto"/>
          <w:sz w:val="28"/>
          <w:szCs w:val="28"/>
          <w:highlight w:val="none"/>
        </w:rPr>
      </w:pPr>
    </w:p>
    <w:p>
      <w:pPr>
        <w:pStyle w:val="19"/>
        <w:rPr>
          <w:rFonts w:hint="eastAsia" w:ascii="宋体" w:hAnsi="宋体" w:eastAsia="宋体" w:cs="宋体"/>
          <w:color w:val="auto"/>
          <w:sz w:val="28"/>
          <w:szCs w:val="28"/>
          <w:highlight w:val="none"/>
        </w:rPr>
      </w:pPr>
    </w:p>
    <w:p>
      <w:pPr>
        <w:pStyle w:val="18"/>
        <w:ind w:firstLine="560"/>
        <w:rPr>
          <w:rFonts w:hint="eastAsia" w:ascii="宋体" w:hAnsi="宋体" w:eastAsia="宋体" w:cs="宋体"/>
          <w:color w:val="auto"/>
          <w:sz w:val="28"/>
          <w:szCs w:val="28"/>
          <w:highlight w:val="none"/>
        </w:rPr>
      </w:pPr>
    </w:p>
    <w:p>
      <w:pPr>
        <w:rPr>
          <w:rFonts w:hint="eastAsia" w:ascii="宋体" w:hAnsi="宋体" w:eastAsia="宋体" w:cs="宋体"/>
          <w:color w:val="auto"/>
          <w:sz w:val="28"/>
          <w:szCs w:val="28"/>
          <w:highlight w:val="none"/>
        </w:rPr>
      </w:pPr>
    </w:p>
    <w:p>
      <w:pPr>
        <w:pStyle w:val="5"/>
        <w:rPr>
          <w:rFonts w:hint="eastAsia" w:ascii="宋体" w:hAnsi="宋体" w:eastAsia="宋体" w:cs="宋体"/>
          <w:color w:val="auto"/>
          <w:sz w:val="28"/>
          <w:szCs w:val="28"/>
          <w:highlight w:val="none"/>
        </w:rPr>
      </w:pPr>
    </w:p>
    <w:p>
      <w:pPr>
        <w:widowControl/>
        <w:numPr>
          <w:ilvl w:val="0"/>
          <w:numId w:val="0"/>
        </w:numPr>
        <w:spacing w:before="100" w:beforeLines="0" w:beforeAutospacing="1" w:after="100" w:afterLines="0" w:afterAutospacing="1" w:line="450" w:lineRule="atLeast"/>
        <w:jc w:val="center"/>
        <w:rPr>
          <w:rFonts w:hint="eastAsia" w:ascii="宋体" w:hAnsi="宋体" w:eastAsia="宋体" w:cs="宋体"/>
          <w:b/>
          <w:bCs/>
          <w:color w:val="auto"/>
          <w:sz w:val="28"/>
          <w:szCs w:val="28"/>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widowControl/>
        <w:numPr>
          <w:ilvl w:val="0"/>
          <w:numId w:val="0"/>
        </w:numPr>
        <w:spacing w:before="100" w:beforeLines="0" w:beforeAutospacing="1" w:after="100" w:afterLines="0" w:afterAutospacing="1" w:line="450" w:lineRule="atLeast"/>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val="en-US" w:eastAsia="zh-CN"/>
        </w:rPr>
        <w:t>9.</w:t>
      </w:r>
      <w:r>
        <w:rPr>
          <w:rFonts w:hint="eastAsia" w:ascii="宋体" w:hAnsi="宋体" w:eastAsia="宋体" w:cs="宋体"/>
          <w:b/>
          <w:bCs/>
          <w:color w:val="auto"/>
          <w:sz w:val="28"/>
          <w:szCs w:val="28"/>
          <w:highlight w:val="none"/>
        </w:rPr>
        <w:t>具备履行合同所必需的设备和专业技术能力的书面声明（附证明材料复印件）格式（投标人可自行拟定）</w:t>
      </w:r>
    </w:p>
    <w:p>
      <w:pPr>
        <w:spacing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项目编号：</w:t>
      </w:r>
      <w:r>
        <w:rPr>
          <w:rFonts w:hint="eastAsia" w:ascii="宋体" w:hAnsi="宋体" w:cs="宋体"/>
          <w:color w:val="auto"/>
          <w:sz w:val="24"/>
          <w:highlight w:val="none"/>
          <w:u w:val="single"/>
          <w:lang w:eastAsia="zh-CN"/>
        </w:rPr>
        <w:t>徐采公（2021）YZJS（Q）024</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项目名称：</w:t>
      </w:r>
      <w:r>
        <w:rPr>
          <w:rFonts w:hint="eastAsia" w:ascii="宋体" w:hAnsi="宋体" w:cs="宋体"/>
          <w:color w:val="auto"/>
          <w:sz w:val="24"/>
          <w:highlight w:val="none"/>
          <w:u w:val="single"/>
          <w:lang w:eastAsia="zh-CN"/>
        </w:rPr>
        <w:t>垃圾分类收集亭提档升级（标段名称）</w:t>
      </w:r>
      <w:r>
        <w:rPr>
          <w:rFonts w:hint="eastAsia" w:ascii="宋体" w:hAnsi="宋体" w:eastAsia="宋体" w:cs="宋体"/>
          <w:color w:val="auto"/>
          <w:sz w:val="24"/>
          <w:highlight w:val="none"/>
        </w:rPr>
        <w:t xml:space="preserve">                                              </w:t>
      </w:r>
    </w:p>
    <w:p>
      <w:pPr>
        <w:spacing w:line="360" w:lineRule="auto"/>
        <w:rPr>
          <w:rFonts w:hint="eastAsia" w:ascii="宋体" w:hAnsi="宋体" w:eastAsia="宋体" w:cs="宋体"/>
          <w:color w:val="auto"/>
          <w:sz w:val="24"/>
          <w:highlight w:val="none"/>
        </w:rPr>
      </w:pPr>
      <w:r>
        <w:rPr>
          <w:rFonts w:hint="eastAsia" w:ascii="宋体" w:hAnsi="宋体" w:cs="宋体"/>
          <w:color w:val="auto"/>
          <w:sz w:val="24"/>
          <w:highlight w:val="none"/>
          <w:lang w:eastAsia="zh-CN"/>
        </w:rPr>
        <w:t>投标人</w:t>
      </w:r>
      <w:r>
        <w:rPr>
          <w:rFonts w:hint="eastAsia" w:ascii="宋体" w:hAnsi="宋体" w:eastAsia="宋体" w:cs="宋体"/>
          <w:color w:val="auto"/>
          <w:sz w:val="24"/>
          <w:highlight w:val="none"/>
        </w:rPr>
        <w:t>郑重声明：投标人具备履行合同（项目名称：</w:t>
      </w:r>
      <w:r>
        <w:rPr>
          <w:rFonts w:hint="eastAsia" w:ascii="宋体" w:hAnsi="宋体" w:cs="宋体"/>
          <w:color w:val="auto"/>
          <w:sz w:val="24"/>
          <w:highlight w:val="none"/>
          <w:u w:val="single"/>
          <w:lang w:eastAsia="zh-CN"/>
        </w:rPr>
        <w:t>垃圾分类收集亭提档升级（标段名称）</w:t>
      </w:r>
      <w:r>
        <w:rPr>
          <w:rFonts w:hint="eastAsia" w:ascii="宋体" w:hAnsi="宋体" w:eastAsia="宋体" w:cs="宋体"/>
          <w:color w:val="auto"/>
          <w:sz w:val="24"/>
          <w:highlight w:val="none"/>
        </w:rPr>
        <w:t>，项目编号：</w:t>
      </w:r>
      <w:r>
        <w:rPr>
          <w:rFonts w:hint="eastAsia" w:ascii="宋体" w:hAnsi="宋体" w:cs="宋体"/>
          <w:color w:val="auto"/>
          <w:sz w:val="24"/>
          <w:highlight w:val="none"/>
          <w:u w:val="single"/>
          <w:lang w:eastAsia="zh-CN"/>
        </w:rPr>
        <w:t>徐采公（2021）YZJS（Q）024</w:t>
      </w:r>
      <w:r>
        <w:rPr>
          <w:rFonts w:hint="eastAsia" w:ascii="宋体" w:hAnsi="宋体" w:eastAsia="宋体" w:cs="宋体"/>
          <w:color w:val="auto"/>
          <w:sz w:val="24"/>
          <w:highlight w:val="none"/>
        </w:rPr>
        <w:t xml:space="preserve"> 所必需的设备和专业技术能力， 具体为：</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设备：</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 </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（证明材料复印件附后）</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 </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（证明材料复印件附后）</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3、 </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（证明材料复印件附后）</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专业技术能力：</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 </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（证明材料复印件附后）</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 </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（证明材料复印件附后）</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3、 </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（证明材料复印件附后）</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特此声明。</w:t>
      </w:r>
    </w:p>
    <w:p>
      <w:pPr>
        <w:spacing w:line="360" w:lineRule="auto"/>
        <w:rPr>
          <w:rFonts w:hint="eastAsia" w:ascii="宋体" w:hAnsi="宋体" w:eastAsia="宋体" w:cs="宋体"/>
          <w:color w:val="auto"/>
          <w:spacing w:val="6"/>
          <w:sz w:val="24"/>
          <w:highlight w:val="none"/>
        </w:rPr>
      </w:pPr>
      <w:r>
        <w:rPr>
          <w:rFonts w:hint="eastAsia" w:ascii="宋体" w:hAnsi="宋体" w:cs="宋体"/>
          <w:color w:val="auto"/>
          <w:sz w:val="24"/>
          <w:highlight w:val="none"/>
          <w:lang w:eastAsia="zh-CN"/>
        </w:rPr>
        <w:t>投标人</w:t>
      </w:r>
      <w:r>
        <w:rPr>
          <w:rFonts w:hint="eastAsia" w:ascii="宋体" w:hAnsi="宋体" w:eastAsia="宋体" w:cs="宋体"/>
          <w:color w:val="auto"/>
          <w:sz w:val="24"/>
          <w:highlight w:val="none"/>
        </w:rPr>
        <w:t>对上述声明的真实性负责。如有虚假，将依法承担相应责任。</w:t>
      </w:r>
    </w:p>
    <w:p>
      <w:pPr>
        <w:adjustRightInd w:val="0"/>
        <w:snapToGrid w:val="0"/>
        <w:spacing w:line="380" w:lineRule="exact"/>
        <w:jc w:val="left"/>
        <w:rPr>
          <w:rFonts w:hint="eastAsia" w:ascii="宋体" w:hAnsi="宋体" w:eastAsia="宋体" w:cs="宋体"/>
          <w:color w:val="auto"/>
          <w:kern w:val="0"/>
          <w:sz w:val="24"/>
          <w:highlight w:val="none"/>
        </w:rPr>
      </w:pPr>
    </w:p>
    <w:p>
      <w:pPr>
        <w:pStyle w:val="5"/>
        <w:rPr>
          <w:rFonts w:hint="eastAsia" w:ascii="宋体" w:hAnsi="宋体" w:eastAsia="宋体" w:cs="宋体"/>
          <w:color w:val="auto"/>
          <w:highlight w:val="none"/>
        </w:rPr>
      </w:pPr>
    </w:p>
    <w:p>
      <w:pPr>
        <w:adjustRightInd w:val="0"/>
        <w:snapToGrid w:val="0"/>
        <w:spacing w:line="360" w:lineRule="auto"/>
        <w:ind w:right="29" w:rightChars="14" w:firstLine="3975" w:firstLineChars="165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投标人（公章）：</w:t>
      </w:r>
    </w:p>
    <w:p>
      <w:pPr>
        <w:adjustRightInd w:val="0"/>
        <w:snapToGrid w:val="0"/>
        <w:spacing w:line="360" w:lineRule="auto"/>
        <w:ind w:left="3950" w:leftChars="1881" w:right="29" w:rightChars="14"/>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rPr>
        <w:t>日期：</w:t>
      </w:r>
      <w:r>
        <w:rPr>
          <w:rFonts w:hint="eastAsia" w:ascii="宋体" w:hAnsi="宋体" w:eastAsia="宋体" w:cs="宋体"/>
          <w:b/>
          <w:bCs/>
          <w:color w:val="auto"/>
          <w:sz w:val="24"/>
          <w:highlight w:val="none"/>
          <w:lang w:val="en-US" w:eastAsia="zh-CN"/>
        </w:rPr>
        <w:t xml:space="preserve">  年  月  日</w:t>
      </w:r>
    </w:p>
    <w:p>
      <w:pPr>
        <w:pStyle w:val="5"/>
        <w:rPr>
          <w:rFonts w:hint="eastAsia" w:ascii="宋体" w:hAnsi="宋体" w:eastAsia="宋体" w:cs="宋体"/>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19"/>
        <w:rPr>
          <w:rFonts w:hint="eastAsia" w:ascii="宋体" w:hAnsi="宋体" w:eastAsia="宋体" w:cs="宋体"/>
          <w:color w:val="auto"/>
          <w:highlight w:val="none"/>
        </w:rPr>
        <w:sectPr>
          <w:type w:val="continuous"/>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18"/>
        <w:numPr>
          <w:ilvl w:val="0"/>
          <w:numId w:val="9"/>
        </w:numPr>
        <w:jc w:val="center"/>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预付款保函支付条款</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付款条件一：提交预付款保函的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rPr>
        <w:t>(1)合同签订且乙方向甲方出具预付款保函后个</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工作日内，甲方应支付合同价款的百分之</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XX</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XX</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%)小写￥</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大写：人民币</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rPr>
        <w:t>(2)验收合格后</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个工作日内，甲方应支付合同价款的百分之</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XX</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XX</w:t>
      </w:r>
      <w:r>
        <w:rPr>
          <w:rFonts w:hint="eastAsia" w:ascii="宋体" w:hAnsi="宋体" w:eastAsia="宋体" w:cs="宋体"/>
          <w:color w:val="auto"/>
          <w:sz w:val="24"/>
          <w:szCs w:val="24"/>
          <w:highlight w:val="none"/>
        </w:rPr>
        <w:t>%)小写￥</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大写：人民币</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付款条件二：不提交预付款保函的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(1)合同签订后</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个工作日内，甲方应支付合同价款的百分之</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XX</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XX</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%)小写￥</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大写：人民币</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rPr>
        <w:t>(2)验收合格后</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个工作日内，甲方应支付合同价款的百分之</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XX</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XX</w:t>
      </w:r>
      <w:r>
        <w:rPr>
          <w:rFonts w:hint="eastAsia" w:ascii="宋体" w:hAnsi="宋体" w:eastAsia="宋体" w:cs="宋体"/>
          <w:color w:val="auto"/>
          <w:sz w:val="24"/>
          <w:szCs w:val="24"/>
          <w:highlight w:val="none"/>
        </w:rPr>
        <w:t>%)小写￥</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大写：人民币</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1、付款条件一中，出具预付款保函后支付的合同款应当与保函金额一致。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2、付款条件二中，预付款比例设定应符合《关于做好政府采购支持企业发展有关事项的通知》(苏财购(202052号)要求。</w:t>
      </w:r>
    </w:p>
    <w:p>
      <w:pPr>
        <w:numPr>
          <w:ilvl w:val="0"/>
          <w:numId w:val="0"/>
        </w:numPr>
        <w:rPr>
          <w:rFonts w:hint="eastAsia" w:ascii="宋体" w:hAnsi="宋体" w:eastAsia="宋体" w:cs="宋体"/>
          <w:color w:val="auto"/>
          <w:highlight w:val="none"/>
          <w:lang w:val="en-US" w:eastAsia="zh-CN"/>
        </w:rPr>
      </w:pPr>
    </w:p>
    <w:p>
      <w:pPr>
        <w:pStyle w:val="6"/>
        <w:rPr>
          <w:rFonts w:hint="eastAsia" w:ascii="宋体" w:hAnsi="宋体" w:eastAsia="宋体" w:cs="宋体"/>
          <w:color w:val="auto"/>
          <w:highlight w:val="none"/>
        </w:rPr>
      </w:pPr>
    </w:p>
    <w:p>
      <w:pPr>
        <w:pStyle w:val="6"/>
        <w:rPr>
          <w:rFonts w:hint="eastAsia" w:ascii="宋体" w:hAnsi="宋体" w:eastAsia="宋体" w:cs="宋体"/>
          <w:color w:val="auto"/>
          <w:highlight w:val="none"/>
        </w:rPr>
      </w:pPr>
    </w:p>
    <w:p>
      <w:pPr>
        <w:pStyle w:val="6"/>
        <w:rPr>
          <w:rFonts w:hint="eastAsia" w:ascii="宋体" w:hAnsi="宋体" w:eastAsia="宋体" w:cs="宋体"/>
          <w:color w:val="auto"/>
          <w:highlight w:val="none"/>
        </w:rPr>
      </w:pPr>
    </w:p>
    <w:p>
      <w:pPr>
        <w:pStyle w:val="6"/>
        <w:rPr>
          <w:rFonts w:hint="eastAsia" w:ascii="宋体" w:hAnsi="宋体" w:eastAsia="宋体" w:cs="宋体"/>
          <w:color w:val="auto"/>
          <w:highlight w:val="none"/>
        </w:rPr>
      </w:pPr>
    </w:p>
    <w:p>
      <w:pPr>
        <w:pStyle w:val="6"/>
        <w:rPr>
          <w:rFonts w:hint="eastAsia" w:ascii="宋体" w:hAnsi="宋体" w:eastAsia="宋体" w:cs="宋体"/>
          <w:color w:val="auto"/>
          <w:highlight w:val="none"/>
        </w:rPr>
      </w:pPr>
    </w:p>
    <w:p>
      <w:pPr>
        <w:pStyle w:val="6"/>
        <w:rPr>
          <w:rFonts w:hint="eastAsia" w:ascii="宋体" w:hAnsi="宋体" w:eastAsia="宋体" w:cs="宋体"/>
          <w:color w:val="auto"/>
          <w:highlight w:val="none"/>
        </w:rPr>
      </w:pPr>
    </w:p>
    <w:p>
      <w:pPr>
        <w:spacing w:line="500" w:lineRule="exact"/>
        <w:jc w:val="center"/>
        <w:rPr>
          <w:rFonts w:hint="eastAsia"/>
          <w:sz w:val="40"/>
          <w:szCs w:val="40"/>
          <w:lang w:eastAsia="zh-CN"/>
        </w:rPr>
      </w:pPr>
      <w:r>
        <w:rPr>
          <w:rFonts w:hint="eastAsia"/>
          <w:sz w:val="40"/>
          <w:szCs w:val="40"/>
          <w:lang w:val="en-US" w:eastAsia="zh-CN"/>
        </w:rPr>
        <w:t>11、</w:t>
      </w:r>
      <w:r>
        <w:rPr>
          <w:rFonts w:hint="eastAsia"/>
          <w:sz w:val="40"/>
          <w:szCs w:val="40"/>
          <w:lang w:eastAsia="zh-CN"/>
        </w:rPr>
        <w:t>垃圾分类收集亭提档升级</w:t>
      </w:r>
    </w:p>
    <w:p>
      <w:pPr>
        <w:spacing w:line="500" w:lineRule="exact"/>
        <w:jc w:val="center"/>
        <w:rPr>
          <w:rFonts w:hint="eastAsia" w:eastAsia="宋体"/>
          <w:sz w:val="44"/>
          <w:szCs w:val="44"/>
          <w:lang w:val="en-US" w:eastAsia="zh-CN"/>
        </w:rPr>
      </w:pPr>
      <w:r>
        <w:rPr>
          <w:rFonts w:hint="eastAsia"/>
          <w:sz w:val="44"/>
          <w:szCs w:val="44"/>
        </w:rPr>
        <w:t>现场勘察证明</w:t>
      </w:r>
      <w:r>
        <w:rPr>
          <w:rFonts w:hint="eastAsia"/>
          <w:sz w:val="44"/>
          <w:szCs w:val="44"/>
          <w:lang w:val="en-US" w:eastAsia="zh-CN"/>
        </w:rPr>
        <w:t>单</w:t>
      </w:r>
    </w:p>
    <w:p>
      <w:pPr>
        <w:spacing w:line="500" w:lineRule="exact"/>
        <w:jc w:val="center"/>
        <w:rPr>
          <w:rFonts w:hint="default"/>
          <w:sz w:val="44"/>
          <w:szCs w:val="44"/>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宋体 ! important">
    <w:altName w:val="宋体"/>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rPr>
        <w:rFonts w:hint="eastAsia"/>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3C22DC"/>
    <w:multiLevelType w:val="singleLevel"/>
    <w:tmpl w:val="8A3C22DC"/>
    <w:lvl w:ilvl="0" w:tentative="0">
      <w:start w:val="4"/>
      <w:numFmt w:val="chineseCounting"/>
      <w:suff w:val="nothing"/>
      <w:lvlText w:val="%1、"/>
      <w:lvlJc w:val="left"/>
      <w:rPr>
        <w:rFonts w:hint="eastAsia"/>
      </w:rPr>
    </w:lvl>
  </w:abstractNum>
  <w:abstractNum w:abstractNumId="1">
    <w:nsid w:val="CF2DD824"/>
    <w:multiLevelType w:val="singleLevel"/>
    <w:tmpl w:val="CF2DD824"/>
    <w:lvl w:ilvl="0" w:tentative="0">
      <w:start w:val="1"/>
      <w:numFmt w:val="decimal"/>
      <w:lvlText w:val="%1."/>
      <w:lvlJc w:val="left"/>
      <w:pPr>
        <w:tabs>
          <w:tab w:val="left" w:pos="312"/>
        </w:tabs>
      </w:pPr>
    </w:lvl>
  </w:abstractNum>
  <w:abstractNum w:abstractNumId="2">
    <w:nsid w:val="07D15042"/>
    <w:multiLevelType w:val="singleLevel"/>
    <w:tmpl w:val="07D15042"/>
    <w:lvl w:ilvl="0" w:tentative="0">
      <w:start w:val="1"/>
      <w:numFmt w:val="decimal"/>
      <w:suff w:val="nothing"/>
      <w:lvlText w:val="%1、"/>
      <w:lvlJc w:val="left"/>
    </w:lvl>
  </w:abstractNum>
  <w:abstractNum w:abstractNumId="3">
    <w:nsid w:val="36DB458E"/>
    <w:multiLevelType w:val="singleLevel"/>
    <w:tmpl w:val="36DB458E"/>
    <w:lvl w:ilvl="0" w:tentative="0">
      <w:start w:val="1"/>
      <w:numFmt w:val="decimal"/>
      <w:suff w:val="nothing"/>
      <w:lvlText w:val="%1、"/>
      <w:lvlJc w:val="left"/>
    </w:lvl>
  </w:abstractNum>
  <w:abstractNum w:abstractNumId="4">
    <w:nsid w:val="3E92DBC5"/>
    <w:multiLevelType w:val="singleLevel"/>
    <w:tmpl w:val="3E92DBC5"/>
    <w:lvl w:ilvl="0" w:tentative="0">
      <w:start w:val="6"/>
      <w:numFmt w:val="chineseCounting"/>
      <w:suff w:val="nothing"/>
      <w:lvlText w:val="%1、"/>
      <w:lvlJc w:val="left"/>
      <w:rPr>
        <w:rFonts w:hint="eastAsia"/>
      </w:rPr>
    </w:lvl>
  </w:abstractNum>
  <w:abstractNum w:abstractNumId="5">
    <w:nsid w:val="3EA4C580"/>
    <w:multiLevelType w:val="singleLevel"/>
    <w:tmpl w:val="3EA4C580"/>
    <w:lvl w:ilvl="0" w:tentative="0">
      <w:start w:val="1"/>
      <w:numFmt w:val="chineseCounting"/>
      <w:suff w:val="nothing"/>
      <w:lvlText w:val="%1、"/>
      <w:lvlJc w:val="left"/>
      <w:rPr>
        <w:rFonts w:hint="eastAsia"/>
      </w:rPr>
    </w:lvl>
  </w:abstractNum>
  <w:abstractNum w:abstractNumId="6">
    <w:nsid w:val="601B7FB8"/>
    <w:multiLevelType w:val="singleLevel"/>
    <w:tmpl w:val="601B7FB8"/>
    <w:lvl w:ilvl="0" w:tentative="0">
      <w:start w:val="10"/>
      <w:numFmt w:val="decimal"/>
      <w:suff w:val="nothing"/>
      <w:lvlText w:val="%1."/>
      <w:lvlJc w:val="left"/>
    </w:lvl>
  </w:abstractNum>
  <w:abstractNum w:abstractNumId="7">
    <w:nsid w:val="6D2042FD"/>
    <w:multiLevelType w:val="multilevel"/>
    <w:tmpl w:val="6D2042FD"/>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200"/>
        </w:tabs>
        <w:ind w:left="1200" w:hanging="420"/>
      </w:pPr>
    </w:lvl>
    <w:lvl w:ilvl="2" w:tentative="0">
      <w:start w:val="1"/>
      <w:numFmt w:val="lowerRoman"/>
      <w:lvlText w:val="%3."/>
      <w:lvlJc w:val="right"/>
      <w:pPr>
        <w:tabs>
          <w:tab w:val="left" w:pos="1620"/>
        </w:tabs>
        <w:ind w:left="1620" w:hanging="420"/>
      </w:p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8">
    <w:nsid w:val="7AA2022F"/>
    <w:multiLevelType w:val="singleLevel"/>
    <w:tmpl w:val="7AA2022F"/>
    <w:lvl w:ilvl="0" w:tentative="0">
      <w:start w:val="1"/>
      <w:numFmt w:val="decimal"/>
      <w:suff w:val="nothing"/>
      <w:lvlText w:val="%1、"/>
      <w:lvlJc w:val="left"/>
    </w:lvl>
  </w:abstractNum>
  <w:num w:numId="1">
    <w:abstractNumId w:val="4"/>
  </w:num>
  <w:num w:numId="2">
    <w:abstractNumId w:val="2"/>
  </w:num>
  <w:num w:numId="3">
    <w:abstractNumId w:val="7"/>
  </w:num>
  <w:num w:numId="4">
    <w:abstractNumId w:val="5"/>
  </w:num>
  <w:num w:numId="5">
    <w:abstractNumId w:val="0"/>
  </w:num>
  <w:num w:numId="6">
    <w:abstractNumId w:val="8"/>
  </w:num>
  <w:num w:numId="7">
    <w:abstractNumId w:val="3"/>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417374"/>
    <w:rsid w:val="00493FBA"/>
    <w:rsid w:val="00952E93"/>
    <w:rsid w:val="020A4372"/>
    <w:rsid w:val="02DD7199"/>
    <w:rsid w:val="03957C04"/>
    <w:rsid w:val="03E822EE"/>
    <w:rsid w:val="040373E6"/>
    <w:rsid w:val="046F0B6A"/>
    <w:rsid w:val="052063DF"/>
    <w:rsid w:val="05B1776E"/>
    <w:rsid w:val="05B24AB0"/>
    <w:rsid w:val="05B758DE"/>
    <w:rsid w:val="05CF7D17"/>
    <w:rsid w:val="05EA4861"/>
    <w:rsid w:val="0678240F"/>
    <w:rsid w:val="06FB0E6D"/>
    <w:rsid w:val="073463BA"/>
    <w:rsid w:val="07AB7BDC"/>
    <w:rsid w:val="08027503"/>
    <w:rsid w:val="08D22E49"/>
    <w:rsid w:val="098731B2"/>
    <w:rsid w:val="0AE61BD4"/>
    <w:rsid w:val="0B26098C"/>
    <w:rsid w:val="0BEF50C7"/>
    <w:rsid w:val="0C203618"/>
    <w:rsid w:val="0DD41652"/>
    <w:rsid w:val="0E071B6A"/>
    <w:rsid w:val="0EAB1ADB"/>
    <w:rsid w:val="0F1315BA"/>
    <w:rsid w:val="0F1D201A"/>
    <w:rsid w:val="0F5C5741"/>
    <w:rsid w:val="0FAC75D2"/>
    <w:rsid w:val="0FFD069B"/>
    <w:rsid w:val="10322BF5"/>
    <w:rsid w:val="12085A45"/>
    <w:rsid w:val="12AA73E9"/>
    <w:rsid w:val="12C728E8"/>
    <w:rsid w:val="13532554"/>
    <w:rsid w:val="13AB566E"/>
    <w:rsid w:val="14E145CC"/>
    <w:rsid w:val="15013D55"/>
    <w:rsid w:val="158F6CF8"/>
    <w:rsid w:val="15D056E4"/>
    <w:rsid w:val="15EE5E41"/>
    <w:rsid w:val="15FE6748"/>
    <w:rsid w:val="160E00D8"/>
    <w:rsid w:val="17304159"/>
    <w:rsid w:val="182D1831"/>
    <w:rsid w:val="18D37052"/>
    <w:rsid w:val="192960E7"/>
    <w:rsid w:val="19724A2A"/>
    <w:rsid w:val="19E375E9"/>
    <w:rsid w:val="1A507E52"/>
    <w:rsid w:val="1B273F5D"/>
    <w:rsid w:val="1BA80C6E"/>
    <w:rsid w:val="1DBD2396"/>
    <w:rsid w:val="1E6400F3"/>
    <w:rsid w:val="1E9F15FF"/>
    <w:rsid w:val="1F36527C"/>
    <w:rsid w:val="1F801D52"/>
    <w:rsid w:val="21770CDB"/>
    <w:rsid w:val="220B77F4"/>
    <w:rsid w:val="22B90127"/>
    <w:rsid w:val="22E629D1"/>
    <w:rsid w:val="235C1DF5"/>
    <w:rsid w:val="239043A8"/>
    <w:rsid w:val="24A86E26"/>
    <w:rsid w:val="26A072EF"/>
    <w:rsid w:val="26CD3FCE"/>
    <w:rsid w:val="272D086C"/>
    <w:rsid w:val="278E4821"/>
    <w:rsid w:val="285F6576"/>
    <w:rsid w:val="28AA0C20"/>
    <w:rsid w:val="2910440B"/>
    <w:rsid w:val="292A3873"/>
    <w:rsid w:val="29784424"/>
    <w:rsid w:val="29AD4A7E"/>
    <w:rsid w:val="2A81283C"/>
    <w:rsid w:val="2A8A19ED"/>
    <w:rsid w:val="2B574C92"/>
    <w:rsid w:val="2B5D2703"/>
    <w:rsid w:val="2CB6020E"/>
    <w:rsid w:val="2D6666A0"/>
    <w:rsid w:val="2D713599"/>
    <w:rsid w:val="2E4E2C21"/>
    <w:rsid w:val="2E4E5D1F"/>
    <w:rsid w:val="2E796FA5"/>
    <w:rsid w:val="2F1E37E7"/>
    <w:rsid w:val="2F7479E8"/>
    <w:rsid w:val="30405C1D"/>
    <w:rsid w:val="306B63D7"/>
    <w:rsid w:val="30756E58"/>
    <w:rsid w:val="30AB6ABE"/>
    <w:rsid w:val="31946544"/>
    <w:rsid w:val="31BB779F"/>
    <w:rsid w:val="327A7784"/>
    <w:rsid w:val="343B57FD"/>
    <w:rsid w:val="34556B3F"/>
    <w:rsid w:val="34A52FC9"/>
    <w:rsid w:val="35411EC8"/>
    <w:rsid w:val="362D5292"/>
    <w:rsid w:val="370E1FF8"/>
    <w:rsid w:val="373B260A"/>
    <w:rsid w:val="38190632"/>
    <w:rsid w:val="386B2A3A"/>
    <w:rsid w:val="3889487B"/>
    <w:rsid w:val="38BA5891"/>
    <w:rsid w:val="38D86395"/>
    <w:rsid w:val="397A58B0"/>
    <w:rsid w:val="39EE49D3"/>
    <w:rsid w:val="3CD7642A"/>
    <w:rsid w:val="3D9B6565"/>
    <w:rsid w:val="3E1B4D26"/>
    <w:rsid w:val="3F180045"/>
    <w:rsid w:val="3FE43983"/>
    <w:rsid w:val="3FEB4190"/>
    <w:rsid w:val="410E1597"/>
    <w:rsid w:val="422A1182"/>
    <w:rsid w:val="42B9635D"/>
    <w:rsid w:val="43033491"/>
    <w:rsid w:val="44041D74"/>
    <w:rsid w:val="44585D3B"/>
    <w:rsid w:val="445C1A7D"/>
    <w:rsid w:val="44F648A8"/>
    <w:rsid w:val="46122B46"/>
    <w:rsid w:val="46DD4702"/>
    <w:rsid w:val="479F54D8"/>
    <w:rsid w:val="48116081"/>
    <w:rsid w:val="48633BC5"/>
    <w:rsid w:val="48944739"/>
    <w:rsid w:val="48A52FC3"/>
    <w:rsid w:val="48AA0E82"/>
    <w:rsid w:val="49146226"/>
    <w:rsid w:val="495B3182"/>
    <w:rsid w:val="4BDD6B65"/>
    <w:rsid w:val="4BF30A6F"/>
    <w:rsid w:val="4D1E56E1"/>
    <w:rsid w:val="4E34684C"/>
    <w:rsid w:val="4E896F4B"/>
    <w:rsid w:val="4EB83175"/>
    <w:rsid w:val="4F065FC1"/>
    <w:rsid w:val="50493D1F"/>
    <w:rsid w:val="50727315"/>
    <w:rsid w:val="50946301"/>
    <w:rsid w:val="50EF3FB8"/>
    <w:rsid w:val="50F76DB6"/>
    <w:rsid w:val="523E1273"/>
    <w:rsid w:val="53A60305"/>
    <w:rsid w:val="53E570AD"/>
    <w:rsid w:val="53FA39EE"/>
    <w:rsid w:val="563000DC"/>
    <w:rsid w:val="5638232E"/>
    <w:rsid w:val="567D2EE8"/>
    <w:rsid w:val="569B3F00"/>
    <w:rsid w:val="56D10398"/>
    <w:rsid w:val="59047560"/>
    <w:rsid w:val="59110F3A"/>
    <w:rsid w:val="59596B33"/>
    <w:rsid w:val="59A85B73"/>
    <w:rsid w:val="5A380096"/>
    <w:rsid w:val="5A385418"/>
    <w:rsid w:val="5AB21108"/>
    <w:rsid w:val="5ABE079B"/>
    <w:rsid w:val="5B4C4A26"/>
    <w:rsid w:val="5C8C4E2A"/>
    <w:rsid w:val="5C961FE7"/>
    <w:rsid w:val="5CF66FAB"/>
    <w:rsid w:val="5F497E11"/>
    <w:rsid w:val="5FCD15DD"/>
    <w:rsid w:val="60392413"/>
    <w:rsid w:val="610F2EF4"/>
    <w:rsid w:val="61FB2774"/>
    <w:rsid w:val="6248149F"/>
    <w:rsid w:val="624D0F20"/>
    <w:rsid w:val="62792FD0"/>
    <w:rsid w:val="62AE5E22"/>
    <w:rsid w:val="63290910"/>
    <w:rsid w:val="634C1166"/>
    <w:rsid w:val="63B72E67"/>
    <w:rsid w:val="64AF6BED"/>
    <w:rsid w:val="650F10DF"/>
    <w:rsid w:val="660836BA"/>
    <w:rsid w:val="660870FE"/>
    <w:rsid w:val="660A1E19"/>
    <w:rsid w:val="66264DF9"/>
    <w:rsid w:val="66426C4C"/>
    <w:rsid w:val="664C34D9"/>
    <w:rsid w:val="6876644A"/>
    <w:rsid w:val="69664FC6"/>
    <w:rsid w:val="69EE7527"/>
    <w:rsid w:val="69FD14E6"/>
    <w:rsid w:val="6A3354FA"/>
    <w:rsid w:val="6B066A84"/>
    <w:rsid w:val="6B0D0887"/>
    <w:rsid w:val="6CEE7F64"/>
    <w:rsid w:val="6D732796"/>
    <w:rsid w:val="6DA87E77"/>
    <w:rsid w:val="6DC9555C"/>
    <w:rsid w:val="6E3411AD"/>
    <w:rsid w:val="6E4D451A"/>
    <w:rsid w:val="6E697A96"/>
    <w:rsid w:val="6EC542C6"/>
    <w:rsid w:val="6ED723F6"/>
    <w:rsid w:val="6EE66A49"/>
    <w:rsid w:val="6F5E690A"/>
    <w:rsid w:val="6F9170B8"/>
    <w:rsid w:val="6FF90A1B"/>
    <w:rsid w:val="71A9213E"/>
    <w:rsid w:val="71E82212"/>
    <w:rsid w:val="72247379"/>
    <w:rsid w:val="72553445"/>
    <w:rsid w:val="72647442"/>
    <w:rsid w:val="72BF50DB"/>
    <w:rsid w:val="72C011B7"/>
    <w:rsid w:val="72D920BD"/>
    <w:rsid w:val="738E4567"/>
    <w:rsid w:val="73BE6724"/>
    <w:rsid w:val="73C45AB4"/>
    <w:rsid w:val="73E13252"/>
    <w:rsid w:val="76667250"/>
    <w:rsid w:val="76AF40C5"/>
    <w:rsid w:val="774074A1"/>
    <w:rsid w:val="776D21F5"/>
    <w:rsid w:val="777123F8"/>
    <w:rsid w:val="787B2A64"/>
    <w:rsid w:val="78AE331C"/>
    <w:rsid w:val="790971AB"/>
    <w:rsid w:val="7AAC08C3"/>
    <w:rsid w:val="7ABF2B47"/>
    <w:rsid w:val="7B467C76"/>
    <w:rsid w:val="7B96175A"/>
    <w:rsid w:val="7CDE4863"/>
    <w:rsid w:val="7EB75267"/>
    <w:rsid w:val="7F4247B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iPriority="99"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Block Text"/>
    <w:basedOn w:val="1"/>
    <w:unhideWhenUsed/>
    <w:qFormat/>
    <w:uiPriority w:val="99"/>
    <w:pPr>
      <w:widowControl/>
      <w:ind w:left="567" w:right="454" w:firstLine="498"/>
      <w:jc w:val="left"/>
    </w:pPr>
    <w:rPr>
      <w:rFonts w:ascii="仿宋_GB2312" w:eastAsia="仿宋_GB2312"/>
      <w:kern w:val="0"/>
      <w:sz w:val="30"/>
      <w:szCs w:val="20"/>
    </w:rPr>
  </w:style>
  <w:style w:type="paragraph" w:styleId="3">
    <w:name w:val="Normal Indent"/>
    <w:basedOn w:val="1"/>
    <w:qFormat/>
    <w:uiPriority w:val="0"/>
    <w:pPr>
      <w:ind w:firstLine="420" w:firstLineChars="200"/>
    </w:pPr>
  </w:style>
  <w:style w:type="paragraph" w:styleId="4">
    <w:name w:val="index 5"/>
    <w:basedOn w:val="1"/>
    <w:next w:val="1"/>
    <w:qFormat/>
    <w:uiPriority w:val="0"/>
    <w:pPr>
      <w:ind w:left="798" w:leftChars="380"/>
      <w:jc w:val="left"/>
    </w:pPr>
    <w:rPr>
      <w:rFonts w:ascii="Calibri" w:hAnsi="Calibri"/>
      <w:sz w:val="21"/>
    </w:rPr>
  </w:style>
  <w:style w:type="paragraph" w:styleId="5">
    <w:name w:val="Body Text"/>
    <w:basedOn w:val="1"/>
    <w:next w:val="1"/>
    <w:qFormat/>
    <w:uiPriority w:val="0"/>
    <w:rPr>
      <w:rFonts w:ascii="Verdana" w:hAnsi="Verdana" w:eastAsia="宋体" w:cs="Times New Roman"/>
      <w:sz w:val="24"/>
      <w:szCs w:val="18"/>
    </w:rPr>
  </w:style>
  <w:style w:type="paragraph" w:styleId="6">
    <w:name w:val="Body Text Indent"/>
    <w:basedOn w:val="1"/>
    <w:qFormat/>
    <w:uiPriority w:val="0"/>
    <w:pPr>
      <w:spacing w:after="120"/>
      <w:ind w:left="420" w:leftChars="200"/>
    </w:pPr>
  </w:style>
  <w:style w:type="paragraph" w:styleId="7">
    <w:name w:val="Plain Text"/>
    <w:basedOn w:val="1"/>
    <w:unhideWhenUsed/>
    <w:qFormat/>
    <w:uiPriority w:val="99"/>
    <w:rPr>
      <w:rFonts w:ascii="宋体" w:hAnsi="Courier New"/>
      <w:szCs w:val="21"/>
    </w:rPr>
  </w:style>
  <w:style w:type="paragraph" w:styleId="8">
    <w:name w:val="Date"/>
    <w:basedOn w:val="1"/>
    <w:next w:val="1"/>
    <w:qFormat/>
    <w:uiPriority w:val="0"/>
    <w:rPr>
      <w:rFonts w:ascii="Times New Roman" w:hAnsi="Times New Roman" w:eastAsia="仿宋_GB2312" w:cs="Times New Roman"/>
      <w:sz w:val="28"/>
      <w:szCs w:val="20"/>
    </w:rPr>
  </w:style>
  <w:style w:type="paragraph" w:styleId="9">
    <w:name w:val="footer"/>
    <w:basedOn w:val="1"/>
    <w:qFormat/>
    <w:uiPriority w:val="0"/>
    <w:pPr>
      <w:tabs>
        <w:tab w:val="center" w:pos="4153"/>
        <w:tab w:val="right" w:pos="8306"/>
      </w:tabs>
      <w:snapToGrid w:val="0"/>
      <w:jc w:val="left"/>
    </w:pPr>
    <w:rPr>
      <w:rFonts w:ascii="Calibri" w:hAnsi="Calibri"/>
      <w:sz w:val="18"/>
    </w:rPr>
  </w:style>
  <w:style w:type="paragraph" w:styleId="10">
    <w:name w:val="header"/>
    <w:basedOn w:val="1"/>
    <w:qFormat/>
    <w:uiPriority w:val="0"/>
    <w:pPr>
      <w:pBdr>
        <w:bottom w:val="single" w:color="auto" w:sz="6" w:space="1"/>
      </w:pBdr>
      <w:tabs>
        <w:tab w:val="center" w:pos="4153"/>
        <w:tab w:val="right" w:pos="8306"/>
      </w:tabs>
      <w:snapToGrid w:val="0"/>
      <w:jc w:val="center"/>
    </w:pPr>
    <w:rPr>
      <w:rFonts w:ascii="Calibri" w:hAnsi="Calibri"/>
      <w:sz w:val="18"/>
      <w:szCs w:val="18"/>
    </w:rPr>
  </w:style>
  <w:style w:type="paragraph" w:styleId="11">
    <w:name w:val="footnote text"/>
    <w:basedOn w:val="1"/>
    <w:next w:val="4"/>
    <w:qFormat/>
    <w:uiPriority w:val="0"/>
    <w:pPr>
      <w:snapToGrid w:val="0"/>
      <w:jc w:val="left"/>
    </w:pPr>
    <w:rPr>
      <w:rFonts w:ascii="宋体" w:eastAsia="Times New Roman"/>
      <w:snapToGrid w:val="0"/>
      <w:kern w:val="21"/>
      <w:sz w:val="18"/>
      <w:szCs w:val="18"/>
    </w:rPr>
  </w:style>
  <w:style w:type="character" w:styleId="14">
    <w:name w:val="FollowedHyperlink"/>
    <w:basedOn w:val="13"/>
    <w:qFormat/>
    <w:uiPriority w:val="0"/>
    <w:rPr>
      <w:color w:val="771CAA"/>
      <w:u w:val="none"/>
    </w:rPr>
  </w:style>
  <w:style w:type="character" w:styleId="15">
    <w:name w:val="Emphasis"/>
    <w:basedOn w:val="13"/>
    <w:qFormat/>
    <w:uiPriority w:val="0"/>
    <w:rPr>
      <w:color w:val="F73131"/>
    </w:rPr>
  </w:style>
  <w:style w:type="character" w:styleId="16">
    <w:name w:val="Hyperlink"/>
    <w:unhideWhenUsed/>
    <w:qFormat/>
    <w:uiPriority w:val="99"/>
    <w:rPr>
      <w:rFonts w:ascii="Times New Roman" w:hAnsi="Times New Roman" w:eastAsia="宋体" w:cs="Times New Roman"/>
      <w:color w:val="0000FF"/>
      <w:u w:val="single"/>
    </w:rPr>
  </w:style>
  <w:style w:type="character" w:styleId="17">
    <w:name w:val="HTML Cite"/>
    <w:basedOn w:val="13"/>
    <w:qFormat/>
    <w:uiPriority w:val="0"/>
    <w:rPr>
      <w:color w:val="008000"/>
    </w:rPr>
  </w:style>
  <w:style w:type="paragraph" w:customStyle="1" w:styleId="18">
    <w:name w:val="段"/>
    <w:basedOn w:val="1"/>
    <w:next w:val="1"/>
    <w:qFormat/>
    <w:uiPriority w:val="0"/>
    <w:pPr>
      <w:widowControl/>
      <w:autoSpaceDE w:val="0"/>
      <w:autoSpaceDN w:val="0"/>
      <w:ind w:firstLine="200" w:firstLineChars="200"/>
    </w:pPr>
    <w:rPr>
      <w:rFonts w:hint="eastAsia" w:ascii="宋体"/>
      <w:kern w:val="0"/>
      <w:szCs w:val="20"/>
    </w:rPr>
  </w:style>
  <w:style w:type="paragraph" w:customStyle="1" w:styleId="19">
    <w:name w:val="一级条标题"/>
    <w:basedOn w:val="20"/>
    <w:next w:val="18"/>
    <w:qFormat/>
    <w:uiPriority w:val="0"/>
    <w:pPr>
      <w:tabs>
        <w:tab w:val="left" w:pos="810"/>
        <w:tab w:val="left" w:pos="907"/>
        <w:tab w:val="left" w:pos="1265"/>
      </w:tabs>
      <w:spacing w:before="0" w:beforeLines="0" w:after="0" w:afterLines="0"/>
      <w:ind w:left="907" w:hanging="907"/>
      <w:outlineLvl w:val="2"/>
    </w:pPr>
    <w:rPr>
      <w:rFonts w:hAnsi="宋体"/>
      <w:kern w:val="0"/>
      <w:sz w:val="20"/>
      <w:szCs w:val="20"/>
    </w:rPr>
  </w:style>
  <w:style w:type="paragraph" w:customStyle="1" w:styleId="20">
    <w:name w:val="章标题"/>
    <w:next w:val="1"/>
    <w:qFormat/>
    <w:uiPriority w:val="0"/>
    <w:pPr>
      <w:tabs>
        <w:tab w:val="left" w:pos="810"/>
        <w:tab w:val="left" w:pos="1265"/>
      </w:tabs>
      <w:spacing w:before="50" w:beforeLines="0" w:after="50" w:afterLines="0"/>
      <w:ind w:left="810" w:hanging="810"/>
      <w:jc w:val="both"/>
      <w:outlineLvl w:val="1"/>
    </w:pPr>
    <w:rPr>
      <w:rFonts w:ascii="黑体" w:hAnsi="Calibri" w:eastAsia="黑体" w:cs="Times New Roman"/>
      <w:kern w:val="2"/>
      <w:sz w:val="21"/>
      <w:szCs w:val="22"/>
      <w:lang w:val="en-US" w:eastAsia="zh-CN" w:bidi="ar-SA"/>
    </w:rPr>
  </w:style>
  <w:style w:type="character" w:customStyle="1" w:styleId="21">
    <w:name w:val="font41"/>
    <w:basedOn w:val="13"/>
    <w:qFormat/>
    <w:uiPriority w:val="0"/>
    <w:rPr>
      <w:rFonts w:ascii="Calibri" w:hAnsi="Calibri" w:cs="Calibri"/>
      <w:b/>
      <w:color w:val="000000"/>
      <w:sz w:val="20"/>
      <w:szCs w:val="20"/>
      <w:u w:val="none"/>
    </w:rPr>
  </w:style>
  <w:style w:type="character" w:customStyle="1" w:styleId="22">
    <w:name w:val="font11"/>
    <w:basedOn w:val="13"/>
    <w:qFormat/>
    <w:uiPriority w:val="0"/>
    <w:rPr>
      <w:rFonts w:hint="eastAsia" w:ascii="宋体" w:hAnsi="宋体" w:eastAsia="宋体" w:cs="宋体"/>
      <w:b/>
      <w:color w:val="000000"/>
      <w:sz w:val="22"/>
      <w:szCs w:val="22"/>
      <w:u w:val="none"/>
    </w:rPr>
  </w:style>
  <w:style w:type="character" w:customStyle="1" w:styleId="23">
    <w:name w:val="font01"/>
    <w:basedOn w:val="13"/>
    <w:qFormat/>
    <w:uiPriority w:val="0"/>
    <w:rPr>
      <w:rFonts w:hint="eastAsia" w:ascii="仿宋_GB2312" w:hAnsi="Times New Roman" w:eastAsia="仿宋_GB2312" w:cs="仿宋_GB2312"/>
      <w:color w:val="000000"/>
      <w:sz w:val="24"/>
      <w:szCs w:val="24"/>
      <w:u w:val="none"/>
    </w:rPr>
  </w:style>
  <w:style w:type="paragraph" w:customStyle="1" w:styleId="24">
    <w:name w:val="p0"/>
    <w:basedOn w:val="1"/>
    <w:qFormat/>
    <w:uiPriority w:val="0"/>
    <w:pPr>
      <w:widowControl/>
    </w:pPr>
    <w:rPr>
      <w:kern w:val="0"/>
      <w:szCs w:val="21"/>
    </w:rPr>
  </w:style>
  <w:style w:type="character" w:customStyle="1" w:styleId="25">
    <w:name w:val="c-icon"/>
    <w:basedOn w:val="13"/>
    <w:qFormat/>
    <w:uiPriority w:val="0"/>
  </w:style>
  <w:style w:type="character" w:customStyle="1" w:styleId="26">
    <w:name w:val="hover25"/>
    <w:basedOn w:val="13"/>
    <w:qFormat/>
    <w:uiPriority w:val="0"/>
  </w:style>
  <w:style w:type="character" w:customStyle="1" w:styleId="27">
    <w:name w:val="hover26"/>
    <w:basedOn w:val="13"/>
    <w:qFormat/>
    <w:uiPriority w:val="0"/>
    <w:rPr>
      <w:color w:val="315EFB"/>
    </w:rPr>
  </w:style>
  <w:style w:type="character" w:customStyle="1" w:styleId="28">
    <w:name w:val="c-icon28"/>
    <w:basedOn w:val="13"/>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8.png"/><Relationship Id="rId23" Type="http://schemas.openxmlformats.org/officeDocument/2006/relationships/image" Target="media/image7.jpeg"/><Relationship Id="rId22" Type="http://schemas.openxmlformats.org/officeDocument/2006/relationships/image" Target="media/image6.wmf"/><Relationship Id="rId21" Type="http://schemas.openxmlformats.org/officeDocument/2006/relationships/oleObject" Target="embeddings/oleObject6.bin"/><Relationship Id="rId20" Type="http://schemas.openxmlformats.org/officeDocument/2006/relationships/image" Target="media/image5.w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4.wmf"/><Relationship Id="rId17" Type="http://schemas.openxmlformats.org/officeDocument/2006/relationships/oleObject" Target="embeddings/oleObject4.bin"/><Relationship Id="rId16" Type="http://schemas.openxmlformats.org/officeDocument/2006/relationships/image" Target="media/image3.wmf"/><Relationship Id="rId15" Type="http://schemas.openxmlformats.org/officeDocument/2006/relationships/oleObject" Target="embeddings/oleObject3.bin"/><Relationship Id="rId14" Type="http://schemas.openxmlformats.org/officeDocument/2006/relationships/image" Target="media/image2.wmf"/><Relationship Id="rId13" Type="http://schemas.openxmlformats.org/officeDocument/2006/relationships/oleObject" Target="embeddings/oleObject2.bin"/><Relationship Id="rId12" Type="http://schemas.openxmlformats.org/officeDocument/2006/relationships/image" Target="media/image1.w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2021-09-01T17:00:00Z</dcterms:created>
  <dc:creator>Administrator</dc:creator>
  <cp:lastModifiedBy>流浪路途</cp:lastModifiedBy>
  <cp:lastPrinted>2021-10-11T03:09:00Z</cp:lastPrinted>
  <dcterms:modified xsi:type="dcterms:W3CDTF">2021-10-18T02:01:31Z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EE6859D76EA4455A826954290A42E781</vt:lpwstr>
  </property>
</Properties>
</file>